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桐庐农商银行丰收同盈A1封闭净值型2022年第73期理财产品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2023年第1季度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产品管理人：浙江桐庐农村商业银行股份有限公司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自2023-01-01起至2023-03-31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桐庐农商银行丰收同盈A1封闭净值型2022年第73期理财产品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C1123122000071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浙江桐庐农村商业银行股份有限公司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2022-07-01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4,950,000.00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[4.03%-4.18%]/年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2023-01-01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2023-03-31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1.44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2.73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2023-01-01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2023-03-31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-124.54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72,325.88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5,085,175.49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1.02730817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1,483,754.44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29.18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1,132,677.43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22.27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351,077.01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6.90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3,592,103.49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70.63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12,445.61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5,085,552.40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16.42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5,085,552.40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5,088,319.96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100.05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Theme="minorEastAsia" w:hAnsiTheme="minorEastAsia" w:eastAsiaTheme="minorEastAsia"/>
          <w:szCs w:val="21"/>
        </w:rPr>
        <w:t>报告期内管理人合理安排资产结构，严格按照产品说明书约定的投资范围、比例等要求进行投资管理，流动性风险可控。</w:t>
      </w: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华西证券丰收信桐1号单一资产管理计划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5,085,552.40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5"/>
            <w:bookmarkStart w:id="4" w:name="OLE_LINK6"/>
            <w:r>
              <w:t>100.01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R007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2,437,028.60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47.92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R005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736,665.86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14.49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21嵊经01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394,234.23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7.75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21嘉高新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390,893.95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7.69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22飞英2A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351,077.01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6.90</w:t>
            </w:r>
          </w:p>
        </w:tc>
      </w:tr>
      <w:tr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R006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196,683.26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21诸暨新城PPN002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196,491.91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G21修竹1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151,057.34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14天债券协议回购_206014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69,804.69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1.37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14天债券协议回购_206014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51,577.91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1.01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2023-04-</w:t>
      </w:r>
      <w:r>
        <w:rPr>
          <w:rFonts w:hint="eastAsia" w:ascii="宋体" w:hAnsi="宋体"/>
          <w:sz w:val="28"/>
          <w:szCs w:val="28"/>
          <w:lang w:val="en-US" w:eastAsia="zh-CN"/>
        </w:rPr>
        <w:t>20</w:t>
      </w:r>
      <w:bookmarkStart w:id="5" w:name="_GoBack"/>
      <w:bookmarkEnd w:id="5"/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IxZTQ0Y2U3OTQ2NWY3NzMxNjc2MWQ1NzU0NTVlYmM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64457DC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uiPriority w:val="0"/>
    <w:pPr>
      <w:jc w:val="left"/>
    </w:pPr>
  </w:style>
  <w:style w:type="paragraph" w:styleId="8">
    <w:name w:val="Date"/>
    <w:basedOn w:val="1"/>
    <w:next w:val="1"/>
    <w:link w:val="48"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uiPriority w:val="0"/>
    <w:rPr>
      <w:sz w:val="18"/>
      <w:szCs w:val="18"/>
    </w:rPr>
  </w:style>
  <w:style w:type="paragraph" w:styleId="10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rPr>
      <w:b/>
      <w:bCs/>
    </w:rPr>
  </w:style>
  <w:style w:type="table" w:styleId="18">
    <w:name w:val="Table Grid"/>
    <w:basedOn w:val="1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uiPriority w:val="0"/>
    <w:rPr>
      <w:sz w:val="21"/>
      <w:szCs w:val="21"/>
    </w:rPr>
  </w:style>
  <w:style w:type="character" w:styleId="22">
    <w:name w:val="footnote reference"/>
    <w:uiPriority w:val="0"/>
    <w:rPr>
      <w:vertAlign w:val="superscript"/>
    </w:rPr>
  </w:style>
  <w:style w:type="character" w:customStyle="1" w:styleId="23">
    <w:name w:val="标题 3 Char"/>
    <w:link w:val="4"/>
    <w:uiPriority w:val="9"/>
    <w:rPr>
      <w:b/>
      <w:bCs/>
      <w:sz w:val="32"/>
      <w:szCs w:val="32"/>
    </w:rPr>
  </w:style>
  <w:style w:type="character" w:customStyle="1" w:styleId="24">
    <w:name w:val="CODE"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</w:style>
  <w:style w:type="character" w:customStyle="1" w:styleId="33">
    <w:name w:val="标题 4 Char"/>
    <w:link w:val="5"/>
    <w:semiHidden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uiPriority w:val="0"/>
    <w:rPr>
      <w:kern w:val="2"/>
      <w:sz w:val="18"/>
      <w:szCs w:val="18"/>
    </w:rPr>
  </w:style>
  <w:style w:type="character" w:customStyle="1" w:styleId="48">
    <w:name w:val="日期 Char"/>
    <w:link w:val="8"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uiPriority w:val="0"/>
  </w:style>
  <w:style w:type="paragraph" w:customStyle="1" w:styleId="51">
    <w:name w:val="xbrltitle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1214</Words>
  <Characters>1810</Characters>
  <Lines>14</Lines>
  <Paragraphs>4</Paragraphs>
  <TotalTime>0</TotalTime>
  <ScaleCrop>false</ScaleCrop>
  <LinksUpToDate>false</LinksUpToDate>
  <CharactersWithSpaces>1866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张晨阳</cp:lastModifiedBy>
  <cp:lastPrinted>2411-12-31T16:00:00Z</cp:lastPrinted>
  <dcterms:modified xsi:type="dcterms:W3CDTF">2023-04-20T02:41:26Z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C65F9457E7CF4C47AB3D957C2369C407</vt:lpwstr>
  </property>
</Properties>
</file>