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96" w:rsidRDefault="002A2A99">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浙江桐庐农村商业银行股份有限公司</w:t>
      </w:r>
    </w:p>
    <w:p w:rsidR="00516596" w:rsidRDefault="002A2A9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年第一季度第三支柱信息披露报告</w:t>
      </w:r>
    </w:p>
    <w:p w:rsidR="00516596" w:rsidRDefault="00516596">
      <w:pPr>
        <w:spacing w:line="560" w:lineRule="exact"/>
        <w:rPr>
          <w:rFonts w:ascii="仿宋_GB2312" w:eastAsia="仿宋_GB2312" w:hAnsi="仿宋_GB2312" w:cs="仿宋_GB2312"/>
          <w:sz w:val="32"/>
          <w:szCs w:val="32"/>
        </w:rPr>
      </w:pPr>
    </w:p>
    <w:p w:rsidR="00516596" w:rsidRDefault="002A2A99" w:rsidP="00376B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w:t>
      </w:r>
      <w:r w:rsidR="00376BA1">
        <w:rPr>
          <w:rFonts w:ascii="仿宋_GB2312" w:eastAsia="仿宋_GB2312" w:hAnsi="仿宋_GB2312" w:cs="仿宋_GB2312" w:hint="eastAsia"/>
          <w:sz w:val="32"/>
          <w:szCs w:val="32"/>
        </w:rPr>
        <w:t>为</w:t>
      </w:r>
      <w:r w:rsidR="009335D5">
        <w:rPr>
          <w:rFonts w:ascii="仿宋_GB2312" w:eastAsia="仿宋_GB2312" w:hAnsi="仿宋_GB2312" w:cs="仿宋_GB2312"/>
          <w:sz w:val="32"/>
          <w:szCs w:val="32"/>
        </w:rPr>
        <w:t>非国内系统</w:t>
      </w:r>
      <w:r w:rsidR="00376BA1">
        <w:rPr>
          <w:rFonts w:ascii="仿宋_GB2312" w:eastAsia="仿宋_GB2312" w:hAnsi="仿宋_GB2312" w:cs="仿宋_GB2312"/>
          <w:sz w:val="32"/>
          <w:szCs w:val="32"/>
        </w:rPr>
        <w:t>重要性银行</w:t>
      </w:r>
      <w:r w:rsidR="00376BA1">
        <w:rPr>
          <w:rFonts w:ascii="仿宋_GB2312" w:eastAsia="仿宋_GB2312" w:hAnsi="仿宋_GB2312" w:cs="仿宋_GB2312" w:hint="eastAsia"/>
          <w:sz w:val="32"/>
          <w:szCs w:val="32"/>
        </w:rPr>
        <w:t>，根</w:t>
      </w:r>
      <w:r w:rsidR="00376BA1">
        <w:rPr>
          <w:rFonts w:ascii="仿宋_GB2312" w:eastAsia="仿宋_GB2312" w:hAnsi="仿宋_GB2312" w:cs="仿宋_GB2312"/>
          <w:sz w:val="32"/>
          <w:szCs w:val="32"/>
        </w:rPr>
        <w:t>据</w:t>
      </w:r>
      <w:r w:rsidR="00376BA1">
        <w:rPr>
          <w:rFonts w:ascii="仿宋_GB2312" w:eastAsia="仿宋_GB2312" w:hAnsi="仿宋_GB2312" w:cs="仿宋_GB2312" w:hint="eastAsia"/>
          <w:sz w:val="32"/>
          <w:szCs w:val="32"/>
        </w:rPr>
        <w:t>《商</w:t>
      </w:r>
      <w:r w:rsidR="00376BA1">
        <w:rPr>
          <w:rFonts w:ascii="仿宋_GB2312" w:eastAsia="仿宋_GB2312" w:hAnsi="仿宋_GB2312" w:cs="仿宋_GB2312"/>
          <w:sz w:val="32"/>
          <w:szCs w:val="32"/>
        </w:rPr>
        <w:t>业银行资本管理办法</w:t>
      </w:r>
      <w:r w:rsidR="00376BA1">
        <w:rPr>
          <w:rFonts w:ascii="仿宋_GB2312" w:eastAsia="仿宋_GB2312" w:hAnsi="仿宋_GB2312" w:cs="仿宋_GB2312" w:hint="eastAsia"/>
          <w:sz w:val="32"/>
          <w:szCs w:val="32"/>
        </w:rPr>
        <w:t>》（以</w:t>
      </w:r>
      <w:r w:rsidR="00376BA1">
        <w:rPr>
          <w:rFonts w:ascii="仿宋_GB2312" w:eastAsia="仿宋_GB2312" w:hAnsi="仿宋_GB2312" w:cs="仿宋_GB2312"/>
          <w:sz w:val="32"/>
          <w:szCs w:val="32"/>
        </w:rPr>
        <w:t>下简称</w:t>
      </w:r>
      <w:r w:rsidR="00376BA1">
        <w:rPr>
          <w:rFonts w:ascii="仿宋_GB2312" w:eastAsia="仿宋_GB2312" w:hAnsi="仿宋_GB2312" w:cs="仿宋_GB2312" w:hint="eastAsia"/>
          <w:sz w:val="32"/>
          <w:szCs w:val="32"/>
        </w:rPr>
        <w:t>“办</w:t>
      </w:r>
      <w:r w:rsidR="00376BA1">
        <w:rPr>
          <w:rFonts w:ascii="仿宋_GB2312" w:eastAsia="仿宋_GB2312" w:hAnsi="仿宋_GB2312" w:cs="仿宋_GB2312"/>
          <w:sz w:val="32"/>
          <w:szCs w:val="32"/>
        </w:rPr>
        <w:t>法</w:t>
      </w:r>
      <w:r w:rsidR="00376BA1">
        <w:rPr>
          <w:rFonts w:ascii="仿宋_GB2312" w:eastAsia="仿宋_GB2312" w:hAnsi="仿宋_GB2312" w:cs="仿宋_GB2312" w:hint="eastAsia"/>
          <w:sz w:val="32"/>
          <w:szCs w:val="32"/>
        </w:rPr>
        <w:t>”）附</w:t>
      </w:r>
      <w:r w:rsidR="00376BA1">
        <w:rPr>
          <w:rFonts w:ascii="仿宋_GB2312" w:eastAsia="仿宋_GB2312" w:hAnsi="仿宋_GB2312" w:cs="仿宋_GB2312"/>
          <w:sz w:val="32"/>
          <w:szCs w:val="32"/>
        </w:rPr>
        <w:t>件</w:t>
      </w:r>
      <w:r w:rsidR="00376BA1">
        <w:rPr>
          <w:rFonts w:ascii="仿宋_GB2312" w:eastAsia="仿宋_GB2312" w:hAnsi="仿宋_GB2312" w:cs="仿宋_GB2312" w:hint="eastAsia"/>
          <w:sz w:val="32"/>
          <w:szCs w:val="32"/>
        </w:rPr>
        <w:t>2</w:t>
      </w:r>
      <w:r w:rsidR="00376BA1">
        <w:rPr>
          <w:rFonts w:ascii="仿宋_GB2312" w:eastAsia="仿宋_GB2312" w:hAnsi="仿宋_GB2312" w:cs="仿宋_GB2312"/>
          <w:sz w:val="32"/>
          <w:szCs w:val="32"/>
        </w:rPr>
        <w:t>2</w:t>
      </w:r>
      <w:r w:rsidR="00376BA1">
        <w:rPr>
          <w:rFonts w:ascii="仿宋_GB2312" w:eastAsia="仿宋_GB2312" w:hAnsi="仿宋_GB2312" w:cs="仿宋_GB2312" w:hint="eastAsia"/>
          <w:sz w:val="32"/>
          <w:szCs w:val="32"/>
        </w:rPr>
        <w:t>《商</w:t>
      </w:r>
      <w:r w:rsidR="00376BA1">
        <w:rPr>
          <w:rFonts w:ascii="仿宋_GB2312" w:eastAsia="仿宋_GB2312" w:hAnsi="仿宋_GB2312" w:cs="仿宋_GB2312"/>
          <w:sz w:val="32"/>
          <w:szCs w:val="32"/>
        </w:rPr>
        <w:t>业银行信息披露内</w:t>
      </w:r>
      <w:r w:rsidR="00376BA1">
        <w:rPr>
          <w:rFonts w:ascii="仿宋_GB2312" w:eastAsia="仿宋_GB2312" w:hAnsi="仿宋_GB2312" w:cs="仿宋_GB2312" w:hint="eastAsia"/>
          <w:sz w:val="32"/>
          <w:szCs w:val="32"/>
        </w:rPr>
        <w:t>容</w:t>
      </w:r>
      <w:r w:rsidR="00376BA1">
        <w:rPr>
          <w:rFonts w:ascii="仿宋_GB2312" w:eastAsia="仿宋_GB2312" w:hAnsi="仿宋_GB2312" w:cs="仿宋_GB2312"/>
          <w:sz w:val="32"/>
          <w:szCs w:val="32"/>
        </w:rPr>
        <w:t>和要求</w:t>
      </w:r>
      <w:r w:rsidR="00376BA1">
        <w:rPr>
          <w:rFonts w:ascii="仿宋_GB2312" w:eastAsia="仿宋_GB2312" w:hAnsi="仿宋_GB2312" w:cs="仿宋_GB2312" w:hint="eastAsia"/>
          <w:sz w:val="32"/>
          <w:szCs w:val="32"/>
        </w:rPr>
        <w:t>》的</w:t>
      </w:r>
      <w:r w:rsidR="00376BA1">
        <w:rPr>
          <w:rFonts w:ascii="仿宋_GB2312" w:eastAsia="仿宋_GB2312" w:hAnsi="仿宋_GB2312" w:cs="仿宋_GB2312"/>
          <w:sz w:val="32"/>
          <w:szCs w:val="32"/>
        </w:rPr>
        <w:t>相关规定</w:t>
      </w:r>
      <w:r w:rsidR="00376BA1">
        <w:rPr>
          <w:rFonts w:ascii="仿宋_GB2312" w:eastAsia="仿宋_GB2312" w:hAnsi="仿宋_GB2312" w:cs="仿宋_GB2312" w:hint="eastAsia"/>
          <w:sz w:val="32"/>
          <w:szCs w:val="32"/>
        </w:rPr>
        <w:t>，通</w:t>
      </w:r>
      <w:r w:rsidR="00376BA1">
        <w:rPr>
          <w:rFonts w:ascii="仿宋_GB2312" w:eastAsia="仿宋_GB2312" w:hAnsi="仿宋_GB2312" w:cs="仿宋_GB2312"/>
          <w:sz w:val="32"/>
          <w:szCs w:val="32"/>
        </w:rPr>
        <w:t>过公开官方网站</w:t>
      </w:r>
      <w:r w:rsidR="00376BA1">
        <w:rPr>
          <w:rFonts w:ascii="仿宋_GB2312" w:eastAsia="仿宋_GB2312" w:hAnsi="仿宋_GB2312" w:cs="仿宋_GB2312" w:hint="eastAsia"/>
          <w:sz w:val="32"/>
          <w:szCs w:val="32"/>
        </w:rPr>
        <w:t>，向</w:t>
      </w:r>
      <w:r w:rsidR="00376BA1">
        <w:rPr>
          <w:rFonts w:ascii="仿宋_GB2312" w:eastAsia="仿宋_GB2312" w:hAnsi="仿宋_GB2312" w:cs="仿宋_GB2312"/>
          <w:sz w:val="32"/>
          <w:szCs w:val="32"/>
        </w:rPr>
        <w:t>投资者和</w:t>
      </w:r>
      <w:r w:rsidR="00376BA1">
        <w:rPr>
          <w:rFonts w:ascii="仿宋_GB2312" w:eastAsia="仿宋_GB2312" w:hAnsi="仿宋_GB2312" w:cs="仿宋_GB2312" w:hint="eastAsia"/>
          <w:sz w:val="32"/>
          <w:szCs w:val="32"/>
        </w:rPr>
        <w:t>社</w:t>
      </w:r>
      <w:r w:rsidR="00376BA1">
        <w:rPr>
          <w:rFonts w:ascii="仿宋_GB2312" w:eastAsia="仿宋_GB2312" w:hAnsi="仿宋_GB2312" w:cs="仿宋_GB2312"/>
          <w:sz w:val="32"/>
          <w:szCs w:val="32"/>
        </w:rPr>
        <w:t>会公众披露本行资本充足率信息</w:t>
      </w:r>
      <w:r w:rsidR="00376BA1">
        <w:rPr>
          <w:rFonts w:ascii="仿宋_GB2312" w:eastAsia="仿宋_GB2312" w:hAnsi="仿宋_GB2312" w:cs="仿宋_GB2312" w:hint="eastAsia"/>
          <w:sz w:val="32"/>
          <w:szCs w:val="32"/>
        </w:rPr>
        <w:t>。</w:t>
      </w:r>
    </w:p>
    <w:p w:rsidR="00516596" w:rsidRDefault="002A2A9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376BA1">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本行首次披露相关信息，无需对前期数据追溯披露。本季度本行需披露的报表如下:</w:t>
      </w:r>
    </w:p>
    <w:p w:rsidR="00376BA1" w:rsidRDefault="00376B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r>
        <w:rPr>
          <w:rFonts w:ascii="仿宋_GB2312" w:eastAsia="仿宋_GB2312" w:hAnsi="仿宋_GB2312" w:cs="仿宋_GB2312"/>
          <w:sz w:val="32"/>
          <w:szCs w:val="32"/>
        </w:rPr>
        <w:t>一</w:t>
      </w:r>
      <w:r>
        <w:rPr>
          <w:rFonts w:ascii="仿宋_GB2312" w:eastAsia="仿宋_GB2312" w:hAnsi="仿宋_GB2312" w:cs="仿宋_GB2312" w:hint="eastAsia"/>
          <w:sz w:val="32"/>
          <w:szCs w:val="32"/>
        </w:rPr>
        <w:t>：KM1监</w:t>
      </w:r>
      <w:r>
        <w:rPr>
          <w:rFonts w:ascii="仿宋_GB2312" w:eastAsia="仿宋_GB2312" w:hAnsi="仿宋_GB2312" w:cs="仿宋_GB2312"/>
          <w:sz w:val="32"/>
          <w:szCs w:val="32"/>
        </w:rPr>
        <w:t>管并表关键审慎监管指标</w:t>
      </w:r>
    </w:p>
    <w:p w:rsidR="00516596" w:rsidRDefault="002A2A99">
      <w:pPr>
        <w:spacing w:line="560" w:lineRule="exact"/>
        <w:ind w:right="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单位：万元、%</w:t>
      </w:r>
    </w:p>
    <w:tbl>
      <w:tblPr>
        <w:tblW w:w="5058" w:type="pct"/>
        <w:tblLook w:val="04A0" w:firstRow="1" w:lastRow="0" w:firstColumn="1" w:lastColumn="0" w:noHBand="0" w:noVBand="1"/>
      </w:tblPr>
      <w:tblGrid>
        <w:gridCol w:w="643"/>
        <w:gridCol w:w="6236"/>
        <w:gridCol w:w="2115"/>
      </w:tblGrid>
      <w:tr w:rsidR="00516596">
        <w:trPr>
          <w:trHeight w:val="440"/>
        </w:trPr>
        <w:tc>
          <w:tcPr>
            <w:tcW w:w="3824" w:type="pct"/>
            <w:gridSpan w:val="2"/>
            <w:tcBorders>
              <w:top w:val="single" w:sz="4" w:space="0" w:color="000000"/>
              <w:left w:val="single" w:sz="4" w:space="0" w:color="000000"/>
              <w:bottom w:val="single" w:sz="4" w:space="0" w:color="000000"/>
              <w:right w:val="single" w:sz="4" w:space="0" w:color="000000"/>
            </w:tcBorders>
            <w:shd w:val="clear" w:color="auto" w:fill="auto"/>
          </w:tcPr>
          <w:p w:rsidR="00516596" w:rsidRDefault="002A2A99">
            <w:pPr>
              <w:widowControl/>
              <w:jc w:val="center"/>
              <w:textAlignment w:val="top"/>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项目</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202</w:t>
            </w:r>
            <w:r>
              <w:rPr>
                <w:rFonts w:ascii="仿宋_GB2312" w:eastAsia="仿宋_GB2312" w:hAnsi="宋体" w:cs="仿宋_GB2312"/>
                <w:color w:val="000000"/>
                <w:kern w:val="0"/>
                <w:sz w:val="22"/>
                <w:lang w:bidi="ar"/>
              </w:rPr>
              <w:t>4</w:t>
            </w:r>
            <w:r>
              <w:rPr>
                <w:rFonts w:ascii="仿宋_GB2312" w:eastAsia="仿宋_GB2312" w:hAnsi="宋体" w:cs="仿宋_GB2312" w:hint="eastAsia"/>
                <w:color w:val="000000"/>
                <w:kern w:val="0"/>
                <w:sz w:val="22"/>
                <w:lang w:bidi="ar"/>
              </w:rPr>
              <w:t>年3月</w:t>
            </w:r>
            <w:r w:rsidR="00141C4D">
              <w:rPr>
                <w:rFonts w:ascii="仿宋_GB2312" w:eastAsia="仿宋_GB2312" w:hAnsi="宋体" w:cs="仿宋_GB2312" w:hint="eastAsia"/>
                <w:color w:val="000000"/>
                <w:kern w:val="0"/>
                <w:sz w:val="22"/>
                <w:lang w:bidi="ar"/>
              </w:rPr>
              <w:t>31日</w:t>
            </w:r>
          </w:p>
        </w:tc>
      </w:tr>
      <w:tr w:rsidR="00516596">
        <w:trPr>
          <w:trHeight w:val="440"/>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可用资本（数额）</w:t>
            </w:r>
          </w:p>
        </w:tc>
      </w:tr>
      <w:tr w:rsidR="00516596">
        <w:trPr>
          <w:trHeight w:val="288"/>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核心一级资本净额</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419456.56</w:t>
            </w:r>
          </w:p>
        </w:tc>
      </w:tr>
      <w:tr w:rsidR="00516596">
        <w:trPr>
          <w:trHeight w:val="28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2</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一级资本净额</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419456.56</w:t>
            </w:r>
          </w:p>
        </w:tc>
      </w:tr>
      <w:tr w:rsidR="00516596">
        <w:trPr>
          <w:trHeight w:val="24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3</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资本净额</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456367.87</w:t>
            </w:r>
          </w:p>
        </w:tc>
      </w:tr>
      <w:tr w:rsidR="00516596">
        <w:trPr>
          <w:trHeight w:val="579"/>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风险加权资产（数额）</w:t>
            </w:r>
          </w:p>
        </w:tc>
      </w:tr>
      <w:tr w:rsidR="00516596">
        <w:trPr>
          <w:trHeight w:val="294"/>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4</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风险加权资产</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 xml:space="preserve">3260107.43 </w:t>
            </w:r>
          </w:p>
        </w:tc>
      </w:tr>
      <w:tr w:rsidR="00516596">
        <w:trPr>
          <w:trHeight w:val="440"/>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jc w:val="left"/>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资本充足率</w:t>
            </w:r>
          </w:p>
        </w:tc>
      </w:tr>
      <w:tr w:rsidR="00516596">
        <w:trPr>
          <w:trHeight w:val="377"/>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5</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核心一级资本充足率（%）</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12.87</w:t>
            </w:r>
          </w:p>
        </w:tc>
      </w:tr>
      <w:tr w:rsidR="00516596">
        <w:trPr>
          <w:trHeight w:val="411"/>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6</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一级资本充足率（%）</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12.87</w:t>
            </w:r>
          </w:p>
        </w:tc>
      </w:tr>
      <w:tr w:rsidR="00516596">
        <w:trPr>
          <w:trHeight w:val="418"/>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7</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资本充足率（%）</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14</w:t>
            </w:r>
          </w:p>
        </w:tc>
      </w:tr>
      <w:tr w:rsidR="00516596">
        <w:trPr>
          <w:trHeight w:val="440"/>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jc w:val="left"/>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其他各级资本要求</w:t>
            </w:r>
          </w:p>
        </w:tc>
      </w:tr>
      <w:tr w:rsidR="00516596">
        <w:trPr>
          <w:trHeight w:val="387"/>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8</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储备资本要求（%）</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sz w:val="22"/>
              </w:rPr>
            </w:pPr>
            <w:r>
              <w:rPr>
                <w:rFonts w:ascii="仿宋_GB2312" w:eastAsia="仿宋_GB2312" w:hAnsi="宋体" w:cs="仿宋_GB2312" w:hint="eastAsia"/>
                <w:sz w:val="22"/>
              </w:rPr>
              <w:t>2</w:t>
            </w:r>
            <w:r>
              <w:rPr>
                <w:rFonts w:ascii="仿宋_GB2312" w:eastAsia="仿宋_GB2312" w:hAnsi="宋体" w:cs="仿宋_GB2312"/>
                <w:sz w:val="22"/>
              </w:rPr>
              <w:t>.5</w:t>
            </w:r>
          </w:p>
        </w:tc>
      </w:tr>
      <w:tr w:rsidR="00516596">
        <w:trPr>
          <w:trHeight w:val="556"/>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lastRenderedPageBreak/>
              <w:t>9</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逆周期资本要求（%）</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sz w:val="22"/>
              </w:rPr>
            </w:pPr>
            <w:r>
              <w:rPr>
                <w:rFonts w:ascii="仿宋_GB2312" w:eastAsia="仿宋_GB2312" w:hAnsi="宋体" w:cs="仿宋_GB2312" w:hint="eastAsia"/>
                <w:sz w:val="22"/>
              </w:rPr>
              <w:t>0</w:t>
            </w:r>
          </w:p>
        </w:tc>
      </w:tr>
      <w:tr w:rsidR="00516596">
        <w:trPr>
          <w:trHeight w:val="698"/>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10</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全球系统重要性银行或国内系统重要性银行附加资本要求（%）</w:t>
            </w:r>
          </w:p>
        </w:tc>
        <w:tc>
          <w:tcPr>
            <w:tcW w:w="1176" w:type="pct"/>
            <w:tcBorders>
              <w:top w:val="single" w:sz="4" w:space="0" w:color="000000"/>
              <w:left w:val="single" w:sz="4" w:space="0" w:color="000000"/>
              <w:bottom w:val="single" w:sz="4" w:space="0" w:color="000000"/>
              <w:right w:val="single" w:sz="4" w:space="0" w:color="000000"/>
            </w:tcBorders>
            <w:shd w:val="clear" w:color="auto" w:fill="BEBEBE"/>
            <w:vAlign w:val="center"/>
          </w:tcPr>
          <w:p w:rsidR="00516596" w:rsidRDefault="00516596">
            <w:pPr>
              <w:jc w:val="center"/>
              <w:rPr>
                <w:rFonts w:ascii="仿宋_GB2312" w:eastAsia="仿宋_GB2312" w:hAnsi="宋体" w:cs="仿宋_GB2312"/>
                <w:sz w:val="22"/>
              </w:rPr>
            </w:pPr>
          </w:p>
        </w:tc>
      </w:tr>
      <w:tr w:rsidR="00516596">
        <w:trPr>
          <w:trHeight w:val="588"/>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11</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其他各级资本要求（%）（8+9+10）</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sz w:val="22"/>
              </w:rPr>
            </w:pPr>
            <w:r>
              <w:rPr>
                <w:rFonts w:ascii="仿宋_GB2312" w:eastAsia="仿宋_GB2312" w:hAnsi="宋体" w:cs="仿宋_GB2312" w:hint="eastAsia"/>
                <w:sz w:val="22"/>
              </w:rPr>
              <w:t>2</w:t>
            </w:r>
            <w:r>
              <w:rPr>
                <w:rFonts w:ascii="仿宋_GB2312" w:eastAsia="仿宋_GB2312" w:hAnsi="宋体" w:cs="仿宋_GB2312"/>
                <w:sz w:val="22"/>
              </w:rPr>
              <w:t>.5</w:t>
            </w:r>
          </w:p>
        </w:tc>
      </w:tr>
      <w:tr w:rsidR="00516596">
        <w:trPr>
          <w:trHeight w:val="664"/>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12</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满足最低资本要求后的可用核心一级资本净额占风险加权资产的比例（%）</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FF0000"/>
                <w:sz w:val="22"/>
              </w:rPr>
            </w:pPr>
            <w:r w:rsidRPr="00772606">
              <w:rPr>
                <w:rFonts w:ascii="仿宋_GB2312" w:eastAsia="仿宋_GB2312" w:hAnsi="宋体" w:cs="仿宋_GB2312" w:hint="eastAsia"/>
                <w:sz w:val="22"/>
              </w:rPr>
              <w:t>6</w:t>
            </w:r>
          </w:p>
        </w:tc>
      </w:tr>
      <w:tr w:rsidR="00516596">
        <w:trPr>
          <w:trHeight w:val="440"/>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jc w:val="left"/>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杠杆率</w:t>
            </w:r>
          </w:p>
        </w:tc>
      </w:tr>
      <w:tr w:rsidR="00516596">
        <w:trPr>
          <w:trHeight w:val="397"/>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13</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调整后表内外资产余额</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5189898.26</w:t>
            </w:r>
          </w:p>
        </w:tc>
      </w:tr>
      <w:tr w:rsidR="00516596">
        <w:trPr>
          <w:trHeight w:val="416"/>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14</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杠杆率（%）</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8.08</w:t>
            </w:r>
          </w:p>
        </w:tc>
      </w:tr>
      <w:tr w:rsidR="00516596">
        <w:trPr>
          <w:trHeight w:val="421"/>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14a</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杠杆率a（%）</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8.08</w:t>
            </w:r>
          </w:p>
        </w:tc>
      </w:tr>
      <w:tr w:rsidR="00516596">
        <w:trPr>
          <w:trHeight w:val="400"/>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jc w:val="left"/>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流动性覆盖率</w:t>
            </w:r>
          </w:p>
        </w:tc>
      </w:tr>
      <w:tr w:rsidR="00516596">
        <w:trPr>
          <w:trHeight w:val="42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15</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合格优质流动性资产</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不适用</w:t>
            </w:r>
          </w:p>
        </w:tc>
      </w:tr>
      <w:tr w:rsidR="00516596">
        <w:trPr>
          <w:trHeight w:val="41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16</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现金净流出量</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不适用</w:t>
            </w:r>
          </w:p>
        </w:tc>
      </w:tr>
      <w:tr w:rsidR="00516596">
        <w:trPr>
          <w:trHeight w:val="417"/>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17</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流动性覆盖率（%）</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不适用</w:t>
            </w:r>
          </w:p>
        </w:tc>
      </w:tr>
      <w:tr w:rsidR="00516596">
        <w:trPr>
          <w:trHeight w:val="440"/>
        </w:trPr>
        <w:tc>
          <w:tcPr>
            <w:tcW w:w="357" w:type="pct"/>
            <w:tcBorders>
              <w:top w:val="single" w:sz="4" w:space="0" w:color="000000"/>
              <w:left w:val="single" w:sz="4" w:space="0" w:color="000000"/>
              <w:bottom w:val="single" w:sz="4" w:space="0" w:color="000000"/>
              <w:right w:val="single" w:sz="4" w:space="0" w:color="000000"/>
            </w:tcBorders>
            <w:shd w:val="clear" w:color="auto" w:fill="D9D9D9"/>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9D9D9"/>
          </w:tcPr>
          <w:p w:rsidR="00516596" w:rsidRDefault="002A2A99">
            <w:pPr>
              <w:widowControl/>
              <w:jc w:val="left"/>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净稳定资金比例</w:t>
            </w:r>
          </w:p>
        </w:tc>
      </w:tr>
      <w:tr w:rsidR="00516596">
        <w:trPr>
          <w:trHeight w:val="388"/>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18</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可用稳定资金合计</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不适用</w:t>
            </w:r>
          </w:p>
        </w:tc>
      </w:tr>
      <w:tr w:rsidR="00516596">
        <w:trPr>
          <w:trHeight w:val="42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19</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所需稳定资金合计</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不适用</w:t>
            </w:r>
          </w:p>
        </w:tc>
      </w:tr>
      <w:tr w:rsidR="00516596">
        <w:trPr>
          <w:trHeight w:val="413"/>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20</w:t>
            </w:r>
          </w:p>
        </w:tc>
        <w:tc>
          <w:tcPr>
            <w:tcW w:w="3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净稳定资金比例（%）</w:t>
            </w:r>
          </w:p>
        </w:tc>
        <w:tc>
          <w:tcPr>
            <w:tcW w:w="11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不适用</w:t>
            </w:r>
          </w:p>
        </w:tc>
      </w:tr>
      <w:tr w:rsidR="00516596">
        <w:trPr>
          <w:trHeight w:val="440"/>
        </w:trPr>
        <w:tc>
          <w:tcPr>
            <w:tcW w:w="357" w:type="pct"/>
            <w:tcBorders>
              <w:top w:val="single" w:sz="4" w:space="0" w:color="000000"/>
              <w:left w:val="single" w:sz="4" w:space="0" w:color="000000"/>
              <w:bottom w:val="single" w:sz="4" w:space="0" w:color="000000"/>
              <w:right w:val="single" w:sz="4" w:space="0" w:color="000000"/>
            </w:tcBorders>
            <w:shd w:val="clear" w:color="auto" w:fill="D8D8D8"/>
          </w:tcPr>
          <w:p w:rsidR="00516596" w:rsidRDefault="00516596">
            <w:pPr>
              <w:rPr>
                <w:rFonts w:ascii="仿宋_GB2312" w:eastAsia="仿宋_GB2312" w:hAnsi="宋体" w:cs="仿宋_GB2312"/>
                <w:b/>
                <w:bCs/>
                <w:color w:val="000000"/>
                <w:sz w:val="22"/>
              </w:rPr>
            </w:pPr>
          </w:p>
        </w:tc>
        <w:tc>
          <w:tcPr>
            <w:tcW w:w="4643" w:type="pct"/>
            <w:gridSpan w:val="2"/>
            <w:tcBorders>
              <w:top w:val="single" w:sz="4" w:space="0" w:color="000000"/>
              <w:left w:val="single" w:sz="4" w:space="0" w:color="000000"/>
              <w:bottom w:val="single" w:sz="4" w:space="0" w:color="000000"/>
              <w:right w:val="single" w:sz="4" w:space="0" w:color="000000"/>
            </w:tcBorders>
            <w:shd w:val="clear" w:color="auto" w:fill="D8D8D8"/>
          </w:tcPr>
          <w:p w:rsidR="00516596" w:rsidRDefault="002A2A99">
            <w:pPr>
              <w:widowControl/>
              <w:jc w:val="left"/>
              <w:textAlignment w:val="top"/>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bidi="ar"/>
              </w:rPr>
              <w:t>流动性比例</w:t>
            </w:r>
          </w:p>
        </w:tc>
      </w:tr>
      <w:tr w:rsidR="00516596">
        <w:trPr>
          <w:trHeight w:val="540"/>
        </w:trPr>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21</w:t>
            </w:r>
          </w:p>
        </w:tc>
        <w:tc>
          <w:tcPr>
            <w:tcW w:w="34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16596" w:rsidRDefault="002A2A99">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流动性比例（%）</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16596" w:rsidRDefault="002A2A99">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64.17</w:t>
            </w:r>
          </w:p>
        </w:tc>
      </w:tr>
    </w:tbl>
    <w:p w:rsidR="00516596" w:rsidRDefault="00516596">
      <w:pPr>
        <w:spacing w:line="560" w:lineRule="exact"/>
        <w:rPr>
          <w:rFonts w:ascii="黑体" w:eastAsia="黑体" w:hAnsi="黑体" w:cs="黑体"/>
          <w:sz w:val="32"/>
          <w:szCs w:val="32"/>
        </w:rPr>
      </w:pPr>
    </w:p>
    <w:p w:rsidR="00516596" w:rsidRDefault="00516596">
      <w:pPr>
        <w:spacing w:line="560" w:lineRule="exact"/>
        <w:ind w:firstLineChars="200" w:firstLine="640"/>
        <w:jc w:val="right"/>
        <w:rPr>
          <w:rFonts w:ascii="黑体" w:eastAsia="黑体" w:hAnsi="黑体" w:cs="黑体"/>
          <w:sz w:val="32"/>
          <w:szCs w:val="32"/>
        </w:rPr>
      </w:pPr>
    </w:p>
    <w:sectPr w:rsidR="00516596">
      <w:pgSz w:w="11906" w:h="16838"/>
      <w:pgMar w:top="2098" w:right="1474" w:bottom="198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FC6" w:rsidRDefault="00F00FC6" w:rsidP="00E50A06">
      <w:r>
        <w:separator/>
      </w:r>
    </w:p>
  </w:endnote>
  <w:endnote w:type="continuationSeparator" w:id="0">
    <w:p w:rsidR="00F00FC6" w:rsidRDefault="00F00FC6" w:rsidP="00E5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_GBK"/>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FC6" w:rsidRDefault="00F00FC6" w:rsidP="00E50A06">
      <w:r>
        <w:separator/>
      </w:r>
    </w:p>
  </w:footnote>
  <w:footnote w:type="continuationSeparator" w:id="0">
    <w:p w:rsidR="00F00FC6" w:rsidRDefault="00F00FC6" w:rsidP="00E50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Yzk1MDcwYWVhMzM5Y2I5ZTI4YWVhNjhlNzhkNWYifQ=="/>
  </w:docVars>
  <w:rsids>
    <w:rsidRoot w:val="00081786"/>
    <w:rsid w:val="00031BA6"/>
    <w:rsid w:val="00051AAD"/>
    <w:rsid w:val="000711E6"/>
    <w:rsid w:val="00075C99"/>
    <w:rsid w:val="00081786"/>
    <w:rsid w:val="00094616"/>
    <w:rsid w:val="000B5415"/>
    <w:rsid w:val="00141C4D"/>
    <w:rsid w:val="00190FBA"/>
    <w:rsid w:val="001B03B2"/>
    <w:rsid w:val="001E775D"/>
    <w:rsid w:val="0023595A"/>
    <w:rsid w:val="002413CE"/>
    <w:rsid w:val="002A2A99"/>
    <w:rsid w:val="0033660C"/>
    <w:rsid w:val="00376BA1"/>
    <w:rsid w:val="003C55D8"/>
    <w:rsid w:val="004433AD"/>
    <w:rsid w:val="00516596"/>
    <w:rsid w:val="00564C4B"/>
    <w:rsid w:val="006E7A1D"/>
    <w:rsid w:val="007563E7"/>
    <w:rsid w:val="00772606"/>
    <w:rsid w:val="00845BBE"/>
    <w:rsid w:val="00854B60"/>
    <w:rsid w:val="009170D9"/>
    <w:rsid w:val="009335D5"/>
    <w:rsid w:val="00A22880"/>
    <w:rsid w:val="00A45F3C"/>
    <w:rsid w:val="00AA5F74"/>
    <w:rsid w:val="00B96F72"/>
    <w:rsid w:val="00C018D8"/>
    <w:rsid w:val="00E00066"/>
    <w:rsid w:val="00E50A06"/>
    <w:rsid w:val="00E61566"/>
    <w:rsid w:val="00F00FC6"/>
    <w:rsid w:val="027432A1"/>
    <w:rsid w:val="0304123A"/>
    <w:rsid w:val="052757B8"/>
    <w:rsid w:val="057E2876"/>
    <w:rsid w:val="09AC0348"/>
    <w:rsid w:val="0FEF171B"/>
    <w:rsid w:val="105A36E8"/>
    <w:rsid w:val="24FB766C"/>
    <w:rsid w:val="28004562"/>
    <w:rsid w:val="2BE06A1C"/>
    <w:rsid w:val="3D037928"/>
    <w:rsid w:val="442F0410"/>
    <w:rsid w:val="454964D0"/>
    <w:rsid w:val="5C27788D"/>
    <w:rsid w:val="5F7E59A1"/>
    <w:rsid w:val="690054AE"/>
    <w:rsid w:val="6AA40B68"/>
    <w:rsid w:val="7849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F6344-35E0-4B15-8B4C-9618B160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font11">
    <w:name w:val="font11"/>
    <w:basedOn w:val="a0"/>
    <w:rPr>
      <w:rFonts w:ascii="仿宋_GB2312" w:eastAsia="仿宋_GB2312" w:cs="仿宋_GB2312" w:hint="eastAsia"/>
      <w:color w:val="000000"/>
      <w:sz w:val="22"/>
      <w:szCs w:val="22"/>
      <w:u w:val="none"/>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autoRedefine/>
    <w:uiPriority w:val="99"/>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E50A06"/>
    <w:rPr>
      <w:sz w:val="18"/>
      <w:szCs w:val="18"/>
    </w:rPr>
  </w:style>
  <w:style w:type="character" w:customStyle="1" w:styleId="Char1">
    <w:name w:val="批注框文本 Char"/>
    <w:basedOn w:val="a0"/>
    <w:link w:val="a6"/>
    <w:uiPriority w:val="99"/>
    <w:semiHidden/>
    <w:rsid w:val="00E50A0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2024-04-29T08:53:00Z</cp:lastPrinted>
  <dcterms:created xsi:type="dcterms:W3CDTF">2024-04-30T05:54:00Z</dcterms:created>
  <dcterms:modified xsi:type="dcterms:W3CDTF">2024-04-30T05:54:00Z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6D5513B18EF14900895F3E68692B2131_13</vt:lpwstr>
  </property>
</Properties>
</file>