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ind w:firstLine="1170"/>
        <w:jc w:val="center"/>
        <w:rPr>
          <w:rFonts w:cs="Courier New"/>
          <w:sz w:val="52"/>
          <w:szCs w:val="52"/>
          <w:highlight w:val="none"/>
        </w:rPr>
      </w:pPr>
    </w:p>
    <w:p>
      <w:pPr>
        <w:pStyle w:val="22"/>
        <w:jc w:val="center"/>
        <w:rPr>
          <w:rFonts w:cs="Courier New"/>
          <w:sz w:val="52"/>
          <w:szCs w:val="52"/>
          <w:highlight w:val="none"/>
        </w:rPr>
      </w:pPr>
      <w:r>
        <w:rPr>
          <w:rFonts w:hint="eastAsia" w:cs="Courier New"/>
          <w:sz w:val="52"/>
          <w:szCs w:val="52"/>
          <w:highlight w:val="none"/>
        </w:rPr>
        <w:t>桐庐农商银行营业网点及办公场所装修设计服务单位入围项目</w:t>
      </w:r>
    </w:p>
    <w:p>
      <w:pPr>
        <w:pStyle w:val="22"/>
        <w:ind w:firstLine="1170"/>
        <w:jc w:val="center"/>
        <w:rPr>
          <w:rFonts w:hint="eastAsia" w:hAnsi="宋体" w:cs="Courier New"/>
          <w:color w:val="000000"/>
          <w:sz w:val="52"/>
          <w:szCs w:val="52"/>
          <w:highlight w:val="none"/>
        </w:rPr>
      </w:pPr>
    </w:p>
    <w:p>
      <w:pPr>
        <w:ind w:firstLine="473"/>
        <w:rPr>
          <w:highlight w:val="none"/>
        </w:rPr>
      </w:pPr>
    </w:p>
    <w:p>
      <w:pPr>
        <w:pStyle w:val="36"/>
        <w:ind w:firstLine="542"/>
        <w:rPr>
          <w:highlight w:val="none"/>
          <w:lang w:val="en-US"/>
        </w:rPr>
      </w:pPr>
    </w:p>
    <w:p>
      <w:pPr>
        <w:pStyle w:val="22"/>
        <w:jc w:val="center"/>
        <w:rPr>
          <w:rFonts w:hint="eastAsia" w:hAnsi="宋体" w:cs="Courier New"/>
          <w:color w:val="000000"/>
          <w:sz w:val="52"/>
          <w:szCs w:val="52"/>
          <w:highlight w:val="none"/>
        </w:rPr>
      </w:pPr>
      <w:r>
        <w:rPr>
          <w:rFonts w:hint="eastAsia" w:hAnsi="宋体" w:cs="Courier New"/>
          <w:color w:val="000000"/>
          <w:sz w:val="52"/>
          <w:szCs w:val="52"/>
          <w:highlight w:val="none"/>
        </w:rPr>
        <w:t>采 购 文 件</w:t>
      </w:r>
    </w:p>
    <w:p>
      <w:pPr>
        <w:ind w:firstLine="630"/>
        <w:jc w:val="center"/>
        <w:rPr>
          <w:rFonts w:hint="eastAsia" w:ascii="宋体" w:hAnsi="宋体"/>
          <w:sz w:val="28"/>
          <w:szCs w:val="28"/>
          <w:highlight w:val="none"/>
        </w:rPr>
      </w:pPr>
    </w:p>
    <w:p>
      <w:pPr>
        <w:jc w:val="center"/>
        <w:rPr>
          <w:rFonts w:hint="eastAsia" w:ascii="宋体" w:hAnsi="宋体"/>
          <w:sz w:val="28"/>
          <w:szCs w:val="28"/>
          <w:highlight w:val="none"/>
        </w:rPr>
      </w:pPr>
      <w:r>
        <w:rPr>
          <w:rFonts w:hint="eastAsia" w:ascii="宋体" w:hAnsi="宋体"/>
          <w:sz w:val="28"/>
          <w:szCs w:val="28"/>
          <w:highlight w:val="none"/>
        </w:rPr>
        <w:t>（项目编号：CTJSCG-2024-002）</w:t>
      </w:r>
    </w:p>
    <w:p>
      <w:pPr>
        <w:ind w:firstLine="1175"/>
        <w:rPr>
          <w:rFonts w:hint="eastAsia" w:ascii="宋体" w:hAnsi="宋体"/>
          <w:b/>
          <w:sz w:val="52"/>
          <w:highlight w:val="none"/>
        </w:rPr>
      </w:pPr>
    </w:p>
    <w:p>
      <w:pPr>
        <w:ind w:firstLine="1175"/>
        <w:rPr>
          <w:rFonts w:hint="eastAsia" w:ascii="宋体" w:hAnsi="宋体"/>
          <w:b/>
          <w:sz w:val="52"/>
          <w:highlight w:val="none"/>
        </w:rPr>
      </w:pPr>
      <w:r>
        <w:rPr>
          <w:rFonts w:hint="eastAsia" w:ascii="宋体" w:hAnsi="宋体"/>
          <w:b/>
          <w:sz w:val="52"/>
          <w:highlight w:val="none"/>
        </w:rPr>
        <w:t xml:space="preserve">  </w:t>
      </w:r>
    </w:p>
    <w:p>
      <w:pPr>
        <w:ind w:firstLine="1175"/>
        <w:rPr>
          <w:rFonts w:hint="eastAsia" w:ascii="宋体" w:hAnsi="宋体"/>
          <w:sz w:val="36"/>
          <w:szCs w:val="36"/>
          <w:highlight w:val="none"/>
        </w:rPr>
      </w:pPr>
      <w:r>
        <w:rPr>
          <w:rFonts w:hint="eastAsia" w:ascii="宋体" w:hAnsi="宋体"/>
          <w:b/>
          <w:sz w:val="52"/>
          <w:highlight w:val="none"/>
        </w:rPr>
        <w:t xml:space="preserve">  </w:t>
      </w:r>
      <w:r>
        <w:rPr>
          <w:rFonts w:hint="eastAsia" w:ascii="宋体" w:hAnsi="宋体"/>
          <w:sz w:val="52"/>
          <w:highlight w:val="none"/>
        </w:rPr>
        <w:t xml:space="preserve"> </w:t>
      </w:r>
      <w:r>
        <w:rPr>
          <w:rFonts w:hint="eastAsia" w:ascii="宋体" w:hAnsi="宋体"/>
          <w:sz w:val="36"/>
          <w:szCs w:val="36"/>
          <w:highlight w:val="none"/>
        </w:rPr>
        <w:t xml:space="preserve"> </w:t>
      </w:r>
    </w:p>
    <w:p>
      <w:pPr>
        <w:pStyle w:val="36"/>
        <w:ind w:firstLine="542"/>
        <w:rPr>
          <w:highlight w:val="none"/>
          <w:lang w:val="en-US"/>
        </w:rPr>
      </w:pPr>
    </w:p>
    <w:p>
      <w:pPr>
        <w:ind w:firstLine="473"/>
        <w:rPr>
          <w:highlight w:val="none"/>
        </w:rPr>
      </w:pPr>
    </w:p>
    <w:p>
      <w:pPr>
        <w:tabs>
          <w:tab w:val="left" w:pos="1980"/>
          <w:tab w:val="left" w:pos="3240"/>
          <w:tab w:val="left" w:pos="3420"/>
          <w:tab w:val="left" w:pos="3600"/>
          <w:tab w:val="left" w:pos="3780"/>
        </w:tabs>
        <w:snapToGrid w:val="0"/>
        <w:spacing w:line="600" w:lineRule="auto"/>
        <w:ind w:firstLine="720"/>
        <w:jc w:val="left"/>
        <w:rPr>
          <w:sz w:val="32"/>
          <w:highlight w:val="none"/>
        </w:rPr>
      </w:pPr>
    </w:p>
    <w:p>
      <w:pPr>
        <w:tabs>
          <w:tab w:val="left" w:pos="1980"/>
          <w:tab w:val="left" w:pos="3240"/>
          <w:tab w:val="left" w:pos="3420"/>
          <w:tab w:val="left" w:pos="3600"/>
          <w:tab w:val="left" w:pos="3780"/>
        </w:tabs>
        <w:snapToGrid w:val="0"/>
        <w:spacing w:line="600" w:lineRule="auto"/>
        <w:ind w:firstLine="720"/>
        <w:jc w:val="left"/>
        <w:rPr>
          <w:sz w:val="32"/>
          <w:highlight w:val="none"/>
          <w:u w:val="single"/>
        </w:rPr>
      </w:pPr>
      <w:r>
        <w:rPr>
          <w:sz w:val="32"/>
          <w:highlight w:val="none"/>
        </w:rPr>
        <w:t xml:space="preserve"> </w:t>
      </w:r>
      <w:r>
        <w:rPr>
          <w:rFonts w:hint="eastAsia"/>
          <w:sz w:val="32"/>
          <w:highlight w:val="none"/>
        </w:rPr>
        <w:t>采购单位</w:t>
      </w:r>
      <w:r>
        <w:rPr>
          <w:sz w:val="32"/>
          <w:highlight w:val="none"/>
        </w:rPr>
        <w:t xml:space="preserve"> </w:t>
      </w:r>
      <w:r>
        <w:rPr>
          <w:rFonts w:hint="eastAsia"/>
          <w:sz w:val="32"/>
          <w:highlight w:val="none"/>
        </w:rPr>
        <w:t>：</w:t>
      </w:r>
      <w:r>
        <w:rPr>
          <w:sz w:val="32"/>
          <w:highlight w:val="none"/>
          <w:u w:val="single"/>
        </w:rPr>
        <w:t xml:space="preserve">     </w:t>
      </w:r>
      <w:r>
        <w:rPr>
          <w:rFonts w:hint="eastAsia" w:ascii="宋体" w:hAnsi="宋体"/>
          <w:sz w:val="32"/>
          <w:szCs w:val="32"/>
          <w:highlight w:val="none"/>
          <w:u w:val="single"/>
        </w:rPr>
        <w:t xml:space="preserve">浙江桐庐农村商业银行股份有限公司          </w:t>
      </w:r>
    </w:p>
    <w:p>
      <w:pPr>
        <w:pStyle w:val="23"/>
        <w:snapToGrid w:val="0"/>
        <w:spacing w:line="600" w:lineRule="auto"/>
        <w:ind w:left="0" w:firstLine="720"/>
        <w:jc w:val="left"/>
        <w:rPr>
          <w:rFonts w:hint="eastAsia" w:ascii="宋体" w:hAnsi="宋体"/>
          <w:sz w:val="33"/>
          <w:szCs w:val="33"/>
          <w:highlight w:val="none"/>
          <w:u w:val="single"/>
        </w:rPr>
      </w:pPr>
      <w:r>
        <w:rPr>
          <w:rFonts w:hint="eastAsia" w:ascii="宋体" w:hAnsi="宋体"/>
          <w:sz w:val="32"/>
          <w:szCs w:val="32"/>
          <w:highlight w:val="none"/>
        </w:rPr>
        <w:t xml:space="preserve"> 采购</w:t>
      </w:r>
      <w:r>
        <w:rPr>
          <w:rFonts w:ascii="宋体" w:hAnsi="宋体"/>
          <w:sz w:val="32"/>
          <w:szCs w:val="32"/>
          <w:highlight w:val="none"/>
        </w:rPr>
        <w:t>代理</w:t>
      </w:r>
      <w:r>
        <w:rPr>
          <w:rFonts w:hint="eastAsia" w:ascii="宋体" w:hAnsi="宋体"/>
          <w:sz w:val="32"/>
          <w:szCs w:val="32"/>
          <w:highlight w:val="none"/>
        </w:rPr>
        <w:t>机构 ：</w:t>
      </w:r>
      <w:r>
        <w:rPr>
          <w:rFonts w:hint="eastAsia" w:ascii="宋体" w:hAnsi="宋体"/>
          <w:sz w:val="32"/>
          <w:szCs w:val="32"/>
          <w:highlight w:val="none"/>
          <w:u w:val="single"/>
        </w:rPr>
        <w:t xml:space="preserve">    浙江承天建设工程管理有限公司            </w:t>
      </w:r>
    </w:p>
    <w:p>
      <w:pPr>
        <w:snapToGrid w:val="0"/>
        <w:spacing w:line="600" w:lineRule="auto"/>
        <w:ind w:firstLine="720"/>
        <w:jc w:val="left"/>
        <w:rPr>
          <w:rFonts w:hint="eastAsia" w:ascii="宋体" w:hAnsi="宋体"/>
          <w:sz w:val="32"/>
          <w:szCs w:val="32"/>
          <w:highlight w:val="none"/>
          <w:u w:val="single"/>
        </w:rPr>
      </w:pPr>
      <w:r>
        <w:rPr>
          <w:rFonts w:hint="eastAsia" w:ascii="宋体" w:hAnsi="宋体"/>
          <w:sz w:val="32"/>
          <w:szCs w:val="32"/>
          <w:highlight w:val="none"/>
        </w:rPr>
        <w:t xml:space="preserve">   </w:t>
      </w:r>
    </w:p>
    <w:p>
      <w:pPr>
        <w:ind w:firstLine="473"/>
        <w:rPr>
          <w:highlight w:val="none"/>
        </w:rPr>
      </w:pPr>
    </w:p>
    <w:p>
      <w:pPr>
        <w:pStyle w:val="3"/>
        <w:ind w:firstLine="542"/>
        <w:rPr>
          <w:highlight w:val="none"/>
        </w:rPr>
      </w:pPr>
    </w:p>
    <w:p>
      <w:pPr>
        <w:ind w:firstLine="473"/>
        <w:rPr>
          <w:highlight w:val="none"/>
        </w:rPr>
      </w:pPr>
    </w:p>
    <w:p>
      <w:pPr>
        <w:pStyle w:val="3"/>
        <w:ind w:firstLine="542"/>
        <w:rPr>
          <w:highlight w:val="none"/>
        </w:rPr>
      </w:pPr>
    </w:p>
    <w:p>
      <w:pPr>
        <w:ind w:firstLine="743"/>
        <w:jc w:val="center"/>
        <w:rPr>
          <w:rFonts w:hint="eastAsia" w:ascii="宋体" w:hAnsi="宋体"/>
          <w:sz w:val="33"/>
          <w:szCs w:val="33"/>
          <w:highlight w:val="none"/>
        </w:rPr>
      </w:pPr>
    </w:p>
    <w:p>
      <w:pPr>
        <w:jc w:val="center"/>
        <w:rPr>
          <w:rFonts w:hint="eastAsia" w:ascii="宋体" w:hAnsi="宋体"/>
          <w:sz w:val="33"/>
          <w:szCs w:val="33"/>
          <w:highlight w:val="none"/>
        </w:rPr>
      </w:pPr>
      <w:r>
        <w:rPr>
          <w:rFonts w:hint="eastAsia" w:ascii="宋体" w:hAnsi="宋体"/>
          <w:sz w:val="33"/>
          <w:szCs w:val="33"/>
          <w:highlight w:val="none"/>
        </w:rPr>
        <w:t>2024年8月</w:t>
      </w:r>
      <w:bookmarkStart w:id="0" w:name="_Toc44215488"/>
    </w:p>
    <w:p>
      <w:pPr>
        <w:pStyle w:val="3"/>
        <w:ind w:firstLine="745"/>
        <w:jc w:val="both"/>
        <w:rPr>
          <w:rFonts w:hint="eastAsia" w:hAnsi="宋体"/>
          <w:sz w:val="33"/>
          <w:szCs w:val="33"/>
          <w:highlight w:val="none"/>
        </w:rPr>
        <w:sectPr>
          <w:footerReference r:id="rId3" w:type="default"/>
          <w:pgSz w:w="11907" w:h="16840"/>
          <w:pgMar w:top="1474" w:right="1418" w:bottom="1474" w:left="1418" w:header="851" w:footer="851" w:gutter="0"/>
          <w:pgNumType w:fmt="numberInDash" w:start="1"/>
          <w:cols w:space="720" w:num="1"/>
        </w:sectPr>
      </w:pPr>
    </w:p>
    <w:p>
      <w:pPr>
        <w:ind w:firstLine="473"/>
        <w:rPr>
          <w:highlight w:val="none"/>
        </w:rPr>
      </w:pPr>
    </w:p>
    <w:p>
      <w:pPr>
        <w:jc w:val="center"/>
        <w:rPr>
          <w:b/>
          <w:bCs/>
          <w:sz w:val="28"/>
          <w:szCs w:val="28"/>
          <w:highlight w:val="none"/>
        </w:rPr>
      </w:pPr>
      <w:bookmarkStart w:id="1" w:name="_Toc110"/>
      <w:r>
        <w:rPr>
          <w:rFonts w:hint="eastAsia"/>
          <w:b/>
          <w:bCs/>
          <w:sz w:val="28"/>
          <w:szCs w:val="28"/>
          <w:highlight w:val="none"/>
        </w:rPr>
        <w:t>目录</w:t>
      </w:r>
      <w:bookmarkEnd w:id="1"/>
    </w:p>
    <w:p>
      <w:pPr>
        <w:ind w:firstLine="473"/>
        <w:rPr>
          <w:highlight w:val="none"/>
          <w:lang w:val="zh-CN"/>
        </w:rPr>
      </w:pPr>
    </w:p>
    <w:p>
      <w:pPr>
        <w:pStyle w:val="27"/>
        <w:keepNext w:val="0"/>
        <w:keepLines w:val="0"/>
        <w:pageBreakBefore w:val="0"/>
        <w:widowControl w:val="0"/>
        <w:tabs>
          <w:tab w:val="right" w:leader="dot" w:pos="9071"/>
        </w:tabs>
        <w:kinsoku/>
        <w:wordWrap/>
        <w:overflowPunct/>
        <w:topLinePunct w:val="0"/>
        <w:autoSpaceDE/>
        <w:autoSpaceDN/>
        <w:bidi w:val="0"/>
        <w:adjustRightInd/>
        <w:spacing w:line="360" w:lineRule="auto"/>
        <w:textAlignment w:val="auto"/>
        <w:rPr>
          <w:sz w:val="24"/>
          <w:szCs w:val="24"/>
          <w:highlight w:val="none"/>
        </w:rPr>
      </w:pPr>
      <w:r>
        <w:rPr>
          <w:sz w:val="24"/>
          <w:szCs w:val="24"/>
          <w:highlight w:val="none"/>
        </w:rPr>
        <w:fldChar w:fldCharType="begin"/>
      </w:r>
      <w:r>
        <w:rPr>
          <w:rFonts w:hint="eastAsia" w:ascii="宋体" w:hAnsi="宋体" w:cs="宋体"/>
          <w:b w:val="0"/>
          <w:sz w:val="24"/>
          <w:szCs w:val="24"/>
          <w:highlight w:val="none"/>
        </w:rPr>
        <w:instrText xml:space="preserve"> TOC \o "1-3" \h \z \u </w:instrText>
      </w:r>
      <w:r>
        <w:rPr>
          <w:sz w:val="24"/>
          <w:szCs w:val="24"/>
          <w:highlight w:val="none"/>
        </w:rPr>
        <w:fldChar w:fldCharType="separate"/>
      </w:r>
      <w:r>
        <w:rPr>
          <w:sz w:val="24"/>
          <w:szCs w:val="24"/>
          <w:highlight w:val="none"/>
        </w:rPr>
        <w:fldChar w:fldCharType="begin"/>
      </w:r>
      <w:r>
        <w:rPr>
          <w:sz w:val="24"/>
          <w:szCs w:val="24"/>
          <w:highlight w:val="none"/>
        </w:rPr>
        <w:instrText xml:space="preserve"> HYPERLINK \l _Toc4206 </w:instrText>
      </w:r>
      <w:r>
        <w:rPr>
          <w:sz w:val="24"/>
          <w:szCs w:val="24"/>
          <w:highlight w:val="none"/>
        </w:rPr>
        <w:fldChar w:fldCharType="separate"/>
      </w:r>
      <w:r>
        <w:rPr>
          <w:rFonts w:hint="eastAsia"/>
          <w:sz w:val="24"/>
          <w:szCs w:val="24"/>
          <w:highlight w:val="none"/>
        </w:rPr>
        <w:t>第一章 采购公告</w:t>
      </w:r>
      <w:r>
        <w:rPr>
          <w:sz w:val="24"/>
          <w:szCs w:val="24"/>
          <w:highlight w:val="none"/>
        </w:rPr>
        <w:tab/>
      </w:r>
      <w:r>
        <w:rPr>
          <w:sz w:val="24"/>
          <w:szCs w:val="24"/>
          <w:highlight w:val="none"/>
        </w:rPr>
        <w:fldChar w:fldCharType="begin"/>
      </w:r>
      <w:r>
        <w:rPr>
          <w:sz w:val="24"/>
          <w:szCs w:val="24"/>
          <w:highlight w:val="none"/>
        </w:rPr>
        <w:instrText xml:space="preserve"> PAGEREF _Toc4206 \h </w:instrText>
      </w:r>
      <w:r>
        <w:rPr>
          <w:sz w:val="24"/>
          <w:szCs w:val="24"/>
          <w:highlight w:val="none"/>
        </w:rPr>
        <w:fldChar w:fldCharType="separate"/>
      </w:r>
      <w:r>
        <w:rPr>
          <w:sz w:val="24"/>
          <w:szCs w:val="24"/>
          <w:highlight w:val="none"/>
        </w:rPr>
        <w:t>1</w:t>
      </w:r>
      <w:r>
        <w:rPr>
          <w:sz w:val="24"/>
          <w:szCs w:val="24"/>
          <w:highlight w:val="none"/>
        </w:rPr>
        <w:fldChar w:fldCharType="end"/>
      </w:r>
      <w:r>
        <w:rPr>
          <w:sz w:val="24"/>
          <w:szCs w:val="24"/>
          <w:highlight w:val="none"/>
        </w:rPr>
        <w:fldChar w:fldCharType="end"/>
      </w:r>
    </w:p>
    <w:p>
      <w:pPr>
        <w:pStyle w:val="27"/>
        <w:keepNext w:val="0"/>
        <w:keepLines w:val="0"/>
        <w:pageBreakBefore w:val="0"/>
        <w:widowControl w:val="0"/>
        <w:tabs>
          <w:tab w:val="right" w:leader="dot" w:pos="9071"/>
        </w:tabs>
        <w:kinsoku/>
        <w:wordWrap/>
        <w:overflowPunct/>
        <w:topLinePunct w:val="0"/>
        <w:autoSpaceDE/>
        <w:autoSpaceDN/>
        <w:bidi w:val="0"/>
        <w:adjustRightIn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_Toc16742 </w:instrText>
      </w:r>
      <w:r>
        <w:rPr>
          <w:sz w:val="24"/>
          <w:szCs w:val="24"/>
          <w:highlight w:val="none"/>
        </w:rPr>
        <w:fldChar w:fldCharType="separate"/>
      </w:r>
      <w:r>
        <w:rPr>
          <w:rFonts w:hint="eastAsia"/>
          <w:sz w:val="24"/>
          <w:szCs w:val="24"/>
          <w:highlight w:val="none"/>
        </w:rPr>
        <w:t>第二章 供应商须知</w:t>
      </w:r>
      <w:r>
        <w:rPr>
          <w:sz w:val="24"/>
          <w:szCs w:val="24"/>
          <w:highlight w:val="none"/>
        </w:rPr>
        <w:tab/>
      </w:r>
      <w:r>
        <w:rPr>
          <w:sz w:val="24"/>
          <w:szCs w:val="24"/>
          <w:highlight w:val="none"/>
        </w:rPr>
        <w:fldChar w:fldCharType="begin"/>
      </w:r>
      <w:r>
        <w:rPr>
          <w:sz w:val="24"/>
          <w:szCs w:val="24"/>
          <w:highlight w:val="none"/>
        </w:rPr>
        <w:instrText xml:space="preserve"> PAGEREF _Toc16742 \h </w:instrText>
      </w:r>
      <w:r>
        <w:rPr>
          <w:sz w:val="24"/>
          <w:szCs w:val="24"/>
          <w:highlight w:val="none"/>
        </w:rPr>
        <w:fldChar w:fldCharType="separate"/>
      </w:r>
      <w:r>
        <w:rPr>
          <w:sz w:val="24"/>
          <w:szCs w:val="24"/>
          <w:highlight w:val="none"/>
        </w:rPr>
        <w:t>4</w:t>
      </w:r>
      <w:r>
        <w:rPr>
          <w:sz w:val="24"/>
          <w:szCs w:val="24"/>
          <w:highlight w:val="none"/>
        </w:rPr>
        <w:fldChar w:fldCharType="end"/>
      </w:r>
      <w:r>
        <w:rPr>
          <w:sz w:val="24"/>
          <w:szCs w:val="24"/>
          <w:highlight w:val="none"/>
        </w:rPr>
        <w:fldChar w:fldCharType="end"/>
      </w:r>
    </w:p>
    <w:p>
      <w:pPr>
        <w:pStyle w:val="27"/>
        <w:keepNext w:val="0"/>
        <w:keepLines w:val="0"/>
        <w:pageBreakBefore w:val="0"/>
        <w:widowControl w:val="0"/>
        <w:tabs>
          <w:tab w:val="right" w:leader="dot" w:pos="9071"/>
        </w:tabs>
        <w:kinsoku/>
        <w:wordWrap/>
        <w:overflowPunct/>
        <w:topLinePunct w:val="0"/>
        <w:autoSpaceDE/>
        <w:autoSpaceDN/>
        <w:bidi w:val="0"/>
        <w:adjustRightIn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_Toc8967 </w:instrText>
      </w:r>
      <w:r>
        <w:rPr>
          <w:sz w:val="24"/>
          <w:szCs w:val="24"/>
          <w:highlight w:val="none"/>
        </w:rPr>
        <w:fldChar w:fldCharType="separate"/>
      </w:r>
      <w:r>
        <w:rPr>
          <w:rFonts w:hint="eastAsia"/>
          <w:kern w:val="2"/>
          <w:sz w:val="24"/>
          <w:szCs w:val="24"/>
          <w:highlight w:val="none"/>
        </w:rPr>
        <w:t>一、总 则</w:t>
      </w:r>
      <w:r>
        <w:rPr>
          <w:sz w:val="24"/>
          <w:szCs w:val="24"/>
          <w:highlight w:val="none"/>
        </w:rPr>
        <w:tab/>
      </w:r>
      <w:r>
        <w:rPr>
          <w:sz w:val="24"/>
          <w:szCs w:val="24"/>
          <w:highlight w:val="none"/>
        </w:rPr>
        <w:fldChar w:fldCharType="begin"/>
      </w:r>
      <w:r>
        <w:rPr>
          <w:sz w:val="24"/>
          <w:szCs w:val="24"/>
          <w:highlight w:val="none"/>
        </w:rPr>
        <w:instrText xml:space="preserve"> PAGEREF _Toc8967 \h </w:instrText>
      </w:r>
      <w:r>
        <w:rPr>
          <w:sz w:val="24"/>
          <w:szCs w:val="24"/>
          <w:highlight w:val="none"/>
        </w:rPr>
        <w:fldChar w:fldCharType="separate"/>
      </w:r>
      <w:r>
        <w:rPr>
          <w:sz w:val="24"/>
          <w:szCs w:val="24"/>
          <w:highlight w:val="none"/>
        </w:rPr>
        <w:t>5</w:t>
      </w:r>
      <w:r>
        <w:rPr>
          <w:sz w:val="24"/>
          <w:szCs w:val="24"/>
          <w:highlight w:val="none"/>
        </w:rPr>
        <w:fldChar w:fldCharType="end"/>
      </w:r>
      <w:r>
        <w:rPr>
          <w:sz w:val="24"/>
          <w:szCs w:val="24"/>
          <w:highlight w:val="none"/>
        </w:rPr>
        <w:fldChar w:fldCharType="end"/>
      </w:r>
    </w:p>
    <w:p>
      <w:pPr>
        <w:pStyle w:val="27"/>
        <w:keepNext w:val="0"/>
        <w:keepLines w:val="0"/>
        <w:pageBreakBefore w:val="0"/>
        <w:widowControl w:val="0"/>
        <w:tabs>
          <w:tab w:val="right" w:leader="dot" w:pos="9071"/>
        </w:tabs>
        <w:kinsoku/>
        <w:wordWrap/>
        <w:overflowPunct/>
        <w:topLinePunct w:val="0"/>
        <w:autoSpaceDE/>
        <w:autoSpaceDN/>
        <w:bidi w:val="0"/>
        <w:adjustRightIn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_Toc2488 </w:instrText>
      </w:r>
      <w:r>
        <w:rPr>
          <w:sz w:val="24"/>
          <w:szCs w:val="24"/>
          <w:highlight w:val="none"/>
        </w:rPr>
        <w:fldChar w:fldCharType="separate"/>
      </w:r>
      <w:r>
        <w:rPr>
          <w:rFonts w:hint="eastAsia" w:hAnsi="宋体"/>
          <w:sz w:val="24"/>
          <w:szCs w:val="24"/>
          <w:highlight w:val="none"/>
        </w:rPr>
        <w:t>二、招标文件</w:t>
      </w:r>
      <w:r>
        <w:rPr>
          <w:sz w:val="24"/>
          <w:szCs w:val="24"/>
          <w:highlight w:val="none"/>
        </w:rPr>
        <w:tab/>
      </w:r>
      <w:r>
        <w:rPr>
          <w:sz w:val="24"/>
          <w:szCs w:val="24"/>
          <w:highlight w:val="none"/>
        </w:rPr>
        <w:fldChar w:fldCharType="begin"/>
      </w:r>
      <w:r>
        <w:rPr>
          <w:sz w:val="24"/>
          <w:szCs w:val="24"/>
          <w:highlight w:val="none"/>
        </w:rPr>
        <w:instrText xml:space="preserve"> PAGEREF _Toc2488 \h </w:instrText>
      </w:r>
      <w:r>
        <w:rPr>
          <w:sz w:val="24"/>
          <w:szCs w:val="24"/>
          <w:highlight w:val="none"/>
        </w:rPr>
        <w:fldChar w:fldCharType="separate"/>
      </w:r>
      <w:r>
        <w:rPr>
          <w:sz w:val="24"/>
          <w:szCs w:val="24"/>
          <w:highlight w:val="none"/>
        </w:rPr>
        <w:t>6</w:t>
      </w:r>
      <w:r>
        <w:rPr>
          <w:sz w:val="24"/>
          <w:szCs w:val="24"/>
          <w:highlight w:val="none"/>
        </w:rPr>
        <w:fldChar w:fldCharType="end"/>
      </w:r>
      <w:r>
        <w:rPr>
          <w:sz w:val="24"/>
          <w:szCs w:val="24"/>
          <w:highlight w:val="none"/>
        </w:rPr>
        <w:fldChar w:fldCharType="end"/>
      </w:r>
    </w:p>
    <w:p>
      <w:pPr>
        <w:pStyle w:val="27"/>
        <w:keepNext w:val="0"/>
        <w:keepLines w:val="0"/>
        <w:pageBreakBefore w:val="0"/>
        <w:widowControl w:val="0"/>
        <w:tabs>
          <w:tab w:val="right" w:leader="dot" w:pos="9071"/>
        </w:tabs>
        <w:kinsoku/>
        <w:wordWrap/>
        <w:overflowPunct/>
        <w:topLinePunct w:val="0"/>
        <w:autoSpaceDE/>
        <w:autoSpaceDN/>
        <w:bidi w:val="0"/>
        <w:adjustRightIn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_Toc14163 </w:instrText>
      </w:r>
      <w:r>
        <w:rPr>
          <w:sz w:val="24"/>
          <w:szCs w:val="24"/>
          <w:highlight w:val="none"/>
        </w:rPr>
        <w:fldChar w:fldCharType="separate"/>
      </w:r>
      <w:r>
        <w:rPr>
          <w:rFonts w:hint="eastAsia" w:hAnsi="宋体"/>
          <w:sz w:val="24"/>
          <w:szCs w:val="24"/>
          <w:highlight w:val="none"/>
        </w:rPr>
        <w:t>三、投标文件的编制</w:t>
      </w:r>
      <w:r>
        <w:rPr>
          <w:sz w:val="24"/>
          <w:szCs w:val="24"/>
          <w:highlight w:val="none"/>
        </w:rPr>
        <w:tab/>
      </w:r>
      <w:r>
        <w:rPr>
          <w:sz w:val="24"/>
          <w:szCs w:val="24"/>
          <w:highlight w:val="none"/>
        </w:rPr>
        <w:fldChar w:fldCharType="begin"/>
      </w:r>
      <w:r>
        <w:rPr>
          <w:sz w:val="24"/>
          <w:szCs w:val="24"/>
          <w:highlight w:val="none"/>
        </w:rPr>
        <w:instrText xml:space="preserve"> PAGEREF _Toc14163 \h </w:instrText>
      </w:r>
      <w:r>
        <w:rPr>
          <w:sz w:val="24"/>
          <w:szCs w:val="24"/>
          <w:highlight w:val="none"/>
        </w:rPr>
        <w:fldChar w:fldCharType="separate"/>
      </w:r>
      <w:r>
        <w:rPr>
          <w:sz w:val="24"/>
          <w:szCs w:val="24"/>
          <w:highlight w:val="none"/>
        </w:rPr>
        <w:t>7</w:t>
      </w:r>
      <w:r>
        <w:rPr>
          <w:sz w:val="24"/>
          <w:szCs w:val="24"/>
          <w:highlight w:val="none"/>
        </w:rPr>
        <w:fldChar w:fldCharType="end"/>
      </w:r>
      <w:r>
        <w:rPr>
          <w:sz w:val="24"/>
          <w:szCs w:val="24"/>
          <w:highlight w:val="none"/>
        </w:rPr>
        <w:fldChar w:fldCharType="end"/>
      </w:r>
    </w:p>
    <w:p>
      <w:pPr>
        <w:pStyle w:val="27"/>
        <w:keepNext w:val="0"/>
        <w:keepLines w:val="0"/>
        <w:pageBreakBefore w:val="0"/>
        <w:widowControl w:val="0"/>
        <w:tabs>
          <w:tab w:val="right" w:leader="dot" w:pos="9071"/>
        </w:tabs>
        <w:kinsoku/>
        <w:wordWrap/>
        <w:overflowPunct/>
        <w:topLinePunct w:val="0"/>
        <w:autoSpaceDE/>
        <w:autoSpaceDN/>
        <w:bidi w:val="0"/>
        <w:adjustRightIn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_Toc15404 </w:instrText>
      </w:r>
      <w:r>
        <w:rPr>
          <w:sz w:val="24"/>
          <w:szCs w:val="24"/>
          <w:highlight w:val="none"/>
        </w:rPr>
        <w:fldChar w:fldCharType="separate"/>
      </w:r>
      <w:r>
        <w:rPr>
          <w:rFonts w:hint="eastAsia" w:hAnsi="宋体"/>
          <w:sz w:val="24"/>
          <w:szCs w:val="24"/>
          <w:highlight w:val="none"/>
          <w:lang w:val="zh-CN"/>
        </w:rPr>
        <w:t>四、开标</w:t>
      </w:r>
      <w:r>
        <w:rPr>
          <w:sz w:val="24"/>
          <w:szCs w:val="24"/>
          <w:highlight w:val="none"/>
        </w:rPr>
        <w:tab/>
      </w:r>
      <w:r>
        <w:rPr>
          <w:sz w:val="24"/>
          <w:szCs w:val="24"/>
          <w:highlight w:val="none"/>
        </w:rPr>
        <w:fldChar w:fldCharType="begin"/>
      </w:r>
      <w:r>
        <w:rPr>
          <w:sz w:val="24"/>
          <w:szCs w:val="24"/>
          <w:highlight w:val="none"/>
        </w:rPr>
        <w:instrText xml:space="preserve"> PAGEREF _Toc15404 \h </w:instrText>
      </w:r>
      <w:r>
        <w:rPr>
          <w:sz w:val="24"/>
          <w:szCs w:val="24"/>
          <w:highlight w:val="none"/>
        </w:rPr>
        <w:fldChar w:fldCharType="separate"/>
      </w:r>
      <w:r>
        <w:rPr>
          <w:sz w:val="24"/>
          <w:szCs w:val="24"/>
          <w:highlight w:val="none"/>
        </w:rPr>
        <w:t>10</w:t>
      </w:r>
      <w:r>
        <w:rPr>
          <w:sz w:val="24"/>
          <w:szCs w:val="24"/>
          <w:highlight w:val="none"/>
        </w:rPr>
        <w:fldChar w:fldCharType="end"/>
      </w:r>
      <w:r>
        <w:rPr>
          <w:sz w:val="24"/>
          <w:szCs w:val="24"/>
          <w:highlight w:val="none"/>
        </w:rPr>
        <w:fldChar w:fldCharType="end"/>
      </w:r>
    </w:p>
    <w:p>
      <w:pPr>
        <w:pStyle w:val="27"/>
        <w:keepNext w:val="0"/>
        <w:keepLines w:val="0"/>
        <w:pageBreakBefore w:val="0"/>
        <w:widowControl w:val="0"/>
        <w:tabs>
          <w:tab w:val="right" w:leader="dot" w:pos="9071"/>
        </w:tabs>
        <w:kinsoku/>
        <w:wordWrap/>
        <w:overflowPunct/>
        <w:topLinePunct w:val="0"/>
        <w:autoSpaceDE/>
        <w:autoSpaceDN/>
        <w:bidi w:val="0"/>
        <w:adjustRightIn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_Toc11412 </w:instrText>
      </w:r>
      <w:r>
        <w:rPr>
          <w:sz w:val="24"/>
          <w:szCs w:val="24"/>
          <w:highlight w:val="none"/>
        </w:rPr>
        <w:fldChar w:fldCharType="separate"/>
      </w:r>
      <w:r>
        <w:rPr>
          <w:rFonts w:hint="eastAsia" w:hAnsi="宋体"/>
          <w:sz w:val="24"/>
          <w:szCs w:val="24"/>
          <w:highlight w:val="none"/>
          <w:lang w:val="zh-CN"/>
        </w:rPr>
        <w:t>五、评标</w:t>
      </w:r>
      <w:r>
        <w:rPr>
          <w:sz w:val="24"/>
          <w:szCs w:val="24"/>
          <w:highlight w:val="none"/>
        </w:rPr>
        <w:tab/>
      </w:r>
      <w:r>
        <w:rPr>
          <w:sz w:val="24"/>
          <w:szCs w:val="24"/>
          <w:highlight w:val="none"/>
        </w:rPr>
        <w:fldChar w:fldCharType="begin"/>
      </w:r>
      <w:r>
        <w:rPr>
          <w:sz w:val="24"/>
          <w:szCs w:val="24"/>
          <w:highlight w:val="none"/>
        </w:rPr>
        <w:instrText xml:space="preserve"> PAGEREF _Toc11412 \h </w:instrText>
      </w:r>
      <w:r>
        <w:rPr>
          <w:sz w:val="24"/>
          <w:szCs w:val="24"/>
          <w:highlight w:val="none"/>
        </w:rPr>
        <w:fldChar w:fldCharType="separate"/>
      </w:r>
      <w:r>
        <w:rPr>
          <w:sz w:val="24"/>
          <w:szCs w:val="24"/>
          <w:highlight w:val="none"/>
        </w:rPr>
        <w:t>10</w:t>
      </w:r>
      <w:r>
        <w:rPr>
          <w:sz w:val="24"/>
          <w:szCs w:val="24"/>
          <w:highlight w:val="none"/>
        </w:rPr>
        <w:fldChar w:fldCharType="end"/>
      </w:r>
      <w:r>
        <w:rPr>
          <w:sz w:val="24"/>
          <w:szCs w:val="24"/>
          <w:highlight w:val="none"/>
        </w:rPr>
        <w:fldChar w:fldCharType="end"/>
      </w:r>
    </w:p>
    <w:p>
      <w:pPr>
        <w:pStyle w:val="27"/>
        <w:keepNext w:val="0"/>
        <w:keepLines w:val="0"/>
        <w:pageBreakBefore w:val="0"/>
        <w:widowControl w:val="0"/>
        <w:tabs>
          <w:tab w:val="right" w:leader="dot" w:pos="9071"/>
        </w:tabs>
        <w:kinsoku/>
        <w:wordWrap/>
        <w:overflowPunct/>
        <w:topLinePunct w:val="0"/>
        <w:autoSpaceDE/>
        <w:autoSpaceDN/>
        <w:bidi w:val="0"/>
        <w:adjustRightIn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_Toc9905 </w:instrText>
      </w:r>
      <w:r>
        <w:rPr>
          <w:sz w:val="24"/>
          <w:szCs w:val="24"/>
          <w:highlight w:val="none"/>
        </w:rPr>
        <w:fldChar w:fldCharType="separate"/>
      </w:r>
      <w:r>
        <w:rPr>
          <w:rFonts w:hint="eastAsia" w:hAnsi="宋体"/>
          <w:sz w:val="24"/>
          <w:szCs w:val="24"/>
          <w:highlight w:val="none"/>
        </w:rPr>
        <w:t>六、定标</w:t>
      </w:r>
      <w:r>
        <w:rPr>
          <w:sz w:val="24"/>
          <w:szCs w:val="24"/>
          <w:highlight w:val="none"/>
        </w:rPr>
        <w:tab/>
      </w:r>
      <w:r>
        <w:rPr>
          <w:sz w:val="24"/>
          <w:szCs w:val="24"/>
          <w:highlight w:val="none"/>
        </w:rPr>
        <w:fldChar w:fldCharType="begin"/>
      </w:r>
      <w:r>
        <w:rPr>
          <w:sz w:val="24"/>
          <w:szCs w:val="24"/>
          <w:highlight w:val="none"/>
        </w:rPr>
        <w:instrText xml:space="preserve"> PAGEREF _Toc9905 \h </w:instrText>
      </w:r>
      <w:r>
        <w:rPr>
          <w:sz w:val="24"/>
          <w:szCs w:val="24"/>
          <w:highlight w:val="none"/>
        </w:rPr>
        <w:fldChar w:fldCharType="separate"/>
      </w:r>
      <w:r>
        <w:rPr>
          <w:sz w:val="24"/>
          <w:szCs w:val="24"/>
          <w:highlight w:val="none"/>
        </w:rPr>
        <w:t>12</w:t>
      </w:r>
      <w:r>
        <w:rPr>
          <w:sz w:val="24"/>
          <w:szCs w:val="24"/>
          <w:highlight w:val="none"/>
        </w:rPr>
        <w:fldChar w:fldCharType="end"/>
      </w:r>
      <w:r>
        <w:rPr>
          <w:sz w:val="24"/>
          <w:szCs w:val="24"/>
          <w:highlight w:val="none"/>
        </w:rPr>
        <w:fldChar w:fldCharType="end"/>
      </w:r>
    </w:p>
    <w:p>
      <w:pPr>
        <w:pStyle w:val="27"/>
        <w:keepNext w:val="0"/>
        <w:keepLines w:val="0"/>
        <w:pageBreakBefore w:val="0"/>
        <w:widowControl w:val="0"/>
        <w:tabs>
          <w:tab w:val="right" w:leader="dot" w:pos="9071"/>
        </w:tabs>
        <w:kinsoku/>
        <w:wordWrap/>
        <w:overflowPunct/>
        <w:topLinePunct w:val="0"/>
        <w:autoSpaceDE/>
        <w:autoSpaceDN/>
        <w:bidi w:val="0"/>
        <w:adjustRightIn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_Toc15823 </w:instrText>
      </w:r>
      <w:r>
        <w:rPr>
          <w:sz w:val="24"/>
          <w:szCs w:val="24"/>
          <w:highlight w:val="none"/>
        </w:rPr>
        <w:fldChar w:fldCharType="separate"/>
      </w:r>
      <w:r>
        <w:rPr>
          <w:rFonts w:hint="eastAsia" w:hAnsi="宋体"/>
          <w:sz w:val="24"/>
          <w:szCs w:val="24"/>
          <w:highlight w:val="none"/>
        </w:rPr>
        <w:t>七、合同授予</w:t>
      </w:r>
      <w:r>
        <w:rPr>
          <w:sz w:val="24"/>
          <w:szCs w:val="24"/>
          <w:highlight w:val="none"/>
        </w:rPr>
        <w:tab/>
      </w:r>
      <w:r>
        <w:rPr>
          <w:sz w:val="24"/>
          <w:szCs w:val="24"/>
          <w:highlight w:val="none"/>
        </w:rPr>
        <w:fldChar w:fldCharType="begin"/>
      </w:r>
      <w:r>
        <w:rPr>
          <w:sz w:val="24"/>
          <w:szCs w:val="24"/>
          <w:highlight w:val="none"/>
        </w:rPr>
        <w:instrText xml:space="preserve"> PAGEREF _Toc15823 \h </w:instrText>
      </w:r>
      <w:r>
        <w:rPr>
          <w:sz w:val="24"/>
          <w:szCs w:val="24"/>
          <w:highlight w:val="none"/>
        </w:rPr>
        <w:fldChar w:fldCharType="separate"/>
      </w:r>
      <w:r>
        <w:rPr>
          <w:sz w:val="24"/>
          <w:szCs w:val="24"/>
          <w:highlight w:val="none"/>
        </w:rPr>
        <w:t>12</w:t>
      </w:r>
      <w:r>
        <w:rPr>
          <w:sz w:val="24"/>
          <w:szCs w:val="24"/>
          <w:highlight w:val="none"/>
        </w:rPr>
        <w:fldChar w:fldCharType="end"/>
      </w:r>
      <w:r>
        <w:rPr>
          <w:sz w:val="24"/>
          <w:szCs w:val="24"/>
          <w:highlight w:val="none"/>
        </w:rPr>
        <w:fldChar w:fldCharType="end"/>
      </w:r>
    </w:p>
    <w:p>
      <w:pPr>
        <w:pStyle w:val="27"/>
        <w:keepNext w:val="0"/>
        <w:keepLines w:val="0"/>
        <w:pageBreakBefore w:val="0"/>
        <w:widowControl w:val="0"/>
        <w:tabs>
          <w:tab w:val="right" w:leader="dot" w:pos="9071"/>
        </w:tabs>
        <w:kinsoku/>
        <w:wordWrap/>
        <w:overflowPunct/>
        <w:topLinePunct w:val="0"/>
        <w:autoSpaceDE/>
        <w:autoSpaceDN/>
        <w:bidi w:val="0"/>
        <w:adjustRightIn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_Toc29122 </w:instrText>
      </w:r>
      <w:r>
        <w:rPr>
          <w:sz w:val="24"/>
          <w:szCs w:val="24"/>
          <w:highlight w:val="none"/>
        </w:rPr>
        <w:fldChar w:fldCharType="separate"/>
      </w:r>
      <w:r>
        <w:rPr>
          <w:rFonts w:hint="eastAsia"/>
          <w:sz w:val="24"/>
          <w:szCs w:val="24"/>
          <w:highlight w:val="none"/>
        </w:rPr>
        <w:t>第三章 评标办法及评分标准</w:t>
      </w:r>
      <w:r>
        <w:rPr>
          <w:sz w:val="24"/>
          <w:szCs w:val="24"/>
          <w:highlight w:val="none"/>
        </w:rPr>
        <w:tab/>
      </w:r>
      <w:r>
        <w:rPr>
          <w:sz w:val="24"/>
          <w:szCs w:val="24"/>
          <w:highlight w:val="none"/>
        </w:rPr>
        <w:fldChar w:fldCharType="begin"/>
      </w:r>
      <w:r>
        <w:rPr>
          <w:sz w:val="24"/>
          <w:szCs w:val="24"/>
          <w:highlight w:val="none"/>
        </w:rPr>
        <w:instrText xml:space="preserve"> PAGEREF _Toc29122 \h </w:instrText>
      </w:r>
      <w:r>
        <w:rPr>
          <w:sz w:val="24"/>
          <w:szCs w:val="24"/>
          <w:highlight w:val="none"/>
        </w:rPr>
        <w:fldChar w:fldCharType="separate"/>
      </w:r>
      <w:r>
        <w:rPr>
          <w:sz w:val="24"/>
          <w:szCs w:val="24"/>
          <w:highlight w:val="none"/>
        </w:rPr>
        <w:t>13</w:t>
      </w:r>
      <w:r>
        <w:rPr>
          <w:sz w:val="24"/>
          <w:szCs w:val="24"/>
          <w:highlight w:val="none"/>
        </w:rPr>
        <w:fldChar w:fldCharType="end"/>
      </w:r>
      <w:r>
        <w:rPr>
          <w:sz w:val="24"/>
          <w:szCs w:val="24"/>
          <w:highlight w:val="none"/>
        </w:rPr>
        <w:fldChar w:fldCharType="end"/>
      </w:r>
    </w:p>
    <w:p>
      <w:pPr>
        <w:pStyle w:val="27"/>
        <w:keepNext w:val="0"/>
        <w:keepLines w:val="0"/>
        <w:pageBreakBefore w:val="0"/>
        <w:widowControl w:val="0"/>
        <w:tabs>
          <w:tab w:val="right" w:leader="dot" w:pos="9071"/>
        </w:tabs>
        <w:kinsoku/>
        <w:wordWrap/>
        <w:overflowPunct/>
        <w:topLinePunct w:val="0"/>
        <w:autoSpaceDE/>
        <w:autoSpaceDN/>
        <w:bidi w:val="0"/>
        <w:adjustRightIn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_Toc3316 </w:instrText>
      </w:r>
      <w:r>
        <w:rPr>
          <w:sz w:val="24"/>
          <w:szCs w:val="24"/>
          <w:highlight w:val="none"/>
        </w:rPr>
        <w:fldChar w:fldCharType="separate"/>
      </w:r>
      <w:r>
        <w:rPr>
          <w:rFonts w:hint="eastAsia" w:hAnsi="宋体"/>
          <w:sz w:val="24"/>
          <w:szCs w:val="24"/>
          <w:highlight w:val="none"/>
        </w:rPr>
        <w:t>第四章 采购需求</w:t>
      </w:r>
      <w:r>
        <w:rPr>
          <w:sz w:val="24"/>
          <w:szCs w:val="24"/>
          <w:highlight w:val="none"/>
        </w:rPr>
        <w:tab/>
      </w:r>
      <w:r>
        <w:rPr>
          <w:sz w:val="24"/>
          <w:szCs w:val="24"/>
          <w:highlight w:val="none"/>
        </w:rPr>
        <w:fldChar w:fldCharType="begin"/>
      </w:r>
      <w:r>
        <w:rPr>
          <w:sz w:val="24"/>
          <w:szCs w:val="24"/>
          <w:highlight w:val="none"/>
        </w:rPr>
        <w:instrText xml:space="preserve"> PAGEREF _Toc3316 \h </w:instrText>
      </w:r>
      <w:r>
        <w:rPr>
          <w:sz w:val="24"/>
          <w:szCs w:val="24"/>
          <w:highlight w:val="none"/>
        </w:rPr>
        <w:fldChar w:fldCharType="separate"/>
      </w:r>
      <w:r>
        <w:rPr>
          <w:sz w:val="24"/>
          <w:szCs w:val="24"/>
          <w:highlight w:val="none"/>
        </w:rPr>
        <w:t>16</w:t>
      </w:r>
      <w:r>
        <w:rPr>
          <w:sz w:val="24"/>
          <w:szCs w:val="24"/>
          <w:highlight w:val="none"/>
        </w:rPr>
        <w:fldChar w:fldCharType="end"/>
      </w:r>
      <w:r>
        <w:rPr>
          <w:sz w:val="24"/>
          <w:szCs w:val="24"/>
          <w:highlight w:val="none"/>
        </w:rPr>
        <w:fldChar w:fldCharType="end"/>
      </w:r>
    </w:p>
    <w:p>
      <w:pPr>
        <w:pStyle w:val="27"/>
        <w:keepNext w:val="0"/>
        <w:keepLines w:val="0"/>
        <w:pageBreakBefore w:val="0"/>
        <w:widowControl w:val="0"/>
        <w:tabs>
          <w:tab w:val="right" w:leader="dot" w:pos="9071"/>
        </w:tabs>
        <w:kinsoku/>
        <w:wordWrap/>
        <w:overflowPunct/>
        <w:topLinePunct w:val="0"/>
        <w:autoSpaceDE/>
        <w:autoSpaceDN/>
        <w:bidi w:val="0"/>
        <w:adjustRightIn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_Toc28010 </w:instrText>
      </w:r>
      <w:r>
        <w:rPr>
          <w:sz w:val="24"/>
          <w:szCs w:val="24"/>
          <w:highlight w:val="none"/>
        </w:rPr>
        <w:fldChar w:fldCharType="separate"/>
      </w:r>
      <w:r>
        <w:rPr>
          <w:rFonts w:hint="eastAsia"/>
          <w:sz w:val="24"/>
          <w:szCs w:val="24"/>
          <w:highlight w:val="none"/>
        </w:rPr>
        <w:t>第五章 采购合同</w:t>
      </w:r>
      <w:r>
        <w:rPr>
          <w:sz w:val="24"/>
          <w:szCs w:val="24"/>
          <w:highlight w:val="none"/>
        </w:rPr>
        <w:tab/>
      </w:r>
      <w:r>
        <w:rPr>
          <w:sz w:val="24"/>
          <w:szCs w:val="24"/>
          <w:highlight w:val="none"/>
        </w:rPr>
        <w:fldChar w:fldCharType="begin"/>
      </w:r>
      <w:r>
        <w:rPr>
          <w:sz w:val="24"/>
          <w:szCs w:val="24"/>
          <w:highlight w:val="none"/>
        </w:rPr>
        <w:instrText xml:space="preserve"> PAGEREF _Toc28010 \h </w:instrText>
      </w:r>
      <w:r>
        <w:rPr>
          <w:sz w:val="24"/>
          <w:szCs w:val="24"/>
          <w:highlight w:val="none"/>
        </w:rPr>
        <w:fldChar w:fldCharType="separate"/>
      </w:r>
      <w:r>
        <w:rPr>
          <w:sz w:val="24"/>
          <w:szCs w:val="24"/>
          <w:highlight w:val="none"/>
        </w:rPr>
        <w:t>18</w:t>
      </w:r>
      <w:r>
        <w:rPr>
          <w:sz w:val="24"/>
          <w:szCs w:val="24"/>
          <w:highlight w:val="none"/>
        </w:rPr>
        <w:fldChar w:fldCharType="end"/>
      </w:r>
      <w:r>
        <w:rPr>
          <w:sz w:val="24"/>
          <w:szCs w:val="24"/>
          <w:highlight w:val="none"/>
        </w:rPr>
        <w:fldChar w:fldCharType="end"/>
      </w:r>
    </w:p>
    <w:p>
      <w:pPr>
        <w:pStyle w:val="27"/>
        <w:keepNext w:val="0"/>
        <w:keepLines w:val="0"/>
        <w:pageBreakBefore w:val="0"/>
        <w:widowControl w:val="0"/>
        <w:tabs>
          <w:tab w:val="right" w:leader="dot" w:pos="9071"/>
        </w:tabs>
        <w:kinsoku/>
        <w:wordWrap/>
        <w:overflowPunct/>
        <w:topLinePunct w:val="0"/>
        <w:autoSpaceDE/>
        <w:autoSpaceDN/>
        <w:bidi w:val="0"/>
        <w:adjustRightInd/>
        <w:spacing w:line="360" w:lineRule="auto"/>
        <w:textAlignment w:val="auto"/>
        <w:rPr>
          <w:sz w:val="24"/>
          <w:szCs w:val="24"/>
          <w:highlight w:val="none"/>
        </w:rPr>
      </w:pPr>
      <w:r>
        <w:rPr>
          <w:sz w:val="24"/>
          <w:szCs w:val="24"/>
          <w:highlight w:val="none"/>
        </w:rPr>
        <w:fldChar w:fldCharType="begin"/>
      </w:r>
      <w:r>
        <w:rPr>
          <w:sz w:val="24"/>
          <w:szCs w:val="24"/>
          <w:highlight w:val="none"/>
        </w:rPr>
        <w:instrText xml:space="preserve"> HYPERLINK \l _Toc28757 </w:instrText>
      </w:r>
      <w:r>
        <w:rPr>
          <w:sz w:val="24"/>
          <w:szCs w:val="24"/>
          <w:highlight w:val="none"/>
        </w:rPr>
        <w:fldChar w:fldCharType="separate"/>
      </w:r>
      <w:r>
        <w:rPr>
          <w:rFonts w:hint="eastAsia"/>
          <w:sz w:val="24"/>
          <w:szCs w:val="24"/>
          <w:highlight w:val="none"/>
        </w:rPr>
        <w:t>第六章 投标文件格式</w:t>
      </w:r>
      <w:r>
        <w:rPr>
          <w:sz w:val="24"/>
          <w:szCs w:val="24"/>
          <w:highlight w:val="none"/>
        </w:rPr>
        <w:tab/>
      </w:r>
      <w:r>
        <w:rPr>
          <w:sz w:val="24"/>
          <w:szCs w:val="24"/>
          <w:highlight w:val="none"/>
        </w:rPr>
        <w:fldChar w:fldCharType="begin"/>
      </w:r>
      <w:r>
        <w:rPr>
          <w:sz w:val="24"/>
          <w:szCs w:val="24"/>
          <w:highlight w:val="none"/>
        </w:rPr>
        <w:instrText xml:space="preserve"> PAGEREF _Toc28757 \h </w:instrText>
      </w:r>
      <w:r>
        <w:rPr>
          <w:sz w:val="24"/>
          <w:szCs w:val="24"/>
          <w:highlight w:val="none"/>
        </w:rPr>
        <w:fldChar w:fldCharType="separate"/>
      </w:r>
      <w:r>
        <w:rPr>
          <w:sz w:val="24"/>
          <w:szCs w:val="24"/>
          <w:highlight w:val="none"/>
        </w:rPr>
        <w:t>23</w:t>
      </w:r>
      <w:r>
        <w:rPr>
          <w:sz w:val="24"/>
          <w:szCs w:val="24"/>
          <w:highlight w:val="none"/>
        </w:rPr>
        <w:fldChar w:fldCharType="end"/>
      </w:r>
      <w:r>
        <w:rPr>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textAlignment w:val="auto"/>
        <w:rPr>
          <w:sz w:val="24"/>
          <w:highlight w:val="none"/>
        </w:rPr>
      </w:pPr>
      <w:r>
        <w:rPr>
          <w:sz w:val="24"/>
          <w:szCs w:val="24"/>
          <w:highlight w:val="none"/>
        </w:rPr>
        <w:fldChar w:fldCharType="end"/>
      </w:r>
    </w:p>
    <w:p>
      <w:pPr>
        <w:ind w:firstLine="473"/>
        <w:rPr>
          <w:highlight w:val="none"/>
        </w:rPr>
      </w:pPr>
    </w:p>
    <w:p>
      <w:pPr>
        <w:widowControl/>
        <w:spacing w:line="360" w:lineRule="auto"/>
        <w:ind w:firstLine="542"/>
        <w:jc w:val="left"/>
        <w:rPr>
          <w:rFonts w:ascii="宋体" w:hAnsi="Arial"/>
          <w:b/>
          <w:color w:val="000000"/>
          <w:kern w:val="44"/>
          <w:sz w:val="24"/>
          <w:szCs w:val="20"/>
          <w:highlight w:val="none"/>
        </w:rPr>
        <w:sectPr>
          <w:footerReference r:id="rId4" w:type="default"/>
          <w:pgSz w:w="11907" w:h="16840"/>
          <w:pgMar w:top="1474" w:right="1418" w:bottom="1474" w:left="1418" w:header="851" w:footer="851" w:gutter="0"/>
          <w:pgNumType w:fmt="numberInDash" w:start="1"/>
          <w:cols w:space="720" w:num="1"/>
        </w:sectPr>
      </w:pPr>
    </w:p>
    <w:p>
      <w:pPr>
        <w:pStyle w:val="3"/>
        <w:ind w:firstLine="542"/>
        <w:rPr>
          <w:highlight w:val="none"/>
        </w:rPr>
      </w:pPr>
      <w:bookmarkStart w:id="2" w:name="_Toc4206"/>
      <w:r>
        <w:rPr>
          <w:rFonts w:hint="eastAsia"/>
          <w:highlight w:val="none"/>
        </w:rPr>
        <w:t>第一章 采购公告</w:t>
      </w:r>
      <w:bookmarkEnd w:id="0"/>
      <w:bookmarkEnd w:id="2"/>
    </w:p>
    <w:p>
      <w:pPr>
        <w:adjustRightInd w:val="0"/>
        <w:snapToGrid w:val="0"/>
        <w:spacing w:line="360" w:lineRule="auto"/>
        <w:ind w:firstLine="480" w:firstLineChars="200"/>
        <w:rPr>
          <w:rFonts w:hint="eastAsia" w:ascii="宋体" w:hAnsi="宋体" w:cs="Arial"/>
          <w:sz w:val="24"/>
          <w:highlight w:val="none"/>
          <w:lang w:val="zh-CN"/>
        </w:rPr>
      </w:pPr>
      <w:r>
        <w:rPr>
          <w:rFonts w:hint="eastAsia" w:ascii="宋体" w:hAnsi="宋体"/>
          <w:color w:val="000000"/>
          <w:sz w:val="24"/>
          <w:highlight w:val="none"/>
        </w:rPr>
        <w:t>根据相关规定，现就浙江桐庐农村商业银行股份有限公司的桐庐农商银行营业网点及办公场所装修设计服务单位入围项目进行公开招标，欢迎符合要求并有能力</w:t>
      </w:r>
      <w:r>
        <w:rPr>
          <w:rFonts w:hint="eastAsia" w:ascii="宋体" w:hAnsi="宋体"/>
          <w:sz w:val="24"/>
          <w:highlight w:val="none"/>
        </w:rPr>
        <w:t>完成项目的投标人前来投标：</w:t>
      </w:r>
    </w:p>
    <w:p>
      <w:pPr>
        <w:adjustRightInd w:val="0"/>
        <w:snapToGrid w:val="0"/>
        <w:spacing w:line="360" w:lineRule="auto"/>
        <w:ind w:firstLine="542"/>
        <w:rPr>
          <w:rFonts w:hint="eastAsia" w:ascii="宋体" w:hAnsi="宋体"/>
          <w:kern w:val="0"/>
          <w:sz w:val="24"/>
          <w:highlight w:val="none"/>
        </w:rPr>
      </w:pPr>
      <w:r>
        <w:rPr>
          <w:rFonts w:hint="eastAsia" w:ascii="宋体" w:hAnsi="宋体" w:cs="Arial"/>
          <w:b/>
          <w:bCs/>
          <w:sz w:val="24"/>
          <w:highlight w:val="none"/>
        </w:rPr>
        <w:t>一、项目名称：</w:t>
      </w:r>
      <w:r>
        <w:rPr>
          <w:rFonts w:hint="eastAsia" w:ascii="宋体" w:hAnsi="宋体" w:cs="Arial"/>
          <w:sz w:val="24"/>
          <w:highlight w:val="none"/>
        </w:rPr>
        <w:t xml:space="preserve">桐庐农商银行营业网点及办公场所装修设计服务单位入围项目 </w:t>
      </w:r>
    </w:p>
    <w:p>
      <w:pPr>
        <w:adjustRightInd w:val="0"/>
        <w:snapToGrid w:val="0"/>
        <w:spacing w:line="360" w:lineRule="auto"/>
        <w:ind w:firstLine="542"/>
        <w:rPr>
          <w:rFonts w:hint="eastAsia" w:ascii="宋体" w:hAnsi="宋体" w:cs="Arial"/>
          <w:b/>
          <w:bCs/>
          <w:sz w:val="24"/>
          <w:highlight w:val="none"/>
        </w:rPr>
      </w:pPr>
      <w:r>
        <w:rPr>
          <w:rFonts w:hint="eastAsia" w:ascii="宋体" w:hAnsi="宋体" w:cs="Arial"/>
          <w:b/>
          <w:bCs/>
          <w:sz w:val="24"/>
          <w:highlight w:val="none"/>
        </w:rPr>
        <w:t>二、</w:t>
      </w:r>
      <w:r>
        <w:rPr>
          <w:rFonts w:hint="eastAsia" w:ascii="宋体" w:hAnsi="宋体" w:cs="宋体"/>
          <w:b/>
          <w:bCs/>
          <w:color w:val="000000"/>
          <w:kern w:val="0"/>
          <w:szCs w:val="21"/>
          <w:highlight w:val="none"/>
        </w:rPr>
        <w:t>项目编号：</w:t>
      </w:r>
      <w:r>
        <w:rPr>
          <w:rFonts w:hint="eastAsia" w:ascii="宋体" w:hAnsi="宋体" w:cs="Arial"/>
          <w:sz w:val="24"/>
          <w:highlight w:val="none"/>
        </w:rPr>
        <w:t>CTJSCG-2024-002</w:t>
      </w:r>
    </w:p>
    <w:p>
      <w:pPr>
        <w:adjustRightInd w:val="0"/>
        <w:snapToGrid w:val="0"/>
        <w:spacing w:line="360" w:lineRule="auto"/>
        <w:ind w:firstLine="542"/>
        <w:rPr>
          <w:rFonts w:hint="eastAsia" w:ascii="宋体" w:hAnsi="宋体" w:cs="Arial"/>
          <w:sz w:val="24"/>
          <w:highlight w:val="none"/>
        </w:rPr>
      </w:pPr>
      <w:r>
        <w:rPr>
          <w:rFonts w:hint="eastAsia" w:ascii="宋体" w:hAnsi="宋体" w:cs="Arial"/>
          <w:b/>
          <w:bCs/>
          <w:sz w:val="24"/>
          <w:highlight w:val="none"/>
        </w:rPr>
        <w:t>三、采购方式：</w:t>
      </w:r>
      <w:r>
        <w:rPr>
          <w:rFonts w:hint="eastAsia" w:ascii="宋体" w:hAnsi="宋体" w:cs="Arial"/>
          <w:sz w:val="24"/>
          <w:highlight w:val="none"/>
        </w:rPr>
        <w:t>公开招标</w:t>
      </w:r>
    </w:p>
    <w:p>
      <w:pPr>
        <w:adjustRightInd w:val="0"/>
        <w:snapToGrid w:val="0"/>
        <w:spacing w:line="360" w:lineRule="auto"/>
        <w:ind w:firstLine="542"/>
        <w:rPr>
          <w:rFonts w:hint="eastAsia" w:ascii="宋体" w:hAnsi="宋体" w:cs="Arial"/>
          <w:b/>
          <w:bCs/>
          <w:sz w:val="24"/>
          <w:highlight w:val="none"/>
        </w:rPr>
      </w:pPr>
      <w:r>
        <w:rPr>
          <w:rFonts w:hint="eastAsia" w:ascii="宋体" w:hAnsi="宋体" w:cs="Arial"/>
          <w:b/>
          <w:bCs/>
          <w:sz w:val="24"/>
          <w:highlight w:val="none"/>
        </w:rPr>
        <w:t>四、入围单位数：</w:t>
      </w:r>
    </w:p>
    <w:p>
      <w:pPr>
        <w:adjustRightInd w:val="0"/>
        <w:snapToGrid w:val="0"/>
        <w:spacing w:line="360" w:lineRule="auto"/>
        <w:ind w:firstLine="542"/>
        <w:rPr>
          <w:rFonts w:hint="eastAsia" w:ascii="宋体" w:hAnsi="宋体" w:cs="Arial"/>
          <w:b/>
          <w:bCs/>
          <w:sz w:val="24"/>
          <w:highlight w:val="none"/>
        </w:rPr>
      </w:pPr>
      <w:r>
        <w:rPr>
          <w:rFonts w:hint="eastAsia" w:ascii="宋体" w:hAnsi="宋体" w:cs="Arial"/>
          <w:b/>
          <w:bCs/>
          <w:sz w:val="24"/>
          <w:highlight w:val="none"/>
        </w:rPr>
        <w:t>1.若三家≤有效投标单位数≤五家时，综合得分排名前三的投标人为本次入围单位。</w:t>
      </w:r>
    </w:p>
    <w:p>
      <w:pPr>
        <w:adjustRightInd w:val="0"/>
        <w:snapToGrid w:val="0"/>
        <w:spacing w:line="360" w:lineRule="auto"/>
        <w:ind w:firstLine="542"/>
        <w:rPr>
          <w:rFonts w:hint="eastAsia" w:ascii="宋体" w:hAnsi="宋体" w:cs="Arial"/>
          <w:b/>
          <w:bCs/>
          <w:sz w:val="24"/>
          <w:highlight w:val="none"/>
        </w:rPr>
      </w:pPr>
      <w:r>
        <w:rPr>
          <w:rFonts w:hint="eastAsia" w:ascii="宋体" w:hAnsi="宋体" w:cs="Arial"/>
          <w:b/>
          <w:bCs/>
          <w:sz w:val="24"/>
          <w:highlight w:val="none"/>
        </w:rPr>
        <w:t>2.若有效投标单位数＞五家时，综合得分排名前五的投标人为本次入围单位。</w:t>
      </w:r>
    </w:p>
    <w:p>
      <w:pPr>
        <w:adjustRightInd w:val="0"/>
        <w:snapToGrid w:val="0"/>
        <w:spacing w:line="360" w:lineRule="auto"/>
        <w:ind w:firstLine="542"/>
        <w:rPr>
          <w:rFonts w:hint="eastAsia" w:ascii="宋体" w:hAnsi="宋体" w:cs="Arial"/>
          <w:b/>
          <w:bCs/>
          <w:sz w:val="24"/>
          <w:highlight w:val="none"/>
        </w:rPr>
      </w:pPr>
      <w:r>
        <w:rPr>
          <w:rFonts w:hint="eastAsia" w:ascii="宋体" w:hAnsi="宋体" w:cs="Arial"/>
          <w:b/>
          <w:bCs/>
          <w:sz w:val="24"/>
          <w:highlight w:val="none"/>
        </w:rPr>
        <w:t>3.若有效投标单位不足3家的，作流标处理。</w:t>
      </w:r>
    </w:p>
    <w:p>
      <w:pPr>
        <w:adjustRightInd w:val="0"/>
        <w:snapToGrid w:val="0"/>
        <w:spacing w:line="360" w:lineRule="auto"/>
        <w:ind w:firstLine="542"/>
        <w:rPr>
          <w:rFonts w:hint="eastAsia" w:ascii="宋体" w:hAnsi="宋体" w:cs="Arial"/>
          <w:b/>
          <w:bCs/>
          <w:sz w:val="24"/>
          <w:highlight w:val="none"/>
        </w:rPr>
      </w:pPr>
      <w:r>
        <w:rPr>
          <w:rFonts w:hint="eastAsia" w:ascii="宋体" w:hAnsi="宋体" w:cs="Arial"/>
          <w:b/>
          <w:bCs/>
          <w:sz w:val="24"/>
          <w:highlight w:val="none"/>
        </w:rPr>
        <w:t>4.有效投标单位是指通过资格审查的投标单位。</w:t>
      </w:r>
    </w:p>
    <w:p>
      <w:pPr>
        <w:adjustRightInd w:val="0"/>
        <w:snapToGrid w:val="0"/>
        <w:spacing w:line="360" w:lineRule="auto"/>
        <w:ind w:firstLine="542"/>
        <w:rPr>
          <w:rFonts w:hint="eastAsia" w:ascii="宋体" w:hAnsi="宋体" w:cs="Arial"/>
          <w:b/>
          <w:bCs/>
          <w:sz w:val="24"/>
          <w:highlight w:val="none"/>
        </w:rPr>
      </w:pPr>
      <w:r>
        <w:rPr>
          <w:rFonts w:hint="eastAsia" w:ascii="宋体" w:hAnsi="宋体" w:cs="Arial"/>
          <w:b/>
          <w:bCs/>
          <w:sz w:val="24"/>
          <w:highlight w:val="none"/>
        </w:rPr>
        <w:t>五、采购内容：</w:t>
      </w:r>
    </w:p>
    <w:tbl>
      <w:tblPr>
        <w:tblStyle w:val="40"/>
        <w:tblW w:w="9283"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4"/>
        <w:gridCol w:w="851"/>
        <w:gridCol w:w="3685"/>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4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color w:val="000000"/>
                <w:sz w:val="24"/>
                <w:highlight w:val="none"/>
              </w:rPr>
            </w:pPr>
            <w:r>
              <w:rPr>
                <w:rFonts w:hint="eastAsia" w:ascii="宋体" w:hAnsi="宋体" w:cs="宋体"/>
                <w:bCs/>
                <w:color w:val="000000"/>
                <w:sz w:val="24"/>
                <w:highlight w:val="none"/>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color w:val="000000"/>
                <w:sz w:val="24"/>
                <w:highlight w:val="none"/>
              </w:rPr>
            </w:pPr>
            <w:r>
              <w:rPr>
                <w:rFonts w:hint="eastAsia" w:ascii="宋体" w:hAnsi="宋体" w:cs="宋体"/>
                <w:bCs/>
                <w:color w:val="000000"/>
                <w:sz w:val="24"/>
                <w:highlight w:val="none"/>
              </w:rPr>
              <w:t>数量</w:t>
            </w:r>
          </w:p>
        </w:tc>
        <w:tc>
          <w:tcPr>
            <w:tcW w:w="36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color w:val="000000"/>
                <w:sz w:val="24"/>
                <w:highlight w:val="none"/>
              </w:rPr>
            </w:pPr>
            <w:r>
              <w:rPr>
                <w:rFonts w:hint="eastAsia" w:ascii="宋体" w:hAnsi="宋体" w:cs="宋体"/>
                <w:bCs/>
                <w:color w:val="000000"/>
                <w:sz w:val="24"/>
                <w:highlight w:val="none"/>
              </w:rPr>
              <w:t>最高限价</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Cs/>
                <w:color w:val="000000"/>
                <w:sz w:val="24"/>
                <w:highlight w:val="none"/>
              </w:rPr>
            </w:pPr>
            <w:r>
              <w:rPr>
                <w:rFonts w:hint="eastAsia" w:ascii="宋体" w:hAnsi="宋体" w:cs="宋体"/>
                <w:bCs/>
                <w:color w:val="000000"/>
                <w:sz w:val="24"/>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4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新宋体"/>
                <w:bCs/>
                <w:szCs w:val="21"/>
                <w:highlight w:val="none"/>
              </w:rPr>
            </w:pPr>
            <w:r>
              <w:rPr>
                <w:rFonts w:hint="eastAsia" w:ascii="宋体" w:hAnsi="宋体" w:cs="新宋体"/>
                <w:bCs/>
                <w:szCs w:val="21"/>
                <w:highlight w:val="none"/>
              </w:rPr>
              <w:t>桐庐农商银行营业网点及办公场所装修设计服务单位入围项目</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新宋体"/>
                <w:bCs/>
                <w:szCs w:val="21"/>
                <w:highlight w:val="none"/>
              </w:rPr>
            </w:pPr>
            <w:r>
              <w:rPr>
                <w:rFonts w:hint="eastAsia" w:ascii="宋体" w:hAnsi="宋体" w:cs="新宋体"/>
                <w:bCs/>
                <w:szCs w:val="21"/>
                <w:highlight w:val="none"/>
              </w:rPr>
              <w:t>1项</w:t>
            </w:r>
          </w:p>
        </w:tc>
        <w:tc>
          <w:tcPr>
            <w:tcW w:w="36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新宋体"/>
                <w:bCs/>
                <w:szCs w:val="21"/>
                <w:highlight w:val="none"/>
              </w:rPr>
            </w:pPr>
            <w:r>
              <w:rPr>
                <w:rFonts w:hint="eastAsia" w:ascii="宋体" w:hAnsi="宋体" w:cs="新宋体"/>
                <w:bCs/>
                <w:szCs w:val="21"/>
                <w:highlight w:val="none"/>
              </w:rPr>
              <w:t>按《工程勘察设计收费管理规定》）计价格【2002】10号文的80%</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新宋体"/>
                <w:bCs/>
                <w:szCs w:val="21"/>
                <w:highlight w:val="none"/>
              </w:rPr>
            </w:pPr>
            <w:r>
              <w:rPr>
                <w:rFonts w:hint="eastAsia" w:ascii="宋体" w:hAnsi="宋体" w:cs="新宋体"/>
                <w:bCs/>
                <w:szCs w:val="21"/>
                <w:highlight w:val="none"/>
              </w:rPr>
              <w:t>自合同签订之日起3年</w:t>
            </w:r>
          </w:p>
        </w:tc>
      </w:tr>
    </w:tbl>
    <w:p>
      <w:pPr>
        <w:adjustRightInd w:val="0"/>
        <w:snapToGrid w:val="0"/>
        <w:spacing w:line="360" w:lineRule="auto"/>
        <w:ind w:firstLine="542"/>
        <w:rPr>
          <w:rFonts w:hint="eastAsia" w:ascii="宋体" w:hAnsi="宋体" w:cs="Arial"/>
          <w:b/>
          <w:bCs/>
          <w:sz w:val="24"/>
          <w:highlight w:val="none"/>
        </w:rPr>
      </w:pPr>
      <w:r>
        <w:rPr>
          <w:rFonts w:hint="eastAsia" w:ascii="宋体" w:hAnsi="宋体" w:cs="Arial"/>
          <w:b/>
          <w:bCs/>
          <w:sz w:val="24"/>
          <w:highlight w:val="none"/>
        </w:rPr>
        <w:t>六、合格投标人的资格要求</w:t>
      </w:r>
    </w:p>
    <w:p>
      <w:pPr>
        <w:adjustRightInd w:val="0"/>
        <w:snapToGrid w:val="0"/>
        <w:spacing w:line="360" w:lineRule="auto"/>
        <w:ind w:firstLine="540"/>
        <w:rPr>
          <w:rFonts w:hint="eastAsia" w:ascii="宋体" w:hAnsi="宋体" w:cs="宋体"/>
          <w:snapToGrid w:val="0"/>
          <w:kern w:val="28"/>
          <w:sz w:val="24"/>
          <w:szCs w:val="20"/>
          <w:highlight w:val="none"/>
        </w:rPr>
      </w:pPr>
      <w:bookmarkStart w:id="3" w:name="_Toc91899903"/>
      <w:r>
        <w:rPr>
          <w:rFonts w:hint="eastAsia" w:ascii="宋体" w:hAnsi="宋体" w:cs="宋体"/>
          <w:snapToGrid w:val="0"/>
          <w:kern w:val="28"/>
          <w:sz w:val="24"/>
          <w:szCs w:val="20"/>
          <w:highlight w:val="none"/>
        </w:rPr>
        <w:t>1.满足第二十二条规定；未被“信用中国”（www.creditchina.gov.cn)、中国政府采购网（www.ccgp.gov.cn）列入失信被执行人、重大税收违法失信主体、政府采购严重违法失信行为记录名单。</w:t>
      </w:r>
    </w:p>
    <w:p>
      <w:pPr>
        <w:adjustRightInd w:val="0"/>
        <w:snapToGrid w:val="0"/>
        <w:spacing w:line="360" w:lineRule="auto"/>
        <w:ind w:firstLine="54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2.本项目不接受联合体投标。</w:t>
      </w:r>
    </w:p>
    <w:p>
      <w:pPr>
        <w:adjustRightInd w:val="0"/>
        <w:snapToGrid w:val="0"/>
        <w:spacing w:line="360" w:lineRule="auto"/>
        <w:ind w:firstLine="54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3.本项目不能转包。</w:t>
      </w:r>
    </w:p>
    <w:p>
      <w:pPr>
        <w:adjustRightInd w:val="0"/>
        <w:snapToGrid w:val="0"/>
        <w:spacing w:line="360" w:lineRule="auto"/>
        <w:ind w:firstLine="54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4.特定资格要求：具备设计综合类甲级或者具备设计专业类建筑行业乙级及以上资质或者具备设计专业类建筑工程乙级及以上资质。</w:t>
      </w:r>
    </w:p>
    <w:p>
      <w:pPr>
        <w:adjustRightInd w:val="0"/>
        <w:snapToGrid w:val="0"/>
        <w:spacing w:line="360" w:lineRule="auto"/>
        <w:ind w:firstLine="542"/>
        <w:jc w:val="left"/>
        <w:rPr>
          <w:rFonts w:hint="eastAsia" w:ascii="宋体" w:hAnsi="宋体" w:cs="宋体"/>
          <w:color w:val="000000"/>
          <w:sz w:val="24"/>
          <w:highlight w:val="none"/>
        </w:rPr>
      </w:pPr>
      <w:r>
        <w:rPr>
          <w:rFonts w:hint="eastAsia" w:ascii="宋体" w:hAnsi="宋体" w:cs="宋体"/>
          <w:b/>
          <w:bCs/>
          <w:color w:val="000000"/>
          <w:sz w:val="24"/>
          <w:highlight w:val="none"/>
        </w:rPr>
        <w:t>七、招标文件的获取</w:t>
      </w:r>
      <w:r>
        <w:rPr>
          <w:rFonts w:hint="eastAsia" w:ascii="宋体" w:hAnsi="宋体" w:cs="宋体"/>
          <w:color w:val="000000"/>
          <w:sz w:val="24"/>
          <w:highlight w:val="none"/>
        </w:rPr>
        <w:t>：</w:t>
      </w:r>
    </w:p>
    <w:p>
      <w:pPr>
        <w:adjustRightInd w:val="0"/>
        <w:snapToGrid w:val="0"/>
        <w:spacing w:line="360" w:lineRule="auto"/>
        <w:ind w:firstLine="540"/>
        <w:jc w:val="left"/>
        <w:rPr>
          <w:rFonts w:hint="default" w:ascii="宋体" w:hAnsi="宋体" w:eastAsia="宋体" w:cs="宋体"/>
          <w:sz w:val="24"/>
          <w:highlight w:val="none"/>
          <w:lang w:val="en-US" w:eastAsia="zh-CN"/>
        </w:rPr>
      </w:pPr>
      <w:r>
        <w:rPr>
          <w:rFonts w:hint="eastAsia" w:ascii="宋体" w:hAnsi="宋体" w:cs="宋体"/>
          <w:sz w:val="24"/>
          <w:highlight w:val="none"/>
        </w:rPr>
        <w:t>投标人可到门户网站（桐庐农商银行：https://www.tlrcbk.com/NetPage/noticeList_212.html）和微信公众号（潇洒桐庐 温情农商）上自行查看和下载。</w:t>
      </w:r>
      <w:r>
        <w:rPr>
          <w:rFonts w:hint="eastAsia" w:ascii="宋体" w:hAnsi="宋体" w:cs="宋体"/>
          <w:sz w:val="24"/>
          <w:highlight w:val="none"/>
          <w:lang w:val="en-US" w:eastAsia="zh-CN"/>
        </w:rPr>
        <w:t>营业网点图纸获取请联系采购</w:t>
      </w:r>
      <w:r>
        <w:rPr>
          <w:rFonts w:hint="eastAsia" w:ascii="宋体" w:hAnsi="宋体" w:cs="宋体"/>
          <w:sz w:val="24"/>
          <w:highlight w:val="none"/>
        </w:rPr>
        <w:t>代理机构</w:t>
      </w:r>
      <w:r>
        <w:rPr>
          <w:rFonts w:hint="eastAsia" w:ascii="宋体" w:hAnsi="宋体" w:cs="宋体"/>
          <w:sz w:val="24"/>
          <w:highlight w:val="none"/>
          <w:lang w:eastAsia="zh-CN"/>
        </w:rPr>
        <w:t>（</w:t>
      </w:r>
      <w:r>
        <w:rPr>
          <w:rFonts w:hint="eastAsia" w:ascii="宋体" w:hAnsi="宋体" w:cs="宋体"/>
          <w:bCs/>
          <w:sz w:val="24"/>
          <w:highlight w:val="none"/>
        </w:rPr>
        <w:t>朱嘉航</w:t>
      </w:r>
      <w:r>
        <w:rPr>
          <w:rFonts w:hint="eastAsia" w:ascii="宋体" w:hAnsi="宋体" w:cs="宋体"/>
          <w:bCs/>
          <w:sz w:val="24"/>
          <w:highlight w:val="none"/>
          <w:lang w:val="en-US" w:eastAsia="zh-CN"/>
        </w:rPr>
        <w:t>13735895157</w:t>
      </w:r>
      <w:r>
        <w:rPr>
          <w:rFonts w:hint="eastAsia" w:ascii="宋体" w:hAnsi="宋体" w:cs="宋体"/>
          <w:sz w:val="24"/>
          <w:highlight w:val="none"/>
          <w:lang w:eastAsia="zh-CN"/>
        </w:rPr>
        <w:t>）。</w:t>
      </w:r>
    </w:p>
    <w:p>
      <w:pPr>
        <w:adjustRightInd w:val="0"/>
        <w:snapToGrid w:val="0"/>
        <w:spacing w:line="360" w:lineRule="auto"/>
        <w:ind w:firstLine="542"/>
        <w:rPr>
          <w:rFonts w:hint="eastAsia" w:ascii="宋体" w:hAnsi="宋体" w:cs="宋体"/>
          <w:color w:val="000000"/>
          <w:sz w:val="24"/>
          <w:highlight w:val="none"/>
        </w:rPr>
      </w:pPr>
      <w:r>
        <w:rPr>
          <w:rFonts w:hint="eastAsia" w:ascii="宋体" w:hAnsi="宋体" w:cs="宋体"/>
          <w:b/>
          <w:bCs/>
          <w:color w:val="000000"/>
          <w:sz w:val="24"/>
          <w:highlight w:val="none"/>
        </w:rPr>
        <w:t>八、投标截止时间和地点</w:t>
      </w:r>
      <w:r>
        <w:rPr>
          <w:rFonts w:hint="eastAsia" w:ascii="宋体" w:hAnsi="宋体" w:cs="宋体"/>
          <w:color w:val="000000"/>
          <w:sz w:val="24"/>
          <w:highlight w:val="none"/>
        </w:rPr>
        <w:t>：</w:t>
      </w:r>
    </w:p>
    <w:p>
      <w:pPr>
        <w:adjustRightInd w:val="0"/>
        <w:snapToGrid w:val="0"/>
        <w:spacing w:line="360" w:lineRule="auto"/>
        <w:jc w:val="left"/>
        <w:rPr>
          <w:sz w:val="24"/>
          <w:highlight w:val="none"/>
        </w:rPr>
      </w:pPr>
      <w:r>
        <w:rPr>
          <w:sz w:val="24"/>
          <w:highlight w:val="none"/>
        </w:rPr>
        <w:t xml:space="preserve">     </w:t>
      </w:r>
      <w:r>
        <w:rPr>
          <w:rFonts w:hint="eastAsia"/>
          <w:sz w:val="24"/>
          <w:highlight w:val="none"/>
        </w:rPr>
        <w:t>投标人应于</w:t>
      </w:r>
      <w:r>
        <w:rPr>
          <w:rFonts w:hint="eastAsia" w:ascii="宋体" w:hAnsi="宋体" w:cs="宋体"/>
          <w:kern w:val="0"/>
          <w:sz w:val="24"/>
          <w:highlight w:val="none"/>
          <w:u w:val="single"/>
        </w:rPr>
        <w:t>2024年</w:t>
      </w:r>
      <w:r>
        <w:rPr>
          <w:rFonts w:hint="eastAsia" w:ascii="宋体" w:hAnsi="宋体" w:cs="宋体"/>
          <w:kern w:val="0"/>
          <w:sz w:val="24"/>
          <w:highlight w:val="none"/>
          <w:u w:val="single"/>
          <w:lang w:val="en-US" w:eastAsia="zh-CN"/>
        </w:rPr>
        <w:t>09</w:t>
      </w:r>
      <w:r>
        <w:rPr>
          <w:rFonts w:hint="eastAsia" w:ascii="宋体" w:hAnsi="宋体" w:cs="宋体"/>
          <w:kern w:val="0"/>
          <w:sz w:val="24"/>
          <w:highlight w:val="none"/>
          <w:u w:val="single"/>
        </w:rPr>
        <w:t>月</w:t>
      </w:r>
      <w:r>
        <w:rPr>
          <w:rFonts w:hint="eastAsia" w:ascii="宋体" w:hAnsi="宋体" w:cs="宋体"/>
          <w:kern w:val="0"/>
          <w:sz w:val="24"/>
          <w:highlight w:val="none"/>
          <w:u w:val="single"/>
          <w:lang w:val="en-US" w:eastAsia="zh-CN"/>
        </w:rPr>
        <w:t>05</w:t>
      </w:r>
      <w:r>
        <w:rPr>
          <w:rFonts w:hint="eastAsia" w:ascii="宋体" w:hAnsi="宋体" w:cs="宋体"/>
          <w:kern w:val="0"/>
          <w:sz w:val="24"/>
          <w:highlight w:val="none"/>
          <w:u w:val="single"/>
        </w:rPr>
        <w:t>日09时30分00秒</w:t>
      </w:r>
      <w:r>
        <w:rPr>
          <w:rFonts w:hint="eastAsia"/>
          <w:sz w:val="24"/>
          <w:highlight w:val="none"/>
        </w:rPr>
        <w:t>前将投标文件送交到</w:t>
      </w:r>
      <w:r>
        <w:rPr>
          <w:rFonts w:hint="eastAsia"/>
          <w:sz w:val="24"/>
          <w:highlight w:val="none"/>
          <w:u w:val="single"/>
        </w:rPr>
        <w:t>桐庐县</w:t>
      </w:r>
      <w:r>
        <w:rPr>
          <w:rFonts w:hint="eastAsia"/>
          <w:sz w:val="24"/>
          <w:highlight w:val="none"/>
          <w:u w:val="single"/>
          <w:lang w:val="en-US" w:eastAsia="zh-CN"/>
        </w:rPr>
        <w:t>白云源路1018号中艺锦绣名都13A</w:t>
      </w:r>
      <w:r>
        <w:rPr>
          <w:rFonts w:hint="eastAsia"/>
          <w:sz w:val="24"/>
          <w:highlight w:val="none"/>
          <w:u w:val="single"/>
        </w:rPr>
        <w:t>浙江承天建设工程管理有限公司</w:t>
      </w:r>
      <w:r>
        <w:rPr>
          <w:rFonts w:hint="eastAsia"/>
          <w:sz w:val="24"/>
          <w:highlight w:val="none"/>
        </w:rPr>
        <w:t>，逾期送达作无效标处理。</w:t>
      </w:r>
    </w:p>
    <w:p>
      <w:pPr>
        <w:adjustRightInd w:val="0"/>
        <w:snapToGrid w:val="0"/>
        <w:spacing w:line="360" w:lineRule="auto"/>
        <w:ind w:firstLine="542"/>
        <w:rPr>
          <w:rFonts w:hint="eastAsia" w:ascii="宋体" w:hAnsi="宋体" w:cs="宋体"/>
          <w:b/>
          <w:sz w:val="24"/>
          <w:highlight w:val="none"/>
        </w:rPr>
      </w:pPr>
      <w:r>
        <w:rPr>
          <w:rFonts w:hint="eastAsia" w:ascii="宋体" w:hAnsi="宋体" w:cs="宋体"/>
          <w:b/>
          <w:sz w:val="24"/>
          <w:highlight w:val="none"/>
        </w:rPr>
        <w:t>九、开标时间及地点：</w:t>
      </w:r>
    </w:p>
    <w:p>
      <w:pPr>
        <w:adjustRightInd w:val="0"/>
        <w:snapToGrid w:val="0"/>
        <w:spacing w:line="360" w:lineRule="auto"/>
        <w:ind w:firstLine="540" w:firstLineChars="225"/>
        <w:rPr>
          <w:rFonts w:hint="eastAsia" w:ascii="宋体" w:hAnsi="宋体" w:cs="宋体"/>
          <w:sz w:val="24"/>
          <w:highlight w:val="none"/>
        </w:rPr>
      </w:pPr>
      <w:r>
        <w:rPr>
          <w:rFonts w:hint="eastAsia" w:ascii="宋体" w:hAnsi="宋体" w:cs="宋体"/>
          <w:sz w:val="24"/>
          <w:highlight w:val="none"/>
        </w:rPr>
        <w:t>本次招标将于</w:t>
      </w:r>
      <w:r>
        <w:rPr>
          <w:rFonts w:hint="eastAsia" w:ascii="宋体" w:hAnsi="宋体" w:cs="宋体"/>
          <w:kern w:val="0"/>
          <w:sz w:val="24"/>
          <w:highlight w:val="none"/>
          <w:u w:val="single"/>
        </w:rPr>
        <w:t>2024年</w:t>
      </w:r>
      <w:r>
        <w:rPr>
          <w:rFonts w:hint="eastAsia" w:ascii="宋体" w:hAnsi="宋体" w:cs="宋体"/>
          <w:kern w:val="0"/>
          <w:sz w:val="24"/>
          <w:highlight w:val="none"/>
          <w:u w:val="single"/>
          <w:lang w:val="en-US" w:eastAsia="zh-CN"/>
        </w:rPr>
        <w:t>09</w:t>
      </w:r>
      <w:r>
        <w:rPr>
          <w:rFonts w:hint="eastAsia" w:ascii="宋体" w:hAnsi="宋体" w:cs="宋体"/>
          <w:kern w:val="0"/>
          <w:sz w:val="24"/>
          <w:highlight w:val="none"/>
          <w:u w:val="single"/>
        </w:rPr>
        <w:t>月</w:t>
      </w:r>
      <w:r>
        <w:rPr>
          <w:rFonts w:hint="eastAsia" w:ascii="宋体" w:hAnsi="宋体" w:cs="宋体"/>
          <w:kern w:val="0"/>
          <w:sz w:val="24"/>
          <w:highlight w:val="none"/>
          <w:u w:val="single"/>
          <w:lang w:val="en-US" w:eastAsia="zh-CN"/>
        </w:rPr>
        <w:t>05</w:t>
      </w:r>
      <w:r>
        <w:rPr>
          <w:rFonts w:hint="eastAsia" w:ascii="宋体" w:hAnsi="宋体" w:cs="宋体"/>
          <w:kern w:val="0"/>
          <w:sz w:val="24"/>
          <w:highlight w:val="none"/>
          <w:u w:val="single"/>
        </w:rPr>
        <w:t>日10时00分00秒</w:t>
      </w:r>
      <w:r>
        <w:rPr>
          <w:rFonts w:hint="eastAsia" w:ascii="宋体" w:hAnsi="宋体" w:cs="宋体"/>
          <w:sz w:val="24"/>
          <w:highlight w:val="none"/>
        </w:rPr>
        <w:t>在</w:t>
      </w:r>
      <w:r>
        <w:rPr>
          <w:rFonts w:hint="eastAsia"/>
          <w:sz w:val="24"/>
          <w:highlight w:val="none"/>
          <w:u w:val="single"/>
        </w:rPr>
        <w:t>桐庐县</w:t>
      </w:r>
      <w:r>
        <w:rPr>
          <w:rFonts w:hint="eastAsia"/>
          <w:sz w:val="24"/>
          <w:highlight w:val="none"/>
          <w:u w:val="single"/>
          <w:lang w:val="en-US" w:eastAsia="zh-CN"/>
        </w:rPr>
        <w:t>白云源路1018号中艺锦绣名都13A</w:t>
      </w:r>
      <w:r>
        <w:rPr>
          <w:rFonts w:hint="eastAsia"/>
          <w:sz w:val="24"/>
          <w:highlight w:val="none"/>
          <w:u w:val="single"/>
        </w:rPr>
        <w:t>浙江承天建设工程管理有限公司</w:t>
      </w:r>
      <w:r>
        <w:rPr>
          <w:rFonts w:hint="eastAsia" w:ascii="宋体" w:hAnsi="宋体" w:cs="宋体"/>
          <w:sz w:val="24"/>
          <w:highlight w:val="none"/>
        </w:rPr>
        <w:t>开标。</w:t>
      </w:r>
    </w:p>
    <w:p>
      <w:pPr>
        <w:adjustRightInd w:val="0"/>
        <w:snapToGrid w:val="0"/>
        <w:spacing w:line="360" w:lineRule="auto"/>
        <w:ind w:firstLine="542"/>
        <w:rPr>
          <w:rFonts w:hint="eastAsia" w:ascii="宋体" w:hAnsi="宋体" w:cs="宋体"/>
          <w:b/>
          <w:bCs/>
          <w:sz w:val="24"/>
          <w:highlight w:val="none"/>
        </w:rPr>
      </w:pPr>
      <w:r>
        <w:rPr>
          <w:rFonts w:hint="eastAsia" w:ascii="宋体" w:hAnsi="宋体" w:cs="宋体"/>
          <w:b/>
          <w:bCs/>
          <w:sz w:val="24"/>
          <w:highlight w:val="none"/>
        </w:rPr>
        <w:t>十、其他事项：</w:t>
      </w:r>
    </w:p>
    <w:p>
      <w:pPr>
        <w:shd w:val="clear" w:color="auto" w:fill="FFFFFF"/>
        <w:adjustRightInd w:val="0"/>
        <w:snapToGrid w:val="0"/>
        <w:spacing w:line="360" w:lineRule="auto"/>
        <w:ind w:firstLine="600" w:firstLineChars="250"/>
        <w:rPr>
          <w:rFonts w:hint="eastAsia" w:ascii="宋体" w:hAnsi="宋体"/>
          <w:sz w:val="24"/>
          <w:highlight w:val="none"/>
        </w:rPr>
      </w:pPr>
      <w:r>
        <w:rPr>
          <w:rFonts w:hint="eastAsia" w:ascii="宋体" w:hAnsi="宋体"/>
          <w:sz w:val="24"/>
          <w:highlight w:val="none"/>
        </w:rPr>
        <w:t>1.</w:t>
      </w:r>
      <w:r>
        <w:rPr>
          <w:rFonts w:ascii="宋体" w:hAnsi="宋体"/>
          <w:sz w:val="24"/>
          <w:highlight w:val="none"/>
        </w:rPr>
        <w:t>入围单位仅取得合作期内向</w:t>
      </w:r>
      <w:r>
        <w:rPr>
          <w:rFonts w:hint="eastAsia" w:ascii="宋体" w:hAnsi="宋体"/>
          <w:sz w:val="24"/>
          <w:highlight w:val="none"/>
        </w:rPr>
        <w:t>采购单位</w:t>
      </w:r>
      <w:r>
        <w:rPr>
          <w:rFonts w:ascii="宋体" w:hAnsi="宋体"/>
          <w:sz w:val="24"/>
          <w:highlight w:val="none"/>
        </w:rPr>
        <w:t>提供服务的资格，采购单位不承诺入围单位有机会被授予实际服务订单。采购单位在合作期内对入围单位进行综合评价，期间有权取消不合格单位的入围资格。</w:t>
      </w:r>
    </w:p>
    <w:p>
      <w:pPr>
        <w:shd w:val="clear" w:color="auto" w:fill="FFFFFF"/>
        <w:adjustRightInd w:val="0"/>
        <w:snapToGrid w:val="0"/>
        <w:spacing w:line="360" w:lineRule="auto"/>
        <w:ind w:firstLine="600" w:firstLineChars="250"/>
        <w:rPr>
          <w:rFonts w:hint="eastAsia" w:ascii="宋体" w:hAnsi="宋体"/>
          <w:sz w:val="24"/>
          <w:highlight w:val="none"/>
        </w:rPr>
      </w:pPr>
      <w:r>
        <w:rPr>
          <w:rFonts w:hint="eastAsia" w:ascii="宋体" w:hAnsi="宋体"/>
          <w:sz w:val="24"/>
          <w:highlight w:val="none"/>
        </w:rPr>
        <w:t>2.</w:t>
      </w:r>
      <w:r>
        <w:rPr>
          <w:rFonts w:ascii="宋体" w:hAnsi="宋体"/>
          <w:sz w:val="24"/>
          <w:highlight w:val="none"/>
        </w:rPr>
        <w:t>因具体装修工程需要发起采购时，依据</w:t>
      </w:r>
      <w:r>
        <w:rPr>
          <w:rFonts w:hint="eastAsia" w:ascii="宋体" w:hAnsi="宋体"/>
          <w:sz w:val="24"/>
          <w:highlight w:val="none"/>
        </w:rPr>
        <w:t>采</w:t>
      </w:r>
      <w:r>
        <w:rPr>
          <w:rFonts w:ascii="宋体" w:hAnsi="宋体"/>
          <w:sz w:val="24"/>
          <w:highlight w:val="none"/>
        </w:rPr>
        <w:t>购单位物资服务采购相关规定，在入围单位名录中择优确定服务单位。</w:t>
      </w:r>
    </w:p>
    <w:p>
      <w:pPr>
        <w:shd w:val="clear" w:color="auto" w:fill="FFFFFF"/>
        <w:adjustRightInd w:val="0"/>
        <w:snapToGrid w:val="0"/>
        <w:spacing w:line="360" w:lineRule="auto"/>
        <w:ind w:firstLine="600" w:firstLineChars="250"/>
        <w:rPr>
          <w:rFonts w:hint="eastAsia" w:ascii="宋体" w:hAnsi="宋体"/>
          <w:sz w:val="24"/>
          <w:highlight w:val="none"/>
        </w:rPr>
      </w:pPr>
      <w:r>
        <w:rPr>
          <w:rFonts w:hint="eastAsia" w:ascii="宋体" w:hAnsi="宋体"/>
          <w:sz w:val="24"/>
          <w:highlight w:val="none"/>
        </w:rPr>
        <w:t>3.</w:t>
      </w:r>
      <w:r>
        <w:rPr>
          <w:rFonts w:ascii="宋体" w:hAnsi="宋体"/>
          <w:sz w:val="24"/>
          <w:highlight w:val="none"/>
        </w:rPr>
        <w:t xml:space="preserve">入围单位须按照浙江农商联合银行系统营业网点等有关建设标准、公安部有关银行安全防范要求、消防设施工程验收标准等规定进行设计。 </w:t>
      </w:r>
    </w:p>
    <w:p>
      <w:pPr>
        <w:shd w:val="clear" w:color="auto" w:fill="FFFFFF"/>
        <w:adjustRightInd w:val="0"/>
        <w:snapToGrid w:val="0"/>
        <w:spacing w:line="360" w:lineRule="auto"/>
        <w:ind w:firstLine="600" w:firstLineChars="250"/>
        <w:rPr>
          <w:rFonts w:hint="eastAsia" w:ascii="宋体" w:hAnsi="宋体"/>
          <w:sz w:val="24"/>
          <w:highlight w:val="none"/>
        </w:rPr>
      </w:pPr>
      <w:r>
        <w:rPr>
          <w:rFonts w:ascii="宋体" w:hAnsi="宋体"/>
          <w:sz w:val="24"/>
          <w:highlight w:val="none"/>
        </w:rPr>
        <w:t>4.项目不得分包转包。</w:t>
      </w:r>
    </w:p>
    <w:p>
      <w:pPr>
        <w:shd w:val="clear" w:color="auto" w:fill="FFFFFF"/>
        <w:adjustRightInd w:val="0"/>
        <w:snapToGrid w:val="0"/>
        <w:spacing w:line="360" w:lineRule="auto"/>
        <w:ind w:firstLine="600" w:firstLineChars="250"/>
        <w:rPr>
          <w:rFonts w:hint="eastAsia" w:ascii="宋体" w:hAnsi="宋体"/>
          <w:sz w:val="24"/>
          <w:highlight w:val="none"/>
        </w:rPr>
      </w:pPr>
      <w:r>
        <w:rPr>
          <w:rFonts w:hint="eastAsia" w:ascii="宋体" w:hAnsi="宋体"/>
          <w:sz w:val="24"/>
          <w:highlight w:val="none"/>
        </w:rPr>
        <w:t>5.投标文件提交方式：现场提交。</w:t>
      </w:r>
    </w:p>
    <w:p>
      <w:pPr>
        <w:snapToGrid w:val="0"/>
        <w:spacing w:line="360" w:lineRule="auto"/>
        <w:ind w:firstLine="472" w:firstLineChars="225"/>
        <w:rPr>
          <w:rFonts w:hint="eastAsia" w:ascii="宋体" w:hAnsi="宋体" w:cs="宋体"/>
          <w:sz w:val="24"/>
          <w:highlight w:val="none"/>
        </w:rPr>
      </w:pPr>
      <w:r>
        <w:rPr>
          <w:rFonts w:hint="eastAsia" w:ascii="宋体" w:hAnsi="宋体"/>
          <w:highlight w:val="none"/>
        </w:rPr>
        <w:t xml:space="preserve"> </w:t>
      </w:r>
      <w:bookmarkStart w:id="4" w:name="_Toc69891726"/>
      <w:bookmarkStart w:id="5" w:name="_Toc69891862"/>
      <w:bookmarkStart w:id="6" w:name="_Toc69891768"/>
      <w:bookmarkStart w:id="7" w:name="_Toc8167"/>
      <w:r>
        <w:rPr>
          <w:rFonts w:hint="eastAsia" w:ascii="宋体" w:hAnsi="宋体"/>
          <w:sz w:val="24"/>
          <w:highlight w:val="none"/>
        </w:rPr>
        <w:t>6.</w:t>
      </w:r>
      <w:r>
        <w:rPr>
          <w:rFonts w:hint="eastAsia" w:ascii="宋体" w:hAnsi="宋体" w:cs="宋体"/>
          <w:sz w:val="24"/>
          <w:highlight w:val="none"/>
        </w:rPr>
        <w:t>采购代理机构将在投标截止时间前半小时在开标地点接收投标文件，投标人必须前往开标地点现场递交密封标记完整的纸质投标文件。本项目不接受其他任何非纸质形式递交的投标文件，也不接受其他任何非现场递交的投标文件。</w:t>
      </w:r>
    </w:p>
    <w:p>
      <w:pPr>
        <w:snapToGrid w:val="0"/>
        <w:spacing w:line="360" w:lineRule="auto"/>
        <w:ind w:firstLine="540" w:firstLineChars="225"/>
        <w:rPr>
          <w:rFonts w:hint="eastAsia" w:ascii="宋体" w:hAnsi="宋体" w:cs="宋体"/>
          <w:sz w:val="24"/>
          <w:highlight w:val="none"/>
        </w:rPr>
      </w:pPr>
      <w:r>
        <w:rPr>
          <w:rFonts w:hint="eastAsia" w:ascii="宋体" w:hAnsi="宋体" w:cs="宋体"/>
          <w:sz w:val="24"/>
          <w:highlight w:val="none"/>
        </w:rPr>
        <w:t>7.开标当天投标单位法定代表人或其委托代理人（以现场纸质登记的人员联系方式为准）电话应当保持畅通，若有询标，将以语音电话的方式进行。投标人通讯不畅通，导致30分钟内无法联系的（或拨打三次未能接通的），视作投标人不予回复或确认，评标委员会作出的决定投标人不能提起质疑。</w:t>
      </w:r>
      <w:bookmarkEnd w:id="4"/>
      <w:bookmarkEnd w:id="5"/>
      <w:bookmarkEnd w:id="6"/>
      <w:bookmarkEnd w:id="7"/>
    </w:p>
    <w:p>
      <w:pPr>
        <w:adjustRightInd w:val="0"/>
        <w:snapToGrid w:val="0"/>
        <w:spacing w:line="360" w:lineRule="auto"/>
        <w:ind w:firstLine="542"/>
        <w:rPr>
          <w:rFonts w:hint="eastAsia" w:ascii="宋体" w:hAnsi="宋体" w:cs="宋体"/>
          <w:b/>
          <w:bCs/>
          <w:sz w:val="24"/>
          <w:highlight w:val="none"/>
        </w:rPr>
      </w:pPr>
      <w:bookmarkStart w:id="8" w:name="_Toc69891727"/>
      <w:bookmarkStart w:id="9" w:name="_Toc21543"/>
      <w:bookmarkStart w:id="10" w:name="_Toc69891769"/>
      <w:bookmarkStart w:id="11" w:name="_Toc69891863"/>
      <w:r>
        <w:rPr>
          <w:rFonts w:hint="eastAsia" w:ascii="宋体" w:hAnsi="宋体" w:cs="宋体"/>
          <w:b/>
          <w:bCs/>
          <w:sz w:val="24"/>
          <w:highlight w:val="none"/>
        </w:rPr>
        <w:t>十一、业务咨询：</w:t>
      </w:r>
      <w:bookmarkEnd w:id="8"/>
      <w:bookmarkEnd w:id="9"/>
      <w:bookmarkEnd w:id="10"/>
      <w:bookmarkEnd w:id="11"/>
    </w:p>
    <w:p>
      <w:pPr>
        <w:snapToGrid w:val="0"/>
        <w:spacing w:line="360" w:lineRule="auto"/>
        <w:ind w:firstLine="540" w:firstLineChars="225"/>
        <w:rPr>
          <w:rFonts w:hint="eastAsia" w:ascii="宋体" w:hAnsi="宋体" w:cs="宋体"/>
          <w:sz w:val="24"/>
          <w:highlight w:val="none"/>
        </w:rPr>
      </w:pPr>
      <w:r>
        <w:rPr>
          <w:rFonts w:hint="eastAsia" w:ascii="宋体" w:hAnsi="宋体" w:cs="宋体"/>
          <w:sz w:val="24"/>
          <w:highlight w:val="none"/>
        </w:rPr>
        <w:t xml:space="preserve">1.采购单位：浙江桐庐农村商业银行股份有限公司 </w:t>
      </w:r>
    </w:p>
    <w:p>
      <w:pPr>
        <w:adjustRightInd w:val="0"/>
        <w:snapToGrid w:val="0"/>
        <w:spacing w:line="360" w:lineRule="auto"/>
        <w:ind w:firstLine="720" w:firstLineChars="300"/>
        <w:rPr>
          <w:rFonts w:hint="eastAsia" w:ascii="宋体" w:hAnsi="宋体" w:cs="宋体"/>
          <w:sz w:val="24"/>
          <w:highlight w:val="none"/>
        </w:rPr>
      </w:pPr>
      <w:r>
        <w:rPr>
          <w:rFonts w:hint="eastAsia" w:ascii="宋体" w:hAnsi="宋体" w:cs="宋体"/>
          <w:sz w:val="24"/>
          <w:highlight w:val="none"/>
        </w:rPr>
        <w:t>联系人：胡根源</w:t>
      </w:r>
    </w:p>
    <w:p>
      <w:pPr>
        <w:adjustRightInd w:val="0"/>
        <w:snapToGrid w:val="0"/>
        <w:spacing w:line="360" w:lineRule="auto"/>
        <w:ind w:firstLine="720" w:firstLineChars="300"/>
        <w:rPr>
          <w:rFonts w:hint="eastAsia" w:ascii="宋体" w:hAnsi="宋体" w:cs="宋体"/>
          <w:sz w:val="24"/>
          <w:highlight w:val="none"/>
        </w:rPr>
      </w:pPr>
      <w:r>
        <w:rPr>
          <w:rFonts w:hint="eastAsia" w:ascii="宋体" w:hAnsi="宋体" w:cs="宋体"/>
          <w:sz w:val="24"/>
          <w:highlight w:val="none"/>
        </w:rPr>
        <w:t>联系电话：0571-64219985</w:t>
      </w:r>
    </w:p>
    <w:p>
      <w:pPr>
        <w:snapToGrid w:val="0"/>
        <w:spacing w:line="360" w:lineRule="auto"/>
        <w:ind w:firstLine="540" w:firstLineChars="225"/>
        <w:rPr>
          <w:rFonts w:hint="eastAsia" w:ascii="宋体" w:hAnsi="宋体" w:cs="宋体"/>
          <w:sz w:val="24"/>
          <w:highlight w:val="none"/>
        </w:rPr>
      </w:pPr>
      <w:r>
        <w:rPr>
          <w:rFonts w:hint="eastAsia" w:ascii="宋体" w:hAnsi="宋体" w:cs="宋体"/>
          <w:sz w:val="24"/>
          <w:highlight w:val="none"/>
        </w:rPr>
        <w:t>2.代理机构：浙江承天建设工程管理有限公司</w:t>
      </w:r>
    </w:p>
    <w:p>
      <w:pPr>
        <w:adjustRightInd w:val="0"/>
        <w:snapToGrid w:val="0"/>
        <w:spacing w:line="360" w:lineRule="auto"/>
        <w:ind w:firstLine="720" w:firstLineChars="300"/>
        <w:rPr>
          <w:rFonts w:hint="eastAsia" w:ascii="宋体" w:hAnsi="宋体" w:cs="宋体"/>
          <w:bCs/>
          <w:sz w:val="24"/>
          <w:highlight w:val="none"/>
        </w:rPr>
      </w:pPr>
      <w:r>
        <w:rPr>
          <w:rFonts w:hint="eastAsia" w:ascii="宋体" w:hAnsi="宋体" w:cs="宋体"/>
          <w:bCs/>
          <w:sz w:val="24"/>
          <w:highlight w:val="none"/>
        </w:rPr>
        <w:t>联系人：朱嘉航</w:t>
      </w:r>
    </w:p>
    <w:p>
      <w:pPr>
        <w:adjustRightInd w:val="0"/>
        <w:snapToGrid w:val="0"/>
        <w:spacing w:line="360" w:lineRule="auto"/>
        <w:ind w:firstLine="720" w:firstLineChars="300"/>
        <w:rPr>
          <w:rFonts w:hint="eastAsia" w:ascii="宋体" w:hAnsi="宋体" w:cs="宋体"/>
          <w:bCs/>
          <w:sz w:val="24"/>
          <w:highlight w:val="none"/>
        </w:rPr>
      </w:pPr>
      <w:r>
        <w:rPr>
          <w:rFonts w:hint="eastAsia" w:ascii="宋体" w:hAnsi="宋体" w:cs="宋体"/>
          <w:bCs/>
          <w:sz w:val="24"/>
          <w:highlight w:val="none"/>
        </w:rPr>
        <w:t xml:space="preserve">联系电话：13735895157  </w:t>
      </w:r>
    </w:p>
    <w:p>
      <w:pPr>
        <w:snapToGrid w:val="0"/>
        <w:spacing w:line="360" w:lineRule="auto"/>
        <w:ind w:firstLine="540" w:firstLineChars="225"/>
        <w:rPr>
          <w:rFonts w:hint="eastAsia" w:ascii="宋体" w:hAnsi="宋体" w:cs="宋体"/>
          <w:sz w:val="24"/>
          <w:highlight w:val="none"/>
        </w:rPr>
      </w:pPr>
      <w:bookmarkStart w:id="12" w:name="_Toc44215489"/>
      <w:r>
        <w:rPr>
          <w:rFonts w:hint="eastAsia" w:ascii="宋体" w:hAnsi="宋体" w:cs="宋体"/>
          <w:sz w:val="24"/>
          <w:highlight w:val="none"/>
        </w:rPr>
        <w:t xml:space="preserve">3.监督部门：浙江桐庐农村商业银行股份有限公司纪检办公室         </w:t>
      </w:r>
    </w:p>
    <w:p>
      <w:pPr>
        <w:adjustRightInd w:val="0"/>
        <w:snapToGrid w:val="0"/>
        <w:spacing w:line="360" w:lineRule="auto"/>
        <w:ind w:firstLine="720" w:firstLineChars="300"/>
        <w:rPr>
          <w:sz w:val="24"/>
          <w:highlight w:val="none"/>
        </w:rPr>
      </w:pPr>
      <w:r>
        <w:rPr>
          <w:rFonts w:hint="eastAsia" w:ascii="宋体" w:hAnsi="宋体" w:cs="宋体"/>
          <w:bCs/>
          <w:sz w:val="24"/>
          <w:highlight w:val="none"/>
        </w:rPr>
        <w:t>监督电话：</w:t>
      </w:r>
      <w:r>
        <w:rPr>
          <w:rFonts w:hint="eastAsia" w:ascii="宋体" w:hAnsi="宋体" w:cs="宋体"/>
          <w:color w:val="000000"/>
          <w:kern w:val="0"/>
          <w:sz w:val="24"/>
          <w:highlight w:val="none"/>
        </w:rPr>
        <w:t>0571-64218819</w:t>
      </w:r>
    </w:p>
    <w:p>
      <w:pPr>
        <w:snapToGrid w:val="0"/>
        <w:spacing w:line="360" w:lineRule="auto"/>
        <w:ind w:firstLine="540" w:firstLineChars="225"/>
        <w:jc w:val="right"/>
        <w:rPr>
          <w:rFonts w:hint="eastAsia" w:ascii="宋体" w:hAnsi="宋体" w:cs="宋体"/>
          <w:sz w:val="24"/>
          <w:highlight w:val="none"/>
        </w:rPr>
      </w:pPr>
      <w:r>
        <w:rPr>
          <w:rFonts w:hint="eastAsia" w:ascii="宋体" w:hAnsi="宋体" w:cs="宋体"/>
          <w:sz w:val="24"/>
          <w:highlight w:val="none"/>
        </w:rPr>
        <w:t>浙江承天建设工程管理有限公司</w:t>
      </w:r>
    </w:p>
    <w:p>
      <w:pPr>
        <w:snapToGrid w:val="0"/>
        <w:spacing w:line="360" w:lineRule="auto"/>
        <w:ind w:firstLine="540" w:firstLineChars="225"/>
        <w:jc w:val="right"/>
        <w:rPr>
          <w:highlight w:val="none"/>
        </w:rPr>
      </w:pPr>
      <w:r>
        <w:rPr>
          <w:rFonts w:hint="eastAsia" w:ascii="宋体" w:hAnsi="宋体" w:cs="宋体"/>
          <w:sz w:val="24"/>
          <w:highlight w:val="none"/>
        </w:rPr>
        <w:t>2024年</w:t>
      </w:r>
      <w:r>
        <w:rPr>
          <w:rFonts w:hint="eastAsia" w:ascii="宋体" w:hAnsi="宋体" w:cs="宋体"/>
          <w:sz w:val="24"/>
          <w:highlight w:val="none"/>
          <w:lang w:val="en-US" w:eastAsia="zh-CN"/>
        </w:rPr>
        <w:t>08</w:t>
      </w:r>
      <w:r>
        <w:rPr>
          <w:rFonts w:hint="eastAsia" w:ascii="宋体" w:hAnsi="宋体" w:cs="宋体"/>
          <w:sz w:val="24"/>
          <w:highlight w:val="none"/>
        </w:rPr>
        <w:t>月</w:t>
      </w:r>
      <w:r>
        <w:rPr>
          <w:rFonts w:hint="eastAsia" w:ascii="宋体" w:hAnsi="宋体" w:cs="宋体"/>
          <w:sz w:val="24"/>
          <w:highlight w:val="none"/>
          <w:lang w:val="en-US" w:eastAsia="zh-CN"/>
        </w:rPr>
        <w:t>16</w:t>
      </w:r>
      <w:r>
        <w:rPr>
          <w:rFonts w:hint="eastAsia" w:ascii="宋体" w:hAnsi="宋体" w:cs="宋体"/>
          <w:sz w:val="24"/>
          <w:highlight w:val="none"/>
        </w:rPr>
        <w:t>日</w:t>
      </w:r>
      <w:r>
        <w:rPr>
          <w:rFonts w:hint="eastAsia"/>
          <w:highlight w:val="none"/>
        </w:rPr>
        <w:br w:type="page"/>
      </w:r>
      <w:bookmarkStart w:id="13" w:name="_Toc69761307"/>
    </w:p>
    <w:p>
      <w:pPr>
        <w:pStyle w:val="3"/>
        <w:ind w:firstLine="542"/>
        <w:rPr>
          <w:highlight w:val="none"/>
        </w:rPr>
      </w:pPr>
      <w:bookmarkStart w:id="14" w:name="_Toc16742"/>
      <w:r>
        <w:rPr>
          <w:rFonts w:hint="eastAsia"/>
          <w:highlight w:val="none"/>
        </w:rPr>
        <w:t>第二章 供应商须知</w:t>
      </w:r>
      <w:bookmarkEnd w:id="13"/>
      <w:bookmarkEnd w:id="14"/>
    </w:p>
    <w:p>
      <w:pPr>
        <w:spacing w:line="440" w:lineRule="exact"/>
        <w:ind w:firstLine="480" w:firstLineChars="200"/>
        <w:jc w:val="center"/>
        <w:textAlignment w:val="bottom"/>
        <w:rPr>
          <w:rFonts w:hint="eastAsia" w:ascii="宋体" w:hAnsi="宋体"/>
          <w:sz w:val="24"/>
          <w:highlight w:val="none"/>
        </w:rPr>
      </w:pPr>
      <w:r>
        <w:rPr>
          <w:rFonts w:hint="eastAsia" w:ascii="宋体" w:hAnsi="宋体"/>
          <w:sz w:val="24"/>
          <w:highlight w:val="none"/>
        </w:rPr>
        <w:t>前附表</w:t>
      </w:r>
    </w:p>
    <w:tbl>
      <w:tblPr>
        <w:tblStyle w:val="40"/>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213"/>
        <w:gridCol w:w="7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bCs/>
                <w:sz w:val="24"/>
                <w:highlight w:val="none"/>
              </w:rPr>
            </w:pPr>
            <w:r>
              <w:rPr>
                <w:rFonts w:hint="eastAsia"/>
                <w:b/>
                <w:bCs/>
                <w:sz w:val="24"/>
                <w:highlight w:val="none"/>
              </w:rPr>
              <w:t>序号</w:t>
            </w: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42"/>
              <w:jc w:val="center"/>
              <w:rPr>
                <w:b/>
                <w:bCs/>
                <w:sz w:val="24"/>
                <w:highlight w:val="none"/>
              </w:rPr>
            </w:pPr>
            <w:r>
              <w:rPr>
                <w:rFonts w:hint="eastAsia"/>
                <w:b/>
                <w:bCs/>
                <w:sz w:val="24"/>
                <w:highlight w:val="none"/>
              </w:rPr>
              <w:t>项</w:t>
            </w:r>
            <w:r>
              <w:rPr>
                <w:b/>
                <w:bCs/>
                <w:sz w:val="24"/>
                <w:highlight w:val="none"/>
              </w:rPr>
              <w:t xml:space="preserve"> </w:t>
            </w:r>
            <w:r>
              <w:rPr>
                <w:rFonts w:hint="eastAsia"/>
                <w:b/>
                <w:bCs/>
                <w:sz w:val="24"/>
                <w:highlight w:val="none"/>
              </w:rPr>
              <w:t>目</w:t>
            </w:r>
          </w:p>
        </w:tc>
        <w:tc>
          <w:tcPr>
            <w:tcW w:w="71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42"/>
              <w:jc w:val="center"/>
              <w:rPr>
                <w:b/>
                <w:bCs/>
                <w:sz w:val="24"/>
                <w:highlight w:val="none"/>
              </w:rPr>
            </w:pPr>
            <w:r>
              <w:rPr>
                <w:rFonts w:hint="eastAsia"/>
                <w:b/>
                <w:bCs/>
                <w:sz w:val="24"/>
                <w:highlight w:val="none"/>
              </w:rPr>
              <w:t>内</w:t>
            </w:r>
            <w:r>
              <w:rPr>
                <w:b/>
                <w:bCs/>
                <w:sz w:val="24"/>
                <w:highlight w:val="none"/>
              </w:rPr>
              <w:t xml:space="preserve">   </w:t>
            </w:r>
            <w:r>
              <w:rPr>
                <w:rFonts w:hint="eastAsia"/>
                <w:b/>
                <w:bCs/>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sz w:val="24"/>
                <w:highlight w:val="none"/>
              </w:rPr>
              <w:t>1</w:t>
            </w: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rFonts w:hint="eastAsia"/>
                <w:sz w:val="24"/>
                <w:highlight w:val="none"/>
              </w:rPr>
              <w:t>项目名称</w:t>
            </w:r>
          </w:p>
        </w:tc>
        <w:tc>
          <w:tcPr>
            <w:tcW w:w="7114"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highlight w:val="none"/>
              </w:rPr>
            </w:pPr>
            <w:r>
              <w:rPr>
                <w:rFonts w:hint="eastAsia"/>
                <w:sz w:val="24"/>
                <w:highlight w:val="none"/>
              </w:rPr>
              <w:t>桐庐农商银行营业网点及办公场所装修设计服务单位入围项目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sz w:val="24"/>
                <w:highlight w:val="none"/>
              </w:rPr>
              <w:t>2</w:t>
            </w: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rFonts w:hint="eastAsia"/>
                <w:sz w:val="24"/>
                <w:highlight w:val="none"/>
              </w:rPr>
              <w:t>采购方式</w:t>
            </w:r>
          </w:p>
        </w:tc>
        <w:tc>
          <w:tcPr>
            <w:tcW w:w="7114"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highlight w:val="none"/>
              </w:rPr>
            </w:pPr>
            <w:r>
              <w:rPr>
                <w:rFonts w:hint="eastAsia"/>
                <w:sz w:val="24"/>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sz w:val="24"/>
                <w:highlight w:val="none"/>
              </w:rPr>
              <w:t>3</w:t>
            </w: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rFonts w:hint="eastAsia"/>
                <w:sz w:val="24"/>
                <w:highlight w:val="none"/>
              </w:rPr>
              <w:t>采购内容</w:t>
            </w:r>
          </w:p>
        </w:tc>
        <w:tc>
          <w:tcPr>
            <w:tcW w:w="7114"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highlight w:val="none"/>
              </w:rPr>
            </w:pPr>
            <w:bookmarkStart w:id="15" w:name="_Toc44764943"/>
            <w:bookmarkStart w:id="16" w:name="_Toc69761308"/>
            <w:bookmarkStart w:id="17" w:name="_Toc6965"/>
            <w:bookmarkStart w:id="18" w:name="_Toc44765572"/>
            <w:bookmarkStart w:id="19" w:name="_Toc44765484"/>
            <w:bookmarkStart w:id="20" w:name="_Toc69891731"/>
            <w:bookmarkStart w:id="21" w:name="_Toc69761235"/>
            <w:bookmarkStart w:id="22" w:name="_Toc69891868"/>
            <w:bookmarkStart w:id="23" w:name="_Toc69891773"/>
            <w:r>
              <w:rPr>
                <w:rFonts w:hint="eastAsia"/>
                <w:sz w:val="24"/>
                <w:highlight w:val="none"/>
              </w:rPr>
              <w:t>具体内容、要求见采购文件第四章 采购需求</w:t>
            </w:r>
            <w:bookmarkEnd w:id="15"/>
            <w:bookmarkEnd w:id="16"/>
            <w:bookmarkEnd w:id="17"/>
            <w:bookmarkEnd w:id="18"/>
            <w:bookmarkEnd w:id="19"/>
            <w:bookmarkEnd w:id="20"/>
            <w:bookmarkEnd w:id="21"/>
            <w:bookmarkEnd w:id="22"/>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sz w:val="24"/>
                <w:highlight w:val="none"/>
              </w:rPr>
              <w:t>4</w:t>
            </w: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rFonts w:hint="eastAsia"/>
                <w:sz w:val="24"/>
                <w:highlight w:val="none"/>
              </w:rPr>
              <w:t>供应商资格</w:t>
            </w:r>
          </w:p>
        </w:tc>
        <w:tc>
          <w:tcPr>
            <w:tcW w:w="7114"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highlight w:val="none"/>
              </w:rPr>
            </w:pPr>
            <w:r>
              <w:rPr>
                <w:rFonts w:hint="eastAsia"/>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sz w:val="24"/>
                <w:highlight w:val="none"/>
              </w:rPr>
              <w:t>5</w:t>
            </w: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rFonts w:hint="eastAsia"/>
                <w:sz w:val="24"/>
                <w:highlight w:val="none"/>
              </w:rPr>
              <w:t>服务期</w:t>
            </w:r>
          </w:p>
        </w:tc>
        <w:tc>
          <w:tcPr>
            <w:tcW w:w="7114"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highlight w:val="none"/>
              </w:rPr>
            </w:pPr>
            <w:r>
              <w:rPr>
                <w:rFonts w:hint="eastAsia"/>
                <w:sz w:val="24"/>
                <w:highlight w:val="none"/>
              </w:rPr>
              <w:t>自合同签订之日起3年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sz w:val="24"/>
                <w:highlight w:val="none"/>
              </w:rPr>
              <w:t>6</w:t>
            </w: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rFonts w:hint="eastAsia"/>
                <w:sz w:val="24"/>
                <w:highlight w:val="none"/>
              </w:rPr>
              <w:t>服务地点</w:t>
            </w:r>
          </w:p>
        </w:tc>
        <w:tc>
          <w:tcPr>
            <w:tcW w:w="7114"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highlight w:val="none"/>
              </w:rPr>
            </w:pPr>
            <w:r>
              <w:rPr>
                <w:rFonts w:hint="eastAsia"/>
                <w:sz w:val="24"/>
                <w:highlight w:val="none"/>
              </w:rPr>
              <w:t>桐庐农商银行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sz w:val="24"/>
                <w:highlight w:val="none"/>
              </w:rPr>
              <w:t>7</w:t>
            </w: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rFonts w:hint="eastAsia"/>
                <w:sz w:val="24"/>
                <w:highlight w:val="none"/>
              </w:rPr>
              <w:t>采购文件获取</w:t>
            </w:r>
          </w:p>
        </w:tc>
        <w:tc>
          <w:tcPr>
            <w:tcW w:w="7114"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highlight w:val="none"/>
              </w:rPr>
            </w:pPr>
            <w:r>
              <w:rPr>
                <w:rFonts w:hint="eastAsia"/>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sz w:val="24"/>
                <w:highlight w:val="none"/>
              </w:rPr>
              <w:t>8</w:t>
            </w: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rFonts w:hint="eastAsia"/>
                <w:sz w:val="24"/>
                <w:highlight w:val="none"/>
              </w:rPr>
              <w:t>采购文件质疑</w:t>
            </w:r>
          </w:p>
        </w:tc>
        <w:tc>
          <w:tcPr>
            <w:tcW w:w="7114"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highlight w:val="none"/>
              </w:rPr>
            </w:pPr>
            <w:r>
              <w:rPr>
                <w:rFonts w:hint="eastAsia" w:ascii="宋体" w:hAnsi="宋体"/>
                <w:sz w:val="24"/>
                <w:highlight w:val="none"/>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sz w:val="24"/>
                <w:highlight w:val="none"/>
              </w:rPr>
              <w:t>9</w:t>
            </w: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rFonts w:hint="eastAsia"/>
                <w:sz w:val="24"/>
                <w:highlight w:val="none"/>
              </w:rPr>
              <w:t>投标文件的组成</w:t>
            </w:r>
          </w:p>
        </w:tc>
        <w:tc>
          <w:tcPr>
            <w:tcW w:w="7114"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highlight w:val="none"/>
              </w:rPr>
            </w:pPr>
            <w:r>
              <w:rPr>
                <w:rFonts w:hint="eastAsia" w:ascii="宋体" w:hAnsi="宋体"/>
                <w:sz w:val="24"/>
                <w:highlight w:val="none"/>
              </w:rPr>
              <w:t>由资质文件、商务技术文件、报价文件三部分组成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sz w:val="24"/>
                <w:highlight w:val="none"/>
              </w:rPr>
              <w:t>10</w:t>
            </w: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rFonts w:hint="eastAsia"/>
                <w:sz w:val="24"/>
                <w:highlight w:val="none"/>
              </w:rPr>
              <w:t>投标文件份数</w:t>
            </w:r>
          </w:p>
        </w:tc>
        <w:tc>
          <w:tcPr>
            <w:tcW w:w="7114"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highlight w:val="none"/>
              </w:rPr>
            </w:pPr>
            <w:r>
              <w:rPr>
                <w:rFonts w:hint="eastAsia"/>
                <w:sz w:val="24"/>
                <w:highlight w:val="none"/>
              </w:rPr>
              <w:t>一式五份；正本一份，副本四份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sz w:val="24"/>
                <w:highlight w:val="none"/>
              </w:rPr>
              <w:t>11</w:t>
            </w: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rFonts w:hint="eastAsia"/>
                <w:sz w:val="24"/>
                <w:highlight w:val="none"/>
              </w:rPr>
              <w:t>最高限价</w:t>
            </w:r>
          </w:p>
        </w:tc>
        <w:tc>
          <w:tcPr>
            <w:tcW w:w="7114" w:type="dxa"/>
            <w:tcBorders>
              <w:top w:val="single" w:color="auto" w:sz="4" w:space="0"/>
              <w:left w:val="single" w:color="auto" w:sz="4" w:space="0"/>
              <w:bottom w:val="single" w:color="auto" w:sz="4" w:space="0"/>
              <w:right w:val="single" w:color="auto" w:sz="4" w:space="0"/>
            </w:tcBorders>
            <w:vAlign w:val="center"/>
          </w:tcPr>
          <w:p>
            <w:pPr>
              <w:rPr>
                <w:sz w:val="24"/>
                <w:highlight w:val="none"/>
              </w:rPr>
            </w:pPr>
            <w:r>
              <w:rPr>
                <w:rFonts w:hint="eastAsia"/>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sz w:val="24"/>
                <w:highlight w:val="none"/>
              </w:rPr>
              <w:t>12</w:t>
            </w: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rFonts w:hint="eastAsia"/>
                <w:sz w:val="24"/>
                <w:highlight w:val="none"/>
              </w:rPr>
              <w:t>报价方式</w:t>
            </w:r>
          </w:p>
        </w:tc>
        <w:tc>
          <w:tcPr>
            <w:tcW w:w="711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 w:val="24"/>
                <w:highlight w:val="none"/>
              </w:rPr>
            </w:pPr>
            <w:r>
              <w:rPr>
                <w:rFonts w:hint="eastAsia"/>
                <w:sz w:val="24"/>
                <w:highlight w:val="none"/>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sz w:val="24"/>
                <w:highlight w:val="none"/>
              </w:rPr>
              <w:t>13</w:t>
            </w: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rFonts w:hint="eastAsia"/>
                <w:sz w:val="24"/>
                <w:highlight w:val="none"/>
              </w:rPr>
              <w:t>投标保证金</w:t>
            </w:r>
          </w:p>
        </w:tc>
        <w:tc>
          <w:tcPr>
            <w:tcW w:w="7114"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highlight w:val="none"/>
              </w:rPr>
            </w:pPr>
            <w:r>
              <w:rPr>
                <w:rFonts w:hint="eastAsia"/>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sz w:val="24"/>
                <w:highlight w:val="none"/>
              </w:rPr>
              <w:t>14</w:t>
            </w: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rPr>
                <w:sz w:val="24"/>
                <w:highlight w:val="none"/>
              </w:rPr>
            </w:pPr>
            <w:r>
              <w:rPr>
                <w:rFonts w:hint="eastAsia"/>
                <w:sz w:val="24"/>
                <w:highlight w:val="none"/>
              </w:rPr>
              <w:t>投标文件的递交</w:t>
            </w:r>
          </w:p>
        </w:tc>
        <w:tc>
          <w:tcPr>
            <w:tcW w:w="7114"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highlight w:val="none"/>
              </w:rPr>
            </w:pPr>
            <w:r>
              <w:rPr>
                <w:rFonts w:hint="eastAsia"/>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sz w:val="24"/>
                <w:highlight w:val="none"/>
              </w:rPr>
              <w:t>15</w:t>
            </w: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rFonts w:hint="eastAsia"/>
                <w:sz w:val="24"/>
                <w:highlight w:val="none"/>
              </w:rPr>
              <w:t>评审办法</w:t>
            </w:r>
          </w:p>
        </w:tc>
        <w:tc>
          <w:tcPr>
            <w:tcW w:w="7114"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highlight w:val="none"/>
              </w:rPr>
            </w:pPr>
            <w:r>
              <w:rPr>
                <w:rFonts w:hint="eastAsia" w:ascii="宋体" w:hAnsi="宋体"/>
                <w:sz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sz w:val="24"/>
                <w:highlight w:val="none"/>
              </w:rPr>
              <w:t>16</w:t>
            </w: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rFonts w:hint="eastAsia"/>
                <w:sz w:val="24"/>
                <w:highlight w:val="none"/>
              </w:rPr>
              <w:t>投标有效期</w:t>
            </w:r>
          </w:p>
        </w:tc>
        <w:tc>
          <w:tcPr>
            <w:tcW w:w="7114"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highlight w:val="none"/>
              </w:rPr>
            </w:pPr>
            <w:r>
              <w:rPr>
                <w:rFonts w:hint="eastAsia"/>
                <w:sz w:val="24"/>
                <w:highlight w:val="none"/>
              </w:rPr>
              <w:t>从投标文件递交截止日起</w:t>
            </w:r>
            <w:r>
              <w:rPr>
                <w:sz w:val="24"/>
                <w:highlight w:val="none"/>
              </w:rPr>
              <w:t>90</w:t>
            </w:r>
            <w:r>
              <w:rPr>
                <w:rFonts w:hint="eastAsia"/>
                <w:sz w:val="24"/>
                <w:highlight w:val="none"/>
              </w:rPr>
              <w:t>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sz w:val="24"/>
                <w:highlight w:val="none"/>
              </w:rPr>
              <w:t>17</w:t>
            </w: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rFonts w:hint="eastAsia"/>
                <w:sz w:val="24"/>
                <w:highlight w:val="none"/>
              </w:rPr>
              <w:t>投标文件递交</w:t>
            </w:r>
          </w:p>
          <w:p>
            <w:pPr>
              <w:spacing w:line="400" w:lineRule="exact"/>
              <w:jc w:val="center"/>
              <w:rPr>
                <w:sz w:val="24"/>
                <w:highlight w:val="none"/>
              </w:rPr>
            </w:pPr>
            <w:r>
              <w:rPr>
                <w:rFonts w:hint="eastAsia"/>
                <w:sz w:val="24"/>
                <w:highlight w:val="none"/>
              </w:rPr>
              <w:t>截止时间</w:t>
            </w:r>
          </w:p>
        </w:tc>
        <w:tc>
          <w:tcPr>
            <w:tcW w:w="7114"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highlight w:val="none"/>
              </w:rPr>
            </w:pPr>
            <w:r>
              <w:rPr>
                <w:rFonts w:hint="eastAsia"/>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sz w:val="24"/>
                <w:highlight w:val="none"/>
              </w:rPr>
              <w:t>18</w:t>
            </w: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rFonts w:hint="eastAsia"/>
                <w:sz w:val="24"/>
                <w:highlight w:val="none"/>
              </w:rPr>
              <w:t>开标地点</w:t>
            </w:r>
          </w:p>
        </w:tc>
        <w:tc>
          <w:tcPr>
            <w:tcW w:w="7114"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highlight w:val="none"/>
              </w:rPr>
            </w:pPr>
            <w:r>
              <w:rPr>
                <w:rFonts w:hint="eastAsia"/>
                <w:sz w:val="24"/>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sz w:val="24"/>
                <w:highlight w:val="none"/>
              </w:rPr>
              <w:t>19</w:t>
            </w: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rFonts w:hint="eastAsia"/>
                <w:sz w:val="24"/>
                <w:highlight w:val="none"/>
              </w:rPr>
              <w:t>履约保证金</w:t>
            </w:r>
          </w:p>
        </w:tc>
        <w:tc>
          <w:tcPr>
            <w:tcW w:w="7114"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highlight w:val="none"/>
              </w:rPr>
            </w:pPr>
            <w:r>
              <w:rPr>
                <w:rFonts w:hint="eastAsia"/>
                <w:sz w:val="24"/>
                <w:highlight w:val="none"/>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bookmarkStart w:id="24" w:name="_Toc69891869"/>
            <w:bookmarkStart w:id="25" w:name="_Toc44765573"/>
            <w:bookmarkStart w:id="26" w:name="_Toc69891732"/>
            <w:bookmarkStart w:id="27" w:name="_Toc69891774"/>
            <w:bookmarkStart w:id="28" w:name="_Toc44765485"/>
            <w:bookmarkStart w:id="29" w:name="_Toc44764944"/>
            <w:bookmarkStart w:id="30" w:name="_Toc69761236"/>
            <w:bookmarkStart w:id="31" w:name="_Toc69761309"/>
            <w:r>
              <w:rPr>
                <w:sz w:val="24"/>
                <w:highlight w:val="none"/>
              </w:rPr>
              <w:t>20</w:t>
            </w: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rFonts w:hint="eastAsia"/>
                <w:sz w:val="24"/>
                <w:highlight w:val="none"/>
              </w:rPr>
              <w:t>解释</w:t>
            </w:r>
          </w:p>
        </w:tc>
        <w:tc>
          <w:tcPr>
            <w:tcW w:w="7114"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highlight w:val="none"/>
              </w:rPr>
            </w:pPr>
            <w:r>
              <w:rPr>
                <w:rFonts w:hint="eastAsia"/>
                <w:sz w:val="24"/>
                <w:highlight w:val="none"/>
              </w:rPr>
              <w:t>本采购文件的解释权属于</w:t>
            </w:r>
            <w:r>
              <w:rPr>
                <w:sz w:val="24"/>
                <w:highlight w:val="none"/>
              </w:rPr>
              <w:t>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rFonts w:hint="eastAsia"/>
                <w:sz w:val="24"/>
                <w:highlight w:val="none"/>
              </w:rPr>
              <w:t>21</w:t>
            </w:r>
          </w:p>
        </w:tc>
        <w:tc>
          <w:tcPr>
            <w:tcW w:w="2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highlight w:val="none"/>
              </w:rPr>
            </w:pPr>
            <w:r>
              <w:rPr>
                <w:rFonts w:hint="eastAsia"/>
                <w:sz w:val="24"/>
                <w:highlight w:val="none"/>
              </w:rPr>
              <w:t>其他</w:t>
            </w:r>
          </w:p>
        </w:tc>
        <w:tc>
          <w:tcPr>
            <w:tcW w:w="7114"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highlight w:val="none"/>
              </w:rPr>
            </w:pPr>
            <w:r>
              <w:rPr>
                <w:rFonts w:hint="eastAsia"/>
                <w:sz w:val="24"/>
                <w:highlight w:val="none"/>
              </w:rPr>
              <w:t>本次采购代理服务费5000元，由入围单位在领取中标通知书时分别支付给采购代理公司，入围单位平均分摊采购服务费，各投标供应商在报价时应考虑包含上述费用。</w:t>
            </w:r>
          </w:p>
        </w:tc>
      </w:tr>
    </w:tbl>
    <w:p>
      <w:pPr>
        <w:ind w:firstLine="542"/>
        <w:rPr>
          <w:highlight w:val="none"/>
        </w:rPr>
      </w:pPr>
      <w:bookmarkStart w:id="32" w:name="_Toc10362"/>
      <w:r>
        <w:rPr>
          <w:rFonts w:hint="eastAsia"/>
          <w:b/>
          <w:bCs/>
          <w:sz w:val="24"/>
          <w:highlight w:val="none"/>
        </w:rPr>
        <w:t>注：附表与正文表述不一致时，以附表为准</w:t>
      </w:r>
      <w:r>
        <w:rPr>
          <w:rFonts w:hint="eastAsia"/>
          <w:highlight w:val="none"/>
        </w:rPr>
        <w:t>。</w:t>
      </w:r>
      <w:bookmarkEnd w:id="12"/>
      <w:bookmarkEnd w:id="24"/>
      <w:bookmarkEnd w:id="25"/>
      <w:bookmarkEnd w:id="26"/>
      <w:bookmarkEnd w:id="27"/>
      <w:bookmarkEnd w:id="28"/>
      <w:bookmarkEnd w:id="29"/>
      <w:bookmarkEnd w:id="30"/>
      <w:bookmarkEnd w:id="31"/>
      <w:bookmarkEnd w:id="32"/>
      <w:bookmarkStart w:id="33" w:name="_Toc69891733"/>
      <w:bookmarkStart w:id="34" w:name="_Toc69891775"/>
    </w:p>
    <w:p>
      <w:pPr>
        <w:pStyle w:val="3"/>
        <w:spacing w:line="336" w:lineRule="auto"/>
        <w:ind w:firstLine="542"/>
        <w:rPr>
          <w:kern w:val="2"/>
          <w:highlight w:val="none"/>
        </w:rPr>
      </w:pPr>
      <w:bookmarkStart w:id="35" w:name="_Toc8967"/>
      <w:r>
        <w:rPr>
          <w:rFonts w:hint="eastAsia"/>
          <w:kern w:val="2"/>
          <w:highlight w:val="none"/>
        </w:rPr>
        <w:t>一、总 则</w:t>
      </w:r>
      <w:bookmarkEnd w:id="33"/>
      <w:bookmarkEnd w:id="34"/>
      <w:bookmarkEnd w:id="35"/>
    </w:p>
    <w:p>
      <w:pPr>
        <w:spacing w:line="336" w:lineRule="auto"/>
        <w:ind w:firstLine="482" w:firstLineChars="200"/>
        <w:rPr>
          <w:rFonts w:hint="eastAsia" w:ascii="宋体" w:hAnsi="宋体"/>
          <w:b/>
          <w:bCs/>
          <w:sz w:val="24"/>
          <w:highlight w:val="none"/>
        </w:rPr>
      </w:pPr>
      <w:r>
        <w:rPr>
          <w:rFonts w:hint="eastAsia" w:ascii="宋体" w:hAnsi="宋体"/>
          <w:b/>
          <w:bCs/>
          <w:sz w:val="24"/>
          <w:highlight w:val="none"/>
        </w:rPr>
        <w:t>（一）适用范围</w:t>
      </w:r>
    </w:p>
    <w:p>
      <w:pPr>
        <w:snapToGrid w:val="0"/>
        <w:spacing w:line="336" w:lineRule="auto"/>
        <w:ind w:firstLine="480" w:firstLineChars="200"/>
        <w:rPr>
          <w:rFonts w:hint="eastAsia" w:ascii="宋体" w:hAnsi="宋体"/>
          <w:sz w:val="24"/>
          <w:highlight w:val="none"/>
        </w:rPr>
      </w:pPr>
      <w:r>
        <w:rPr>
          <w:rFonts w:hint="eastAsia" w:ascii="宋体" w:hAnsi="宋体"/>
          <w:sz w:val="24"/>
          <w:highlight w:val="none"/>
        </w:rPr>
        <w:t xml:space="preserve"> 本招标文件适用于</w:t>
      </w:r>
      <w:r>
        <w:rPr>
          <w:rFonts w:hint="eastAsia" w:ascii="宋体" w:hAnsi="宋体"/>
          <w:b/>
          <w:sz w:val="24"/>
          <w:highlight w:val="none"/>
        </w:rPr>
        <w:t>桐庐农商银行营业网点及办公场所装修设计服务单位入围项目</w:t>
      </w:r>
      <w:r>
        <w:rPr>
          <w:rFonts w:hint="eastAsia" w:ascii="宋体" w:hAnsi="宋体"/>
          <w:sz w:val="24"/>
          <w:highlight w:val="none"/>
        </w:rPr>
        <w:t>的招标、评标、定标、验收、合同履约、付款等（法律、法规另有规定的，从其规定）。</w:t>
      </w:r>
    </w:p>
    <w:p>
      <w:pPr>
        <w:pStyle w:val="22"/>
        <w:snapToGrid w:val="0"/>
        <w:spacing w:line="336" w:lineRule="auto"/>
        <w:ind w:firstLine="482" w:firstLineChars="200"/>
        <w:rPr>
          <w:rFonts w:hint="eastAsia" w:hAnsi="宋体"/>
          <w:b/>
          <w:bCs/>
          <w:sz w:val="24"/>
          <w:szCs w:val="24"/>
          <w:highlight w:val="none"/>
        </w:rPr>
      </w:pPr>
      <w:bookmarkStart w:id="36" w:name="_Toc177824940"/>
      <w:bookmarkStart w:id="37" w:name="_Toc177870538"/>
      <w:bookmarkStart w:id="38" w:name="_Toc177825121"/>
      <w:bookmarkStart w:id="39" w:name="_Toc177824873"/>
      <w:r>
        <w:rPr>
          <w:rFonts w:hint="eastAsia" w:hAnsi="宋体"/>
          <w:b/>
          <w:bCs/>
          <w:sz w:val="24"/>
          <w:szCs w:val="24"/>
          <w:highlight w:val="none"/>
        </w:rPr>
        <w:t>（二）定义</w:t>
      </w:r>
      <w:bookmarkEnd w:id="36"/>
      <w:bookmarkEnd w:id="37"/>
      <w:bookmarkEnd w:id="38"/>
      <w:bookmarkEnd w:id="39"/>
    </w:p>
    <w:p>
      <w:pPr>
        <w:snapToGrid w:val="0"/>
        <w:spacing w:line="336" w:lineRule="auto"/>
        <w:ind w:firstLine="480" w:firstLineChars="200"/>
        <w:jc w:val="left"/>
        <w:rPr>
          <w:rFonts w:hint="eastAsia" w:ascii="宋体" w:hAnsi="宋体"/>
          <w:sz w:val="24"/>
          <w:highlight w:val="none"/>
        </w:rPr>
      </w:pPr>
      <w:r>
        <w:rPr>
          <w:rFonts w:hint="eastAsia" w:ascii="宋体" w:hAnsi="宋体"/>
          <w:sz w:val="24"/>
          <w:highlight w:val="none"/>
        </w:rPr>
        <w:t xml:space="preserve"> 1.“投标人”系指向招标代理机构提交投标文件的单位。</w:t>
      </w:r>
    </w:p>
    <w:p>
      <w:pPr>
        <w:snapToGrid w:val="0"/>
        <w:spacing w:line="336" w:lineRule="auto"/>
        <w:ind w:firstLine="480" w:firstLineChars="200"/>
        <w:jc w:val="left"/>
        <w:rPr>
          <w:rFonts w:hint="eastAsia" w:ascii="宋体" w:hAnsi="宋体"/>
          <w:sz w:val="24"/>
          <w:highlight w:val="none"/>
        </w:rPr>
      </w:pPr>
      <w:r>
        <w:rPr>
          <w:rFonts w:hint="eastAsia" w:ascii="宋体" w:hAnsi="宋体"/>
          <w:sz w:val="24"/>
          <w:highlight w:val="none"/>
        </w:rPr>
        <w:t xml:space="preserve"> 2.“采购人”系指</w:t>
      </w:r>
      <w:r>
        <w:rPr>
          <w:rFonts w:hint="eastAsia" w:ascii="宋体" w:hAnsi="宋体"/>
          <w:color w:val="000000"/>
          <w:sz w:val="24"/>
          <w:highlight w:val="none"/>
        </w:rPr>
        <w:t>浙江桐庐农村商业银行股份有限公司</w:t>
      </w:r>
      <w:r>
        <w:rPr>
          <w:rFonts w:hint="eastAsia" w:ascii="宋体" w:hAnsi="宋体"/>
          <w:sz w:val="24"/>
          <w:highlight w:val="none"/>
        </w:rPr>
        <w:t>。</w:t>
      </w:r>
    </w:p>
    <w:p>
      <w:pPr>
        <w:snapToGrid w:val="0"/>
        <w:spacing w:line="336" w:lineRule="auto"/>
        <w:ind w:firstLine="480" w:firstLineChars="200"/>
        <w:jc w:val="left"/>
        <w:rPr>
          <w:rFonts w:hint="eastAsia" w:ascii="宋体" w:hAnsi="宋体"/>
          <w:sz w:val="24"/>
          <w:highlight w:val="none"/>
        </w:rPr>
      </w:pPr>
      <w:bookmarkStart w:id="40" w:name="_Toc177870539"/>
      <w:r>
        <w:rPr>
          <w:rFonts w:hint="eastAsia" w:ascii="宋体" w:hAnsi="宋体"/>
          <w:sz w:val="24"/>
          <w:highlight w:val="none"/>
        </w:rPr>
        <w:t xml:space="preserve"> 3.“代理机构”系指浙江承天建设工程管理有限公司。</w:t>
      </w:r>
    </w:p>
    <w:p>
      <w:pPr>
        <w:snapToGrid w:val="0"/>
        <w:spacing w:line="336" w:lineRule="auto"/>
        <w:ind w:firstLine="480" w:firstLineChars="200"/>
        <w:jc w:val="left"/>
        <w:rPr>
          <w:rFonts w:hint="eastAsia" w:ascii="宋体" w:hAnsi="宋体"/>
          <w:sz w:val="24"/>
          <w:highlight w:val="none"/>
        </w:rPr>
      </w:pPr>
      <w:r>
        <w:rPr>
          <w:rFonts w:hint="eastAsia" w:ascii="宋体" w:hAnsi="宋体"/>
          <w:sz w:val="24"/>
          <w:highlight w:val="none"/>
        </w:rPr>
        <w:t xml:space="preserve"> 4.“服务”系指招标文件要求提供的本项目服务所有工作内容以及其他类似的义务。</w:t>
      </w:r>
    </w:p>
    <w:p>
      <w:pPr>
        <w:snapToGrid w:val="0"/>
        <w:spacing w:line="336" w:lineRule="auto"/>
        <w:ind w:firstLine="480" w:firstLineChars="200"/>
        <w:jc w:val="left"/>
        <w:rPr>
          <w:rFonts w:hint="eastAsia" w:ascii="宋体" w:hAnsi="宋体"/>
          <w:sz w:val="24"/>
          <w:highlight w:val="none"/>
        </w:rPr>
      </w:pPr>
      <w:r>
        <w:rPr>
          <w:rFonts w:hint="eastAsia" w:ascii="宋体" w:hAnsi="宋体"/>
          <w:sz w:val="24"/>
          <w:highlight w:val="none"/>
        </w:rPr>
        <w:t xml:space="preserve"> 5.“书面形式”包括信函、传真、电报、电子文档等。</w:t>
      </w:r>
    </w:p>
    <w:p>
      <w:pPr>
        <w:snapToGrid w:val="0"/>
        <w:spacing w:line="336" w:lineRule="auto"/>
        <w:ind w:firstLine="480" w:firstLineChars="200"/>
        <w:jc w:val="left"/>
        <w:rPr>
          <w:rFonts w:hint="eastAsia" w:ascii="宋体" w:hAnsi="宋体"/>
          <w:sz w:val="24"/>
          <w:highlight w:val="none"/>
        </w:rPr>
      </w:pPr>
      <w:r>
        <w:rPr>
          <w:rFonts w:hint="eastAsia" w:ascii="宋体" w:hAnsi="宋体"/>
          <w:sz w:val="24"/>
          <w:highlight w:val="none"/>
        </w:rPr>
        <w:t xml:space="preserve"> 6.“</w:t>
      </w:r>
      <w:r>
        <w:rPr>
          <w:rFonts w:hint="eastAsia" w:ascii="宋体" w:hAnsi="宋体"/>
          <w:sz w:val="24"/>
          <w:highlight w:val="none"/>
          <w:lang w:val="zh-CN"/>
        </w:rPr>
        <w:t>★</w:t>
      </w:r>
      <w:r>
        <w:rPr>
          <w:rFonts w:hint="eastAsia" w:ascii="宋体" w:hAnsi="宋体"/>
          <w:sz w:val="24"/>
          <w:highlight w:val="none"/>
        </w:rPr>
        <w:t>”系指实质性要求条款。</w:t>
      </w:r>
    </w:p>
    <w:p>
      <w:pPr>
        <w:snapToGrid w:val="0"/>
        <w:spacing w:line="336" w:lineRule="auto"/>
        <w:ind w:firstLine="482" w:firstLineChars="200"/>
        <w:jc w:val="left"/>
        <w:rPr>
          <w:rFonts w:hint="eastAsia" w:ascii="宋体" w:hAnsi="宋体"/>
          <w:b/>
          <w:color w:val="000000"/>
          <w:sz w:val="24"/>
          <w:highlight w:val="none"/>
        </w:rPr>
      </w:pPr>
      <w:r>
        <w:rPr>
          <w:rFonts w:hint="eastAsia" w:ascii="宋体" w:hAnsi="宋体"/>
          <w:b/>
          <w:color w:val="000000"/>
          <w:sz w:val="24"/>
          <w:highlight w:val="none"/>
        </w:rPr>
        <w:t>（三）招标方式</w:t>
      </w:r>
      <w:bookmarkEnd w:id="40"/>
    </w:p>
    <w:p>
      <w:pPr>
        <w:snapToGrid w:val="0"/>
        <w:spacing w:line="336" w:lineRule="auto"/>
        <w:ind w:firstLine="480" w:firstLineChars="200"/>
        <w:jc w:val="left"/>
        <w:rPr>
          <w:rFonts w:hint="eastAsia" w:ascii="宋体" w:hAnsi="宋体"/>
          <w:sz w:val="24"/>
          <w:highlight w:val="none"/>
        </w:rPr>
      </w:pPr>
      <w:r>
        <w:rPr>
          <w:rFonts w:hint="eastAsia" w:ascii="宋体" w:hAnsi="宋体"/>
          <w:sz w:val="24"/>
          <w:highlight w:val="none"/>
        </w:rPr>
        <w:t xml:space="preserve"> 本次招标采用公开招标方式进行。</w:t>
      </w:r>
    </w:p>
    <w:p>
      <w:pPr>
        <w:snapToGrid w:val="0"/>
        <w:spacing w:line="336" w:lineRule="auto"/>
        <w:ind w:firstLine="482" w:firstLineChars="200"/>
        <w:jc w:val="left"/>
        <w:rPr>
          <w:rFonts w:hint="eastAsia" w:ascii="宋体" w:hAnsi="宋体"/>
          <w:b/>
          <w:color w:val="000000"/>
          <w:sz w:val="24"/>
          <w:highlight w:val="none"/>
        </w:rPr>
      </w:pPr>
      <w:bookmarkStart w:id="41" w:name="_Toc177824875"/>
      <w:bookmarkStart w:id="42" w:name="_Toc177825123"/>
      <w:bookmarkStart w:id="43" w:name="_Toc177824942"/>
      <w:bookmarkStart w:id="44" w:name="_Toc177870541"/>
      <w:r>
        <w:rPr>
          <w:rFonts w:hint="eastAsia" w:ascii="宋体" w:hAnsi="宋体"/>
          <w:b/>
          <w:color w:val="000000"/>
          <w:sz w:val="24"/>
          <w:highlight w:val="none"/>
        </w:rPr>
        <w:t>（四）投标费用</w:t>
      </w:r>
      <w:bookmarkEnd w:id="41"/>
      <w:bookmarkEnd w:id="42"/>
      <w:bookmarkEnd w:id="43"/>
      <w:bookmarkEnd w:id="44"/>
    </w:p>
    <w:p>
      <w:pPr>
        <w:snapToGrid w:val="0"/>
        <w:spacing w:line="336" w:lineRule="auto"/>
        <w:ind w:firstLine="480" w:firstLineChars="200"/>
        <w:jc w:val="left"/>
        <w:rPr>
          <w:rFonts w:hint="eastAsia" w:ascii="宋体" w:hAnsi="宋体" w:cs="宋体"/>
          <w:kern w:val="0"/>
          <w:sz w:val="24"/>
          <w:highlight w:val="none"/>
        </w:rPr>
      </w:pPr>
      <w:r>
        <w:rPr>
          <w:rFonts w:hint="eastAsia" w:ascii="宋体" w:hAnsi="宋体"/>
          <w:sz w:val="24"/>
          <w:highlight w:val="none"/>
        </w:rPr>
        <w:t xml:space="preserve"> 不论投标结果如何，投标人均应自行承担所有与投标有关的全部费用。</w:t>
      </w:r>
    </w:p>
    <w:p>
      <w:pPr>
        <w:snapToGrid w:val="0"/>
        <w:spacing w:line="336" w:lineRule="auto"/>
        <w:ind w:firstLine="482" w:firstLineChars="200"/>
        <w:jc w:val="left"/>
        <w:rPr>
          <w:rFonts w:hint="eastAsia" w:ascii="宋体" w:hAnsi="宋体"/>
          <w:b/>
          <w:color w:val="000000"/>
          <w:sz w:val="24"/>
          <w:highlight w:val="none"/>
        </w:rPr>
      </w:pPr>
      <w:r>
        <w:rPr>
          <w:rFonts w:hint="eastAsia" w:ascii="宋体" w:hAnsi="宋体"/>
          <w:b/>
          <w:sz w:val="24"/>
          <w:highlight w:val="none"/>
        </w:rPr>
        <w:t>（五）</w:t>
      </w:r>
      <w:bookmarkStart w:id="45" w:name="_Toc177870542"/>
      <w:r>
        <w:rPr>
          <w:rFonts w:hint="eastAsia" w:ascii="宋体" w:hAnsi="宋体"/>
          <w:b/>
          <w:color w:val="000000"/>
          <w:sz w:val="24"/>
          <w:highlight w:val="none"/>
        </w:rPr>
        <w:t>特别说明</w:t>
      </w:r>
      <w:bookmarkEnd w:id="45"/>
    </w:p>
    <w:p>
      <w:pPr>
        <w:snapToGrid w:val="0"/>
        <w:spacing w:line="336" w:lineRule="auto"/>
        <w:ind w:firstLine="480" w:firstLineChars="200"/>
        <w:rPr>
          <w:rFonts w:hint="eastAsia" w:ascii="宋体" w:hAnsi="宋体" w:cs="宋体"/>
          <w:sz w:val="24"/>
          <w:highlight w:val="none"/>
        </w:rPr>
      </w:pPr>
      <w:bookmarkStart w:id="46" w:name="_Toc177870543"/>
      <w:r>
        <w:rPr>
          <w:rFonts w:hint="eastAsia" w:ascii="宋体" w:hAnsi="宋体"/>
          <w:sz w:val="24"/>
          <w:highlight w:val="none"/>
        </w:rPr>
        <w:t xml:space="preserve"> 1、直接或者间接受采购人控制的当事人，或者与采购人受共同上级控制的</w:t>
      </w:r>
      <w:r>
        <w:rPr>
          <w:rFonts w:hint="eastAsia" w:ascii="宋体" w:hAnsi="宋体" w:cs="宋体"/>
          <w:sz w:val="24"/>
          <w:highlight w:val="none"/>
        </w:rPr>
        <w:t>当事人，为本次采购进行设计或编制规范和其他文件的当事人，或者直接或间接地与为本次采购进行设计或编制规范、其他文件的个人、企业、采购招标代理机构或其附属机构有关联关系的当事人，不得参加本项目投标。</w:t>
      </w:r>
    </w:p>
    <w:p>
      <w:pPr>
        <w:snapToGrid w:val="0"/>
        <w:spacing w:line="336" w:lineRule="auto"/>
        <w:rPr>
          <w:rFonts w:hint="eastAsia" w:ascii="宋体" w:hAnsi="宋体" w:cs="宋体"/>
          <w:color w:val="FF0000"/>
          <w:sz w:val="24"/>
          <w:highlight w:val="none"/>
        </w:rPr>
      </w:pPr>
      <w:r>
        <w:rPr>
          <w:rFonts w:hAnsi="宋体" w:cs="宋体"/>
          <w:sz w:val="24"/>
          <w:highlight w:val="none"/>
        </w:rPr>
        <w:t xml:space="preserve">   </w:t>
      </w:r>
      <w:r>
        <w:rPr>
          <w:rFonts w:hint="eastAsia" w:ascii="宋体" w:hAnsi="宋体"/>
          <w:sz w:val="24"/>
          <w:highlight w:val="none"/>
          <w:lang w:val="zh-CN"/>
        </w:rPr>
        <w:t>★</w:t>
      </w:r>
      <w:r>
        <w:rPr>
          <w:rFonts w:hAnsi="宋体" w:cs="宋体"/>
          <w:sz w:val="24"/>
          <w:highlight w:val="none"/>
        </w:rPr>
        <w:t>2</w:t>
      </w:r>
      <w:r>
        <w:rPr>
          <w:rFonts w:hint="eastAsia" w:hAnsi="宋体" w:cs="宋体"/>
          <w:sz w:val="24"/>
          <w:highlight w:val="none"/>
        </w:rPr>
        <w:t>、投标人投标所使用的资格、信誉、荣誉、业绩与企业认证必须为本企业所拥有。投标人投标所使用的项目实施人员可以为其控股公司的工作人员。</w:t>
      </w:r>
    </w:p>
    <w:p>
      <w:pPr>
        <w:pStyle w:val="22"/>
        <w:snapToGrid w:val="0"/>
        <w:spacing w:line="336" w:lineRule="auto"/>
        <w:ind w:firstLine="480" w:firstLineChars="200"/>
        <w:rPr>
          <w:rFonts w:hint="eastAsia" w:hAnsi="宋体" w:cs="宋体"/>
          <w:sz w:val="24"/>
          <w:szCs w:val="24"/>
          <w:highlight w:val="none"/>
        </w:rPr>
      </w:pPr>
      <w:r>
        <w:rPr>
          <w:rFonts w:hint="eastAsia" w:hAnsi="宋体" w:cs="宋体"/>
          <w:sz w:val="24"/>
          <w:szCs w:val="24"/>
          <w:highlight w:val="none"/>
        </w:rPr>
        <w:t xml:space="preserve"> 3、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pPr>
        <w:pStyle w:val="22"/>
        <w:snapToGrid w:val="0"/>
        <w:spacing w:line="336" w:lineRule="auto"/>
        <w:ind w:firstLine="480" w:firstLineChars="200"/>
        <w:rPr>
          <w:rFonts w:hint="eastAsia" w:hAnsi="宋体" w:cs="宋体"/>
          <w:sz w:val="24"/>
          <w:szCs w:val="24"/>
          <w:highlight w:val="none"/>
        </w:rPr>
      </w:pPr>
      <w:r>
        <w:rPr>
          <w:rFonts w:hint="eastAsia" w:hAnsi="宋体" w:cs="宋体"/>
          <w:sz w:val="24"/>
          <w:szCs w:val="24"/>
          <w:highlight w:val="none"/>
        </w:rPr>
        <w:t xml:space="preserve"> 4、投标人应仔细阅读招标文件的所有内容，按照招标文件的要求提交投标文件。投标文件应对招标文件的要求作出实质性响应，并对所提供的全部资料的真实性承担法律责任。</w:t>
      </w:r>
    </w:p>
    <w:p>
      <w:pPr>
        <w:pStyle w:val="22"/>
        <w:snapToGrid w:val="0"/>
        <w:spacing w:line="336" w:lineRule="auto"/>
        <w:ind w:firstLine="480" w:firstLineChars="200"/>
        <w:rPr>
          <w:rFonts w:hint="eastAsia" w:hAnsi="宋体" w:cs="宋体"/>
          <w:sz w:val="24"/>
          <w:szCs w:val="24"/>
          <w:highlight w:val="none"/>
        </w:rPr>
      </w:pPr>
      <w:r>
        <w:rPr>
          <w:rFonts w:hint="eastAsia" w:hAnsi="宋体" w:cs="宋体"/>
          <w:sz w:val="24"/>
          <w:szCs w:val="24"/>
          <w:highlight w:val="none"/>
        </w:rPr>
        <w:t xml:space="preserve"> 5、本次招标项目不得转包分包。本项目不接受联合体投标。</w:t>
      </w:r>
    </w:p>
    <w:p>
      <w:pPr>
        <w:pStyle w:val="22"/>
        <w:snapToGrid w:val="0"/>
        <w:spacing w:line="336" w:lineRule="auto"/>
        <w:ind w:firstLine="482" w:firstLineChars="200"/>
        <w:rPr>
          <w:rFonts w:hint="eastAsia" w:hAnsi="宋体"/>
          <w:b/>
          <w:bCs/>
          <w:sz w:val="24"/>
          <w:szCs w:val="24"/>
          <w:highlight w:val="none"/>
        </w:rPr>
      </w:pPr>
      <w:r>
        <w:rPr>
          <w:rFonts w:hint="eastAsia" w:hAnsi="宋体"/>
          <w:b/>
          <w:bCs/>
          <w:sz w:val="24"/>
          <w:szCs w:val="24"/>
          <w:highlight w:val="none"/>
        </w:rPr>
        <w:t>（六）质疑</w:t>
      </w:r>
      <w:bookmarkEnd w:id="46"/>
      <w:r>
        <w:rPr>
          <w:rFonts w:hint="eastAsia" w:hAnsi="宋体"/>
          <w:b/>
          <w:bCs/>
          <w:sz w:val="24"/>
          <w:szCs w:val="24"/>
          <w:highlight w:val="none"/>
        </w:rPr>
        <w:t>和投诉</w:t>
      </w:r>
    </w:p>
    <w:p>
      <w:pPr>
        <w:adjustRightInd w:val="0"/>
        <w:snapToGrid w:val="0"/>
        <w:spacing w:line="336" w:lineRule="auto"/>
        <w:ind w:firstLine="480" w:firstLineChars="200"/>
        <w:rPr>
          <w:rFonts w:hint="eastAsia" w:ascii="宋体" w:hAnsi="宋体"/>
          <w:bCs/>
          <w:sz w:val="24"/>
          <w:highlight w:val="none"/>
        </w:rPr>
      </w:pPr>
      <w:bookmarkStart w:id="47" w:name="_Toc177870544"/>
      <w:r>
        <w:rPr>
          <w:rFonts w:hint="eastAsia" w:ascii="宋体" w:hAnsi="宋体"/>
          <w:bCs/>
          <w:sz w:val="24"/>
          <w:highlight w:val="none"/>
        </w:rPr>
        <w:t xml:space="preserve"> 1.</w:t>
      </w:r>
      <w:r>
        <w:rPr>
          <w:rFonts w:hint="eastAsia" w:ascii="宋体" w:hAnsi="宋体"/>
          <w:sz w:val="24"/>
          <w:highlight w:val="none"/>
        </w:rPr>
        <w:t>供应商</w:t>
      </w:r>
      <w:r>
        <w:rPr>
          <w:rFonts w:hint="eastAsia" w:ascii="宋体" w:hAnsi="宋体"/>
          <w:bCs/>
          <w:sz w:val="24"/>
          <w:highlight w:val="none"/>
        </w:rPr>
        <w:t>认为采购过程或成交结果使自己的合法权益受到损害的，可在知道或者应知其权益受到损害之日起7个工作日内以书面形式向招标方一次性提出针对同一采购程序环节的质疑。</w:t>
      </w:r>
      <w:r>
        <w:rPr>
          <w:rFonts w:hint="eastAsia" w:ascii="宋体" w:hAnsi="宋体"/>
          <w:sz w:val="24"/>
          <w:highlight w:val="none"/>
        </w:rPr>
        <w:t>供应商</w:t>
      </w:r>
      <w:r>
        <w:rPr>
          <w:rFonts w:hint="eastAsia" w:ascii="宋体" w:hAnsi="宋体"/>
          <w:bCs/>
          <w:sz w:val="24"/>
          <w:highlight w:val="none"/>
        </w:rPr>
        <w:t>对质疑答复不满意或者采购人（或采购代理机构）未在7个工作日内作出答复的，可以在答复期满后15个工作日内向同级监管部门投诉。</w:t>
      </w:r>
      <w:r>
        <w:rPr>
          <w:rFonts w:hint="eastAsia" w:ascii="宋体" w:hAnsi="宋体"/>
          <w:sz w:val="24"/>
          <w:highlight w:val="none"/>
        </w:rPr>
        <w:t>供应商</w:t>
      </w:r>
      <w:r>
        <w:rPr>
          <w:rFonts w:hint="eastAsia" w:ascii="宋体" w:hAnsi="宋体"/>
          <w:bCs/>
          <w:sz w:val="24"/>
          <w:highlight w:val="none"/>
        </w:rPr>
        <w:t>知道或者应知其权益受到损害之日是指：</w:t>
      </w:r>
    </w:p>
    <w:p>
      <w:pPr>
        <w:adjustRightInd w:val="0"/>
        <w:snapToGrid w:val="0"/>
        <w:spacing w:line="336" w:lineRule="auto"/>
        <w:ind w:firstLine="240" w:firstLineChars="100"/>
        <w:rPr>
          <w:rFonts w:hint="eastAsia" w:ascii="宋体" w:hAnsi="宋体"/>
          <w:bCs/>
          <w:sz w:val="24"/>
          <w:highlight w:val="none"/>
        </w:rPr>
      </w:pPr>
      <w:r>
        <w:rPr>
          <w:rFonts w:hint="eastAsia" w:ascii="宋体" w:hAnsi="宋体"/>
          <w:bCs/>
          <w:sz w:val="24"/>
          <w:highlight w:val="none"/>
        </w:rPr>
        <w:t xml:space="preserve"> （1）对采购文件提出质疑的，为收到采购文件之日或采购公告期限届满之日。</w:t>
      </w:r>
    </w:p>
    <w:p>
      <w:pPr>
        <w:adjustRightInd w:val="0"/>
        <w:snapToGrid w:val="0"/>
        <w:spacing w:line="336" w:lineRule="auto"/>
        <w:rPr>
          <w:rFonts w:hint="eastAsia" w:ascii="宋体" w:hAnsi="宋体"/>
          <w:bCs/>
          <w:sz w:val="24"/>
          <w:highlight w:val="none"/>
        </w:rPr>
      </w:pPr>
      <w:r>
        <w:rPr>
          <w:rFonts w:hint="eastAsia" w:ascii="宋体" w:hAnsi="宋体"/>
          <w:bCs/>
          <w:sz w:val="24"/>
          <w:highlight w:val="none"/>
        </w:rPr>
        <w:t>　 （2）对采购过程提出质疑的，为各采购程序环节结束之日；</w:t>
      </w:r>
    </w:p>
    <w:p>
      <w:pPr>
        <w:adjustRightInd w:val="0"/>
        <w:snapToGrid w:val="0"/>
        <w:spacing w:line="336" w:lineRule="auto"/>
        <w:rPr>
          <w:rFonts w:hint="eastAsia" w:ascii="宋体" w:hAnsi="宋体"/>
          <w:bCs/>
          <w:sz w:val="24"/>
          <w:highlight w:val="none"/>
        </w:rPr>
      </w:pPr>
      <w:r>
        <w:rPr>
          <w:rFonts w:hint="eastAsia" w:ascii="宋体" w:hAnsi="宋体"/>
          <w:bCs/>
          <w:sz w:val="24"/>
          <w:highlight w:val="none"/>
        </w:rPr>
        <w:t>　 （3）对成交结果提出质疑的，为成交结果公告期限届满之日。</w:t>
      </w:r>
    </w:p>
    <w:p>
      <w:pPr>
        <w:adjustRightInd w:val="0"/>
        <w:snapToGrid w:val="0"/>
        <w:spacing w:line="336" w:lineRule="auto"/>
        <w:ind w:firstLine="480" w:firstLineChars="200"/>
        <w:rPr>
          <w:rFonts w:hint="eastAsia" w:hAnsi="宋体"/>
          <w:highlight w:val="none"/>
        </w:rPr>
      </w:pPr>
      <w:r>
        <w:rPr>
          <w:rFonts w:hint="eastAsia" w:ascii="宋体" w:hAnsi="宋体"/>
          <w:bCs/>
          <w:sz w:val="24"/>
          <w:highlight w:val="none"/>
        </w:rPr>
        <w:t xml:space="preserve"> 2.质疑、投诉应当采用书面形式，质疑书、投诉书均应明确阐述采购文件、采购过程或成交结果中使自己合法权益受到损害的实质性内容，提供相关事实、依据和证据及其来源或线索，便于有关机构的调查、答复和处理。</w:t>
      </w:r>
      <w:bookmarkStart w:id="48" w:name="_Toc69891734"/>
      <w:bookmarkStart w:id="49" w:name="_Toc69891776"/>
    </w:p>
    <w:p>
      <w:pPr>
        <w:pStyle w:val="3"/>
        <w:snapToGrid w:val="0"/>
        <w:spacing w:before="0" w:after="0" w:line="336" w:lineRule="auto"/>
        <w:ind w:firstLine="542"/>
        <w:rPr>
          <w:rFonts w:hint="eastAsia" w:hAnsi="宋体"/>
          <w:szCs w:val="24"/>
          <w:highlight w:val="none"/>
        </w:rPr>
      </w:pPr>
      <w:bookmarkStart w:id="50" w:name="_Toc2488"/>
      <w:r>
        <w:rPr>
          <w:rFonts w:hint="eastAsia" w:hAnsi="宋体"/>
          <w:szCs w:val="24"/>
          <w:highlight w:val="none"/>
        </w:rPr>
        <w:t>二、招标文件</w:t>
      </w:r>
      <w:bookmarkEnd w:id="47"/>
      <w:bookmarkEnd w:id="48"/>
      <w:bookmarkEnd w:id="49"/>
      <w:bookmarkEnd w:id="50"/>
    </w:p>
    <w:p>
      <w:pPr>
        <w:snapToGrid w:val="0"/>
        <w:spacing w:line="336" w:lineRule="auto"/>
        <w:ind w:firstLine="316" w:firstLineChars="131"/>
        <w:jc w:val="left"/>
        <w:rPr>
          <w:rFonts w:hint="eastAsia" w:ascii="宋体" w:hAnsi="宋体"/>
          <w:b/>
          <w:color w:val="000000"/>
          <w:sz w:val="24"/>
          <w:highlight w:val="none"/>
        </w:rPr>
      </w:pPr>
      <w:r>
        <w:rPr>
          <w:rFonts w:hint="eastAsia" w:ascii="宋体" w:hAnsi="宋体"/>
          <w:b/>
          <w:color w:val="000000"/>
          <w:sz w:val="24"/>
          <w:highlight w:val="none"/>
        </w:rPr>
        <w:t xml:space="preserve"> （一）招标文件的构成。本招标文件由以下部分组成：</w:t>
      </w:r>
    </w:p>
    <w:p>
      <w:pPr>
        <w:snapToGrid w:val="0"/>
        <w:spacing w:line="336" w:lineRule="auto"/>
        <w:ind w:firstLine="436" w:firstLineChars="182"/>
        <w:jc w:val="left"/>
        <w:rPr>
          <w:rFonts w:hint="eastAsia" w:ascii="宋体" w:hAnsi="宋体"/>
          <w:color w:val="000000"/>
          <w:sz w:val="24"/>
          <w:highlight w:val="none"/>
        </w:rPr>
      </w:pPr>
      <w:r>
        <w:rPr>
          <w:rFonts w:hint="eastAsia" w:ascii="宋体" w:hAnsi="宋体"/>
          <w:color w:val="000000"/>
          <w:sz w:val="24"/>
          <w:highlight w:val="none"/>
        </w:rPr>
        <w:t xml:space="preserve"> 1.采购公告</w:t>
      </w:r>
    </w:p>
    <w:p>
      <w:pPr>
        <w:snapToGrid w:val="0"/>
        <w:spacing w:line="336" w:lineRule="auto"/>
        <w:ind w:firstLine="436" w:firstLineChars="182"/>
        <w:jc w:val="left"/>
        <w:rPr>
          <w:rFonts w:hint="eastAsia" w:ascii="宋体" w:hAnsi="宋体"/>
          <w:color w:val="000000"/>
          <w:sz w:val="24"/>
          <w:highlight w:val="none"/>
        </w:rPr>
      </w:pPr>
      <w:r>
        <w:rPr>
          <w:rFonts w:hint="eastAsia" w:ascii="宋体" w:hAnsi="宋体"/>
          <w:color w:val="000000"/>
          <w:sz w:val="24"/>
          <w:highlight w:val="none"/>
        </w:rPr>
        <w:t xml:space="preserve"> 2.供应商须知</w:t>
      </w:r>
    </w:p>
    <w:p>
      <w:pPr>
        <w:snapToGrid w:val="0"/>
        <w:spacing w:line="336" w:lineRule="auto"/>
        <w:ind w:firstLine="436" w:firstLineChars="182"/>
        <w:jc w:val="left"/>
        <w:rPr>
          <w:rFonts w:hint="eastAsia" w:ascii="宋体" w:hAnsi="宋体"/>
          <w:color w:val="000000"/>
          <w:sz w:val="24"/>
          <w:highlight w:val="none"/>
        </w:rPr>
      </w:pPr>
      <w:r>
        <w:rPr>
          <w:rFonts w:hint="eastAsia" w:ascii="宋体" w:hAnsi="宋体"/>
          <w:color w:val="000000"/>
          <w:sz w:val="24"/>
          <w:highlight w:val="none"/>
        </w:rPr>
        <w:t xml:space="preserve"> 3.评标办法及评分标准</w:t>
      </w:r>
    </w:p>
    <w:p>
      <w:pPr>
        <w:snapToGrid w:val="0"/>
        <w:spacing w:line="336" w:lineRule="auto"/>
        <w:ind w:firstLine="436" w:firstLineChars="182"/>
        <w:jc w:val="left"/>
        <w:rPr>
          <w:rFonts w:hint="eastAsia" w:ascii="宋体" w:hAnsi="宋体"/>
          <w:color w:val="000000"/>
          <w:sz w:val="24"/>
          <w:highlight w:val="none"/>
        </w:rPr>
      </w:pPr>
      <w:r>
        <w:rPr>
          <w:rFonts w:hint="eastAsia" w:ascii="宋体" w:hAnsi="宋体"/>
          <w:color w:val="000000"/>
          <w:sz w:val="24"/>
          <w:highlight w:val="none"/>
        </w:rPr>
        <w:t xml:space="preserve"> 4.采购需求</w:t>
      </w:r>
    </w:p>
    <w:p>
      <w:pPr>
        <w:snapToGrid w:val="0"/>
        <w:spacing w:line="336" w:lineRule="auto"/>
        <w:ind w:firstLine="436" w:firstLineChars="182"/>
        <w:jc w:val="left"/>
        <w:rPr>
          <w:rFonts w:hint="eastAsia" w:ascii="宋体" w:hAnsi="宋体"/>
          <w:color w:val="000000"/>
          <w:sz w:val="24"/>
          <w:highlight w:val="none"/>
        </w:rPr>
      </w:pPr>
      <w:r>
        <w:rPr>
          <w:rFonts w:hint="eastAsia" w:ascii="宋体" w:hAnsi="宋体"/>
          <w:color w:val="000000"/>
          <w:sz w:val="24"/>
          <w:highlight w:val="none"/>
        </w:rPr>
        <w:t xml:space="preserve"> 5.采购合同</w:t>
      </w:r>
    </w:p>
    <w:p>
      <w:pPr>
        <w:snapToGrid w:val="0"/>
        <w:spacing w:line="336" w:lineRule="auto"/>
        <w:ind w:firstLine="436" w:firstLineChars="182"/>
        <w:jc w:val="left"/>
        <w:rPr>
          <w:rFonts w:hint="eastAsia" w:ascii="宋体" w:hAnsi="宋体"/>
          <w:color w:val="000000"/>
          <w:sz w:val="24"/>
          <w:highlight w:val="none"/>
        </w:rPr>
      </w:pPr>
      <w:r>
        <w:rPr>
          <w:rFonts w:hint="eastAsia" w:ascii="宋体" w:hAnsi="宋体"/>
          <w:color w:val="000000"/>
          <w:sz w:val="24"/>
          <w:highlight w:val="none"/>
        </w:rPr>
        <w:t xml:space="preserve"> 6.投标文件格式</w:t>
      </w:r>
    </w:p>
    <w:p>
      <w:pPr>
        <w:snapToGrid w:val="0"/>
        <w:spacing w:line="336" w:lineRule="auto"/>
        <w:ind w:firstLine="318" w:firstLineChars="132"/>
        <w:jc w:val="left"/>
        <w:rPr>
          <w:rFonts w:hint="eastAsia" w:ascii="宋体" w:hAnsi="宋体"/>
          <w:b/>
          <w:sz w:val="24"/>
          <w:highlight w:val="none"/>
        </w:rPr>
      </w:pPr>
      <w:r>
        <w:rPr>
          <w:rFonts w:hint="eastAsia" w:ascii="宋体" w:hAnsi="宋体"/>
          <w:b/>
          <w:sz w:val="24"/>
          <w:highlight w:val="none"/>
        </w:rPr>
        <w:t>（二）投标人的风险</w:t>
      </w:r>
    </w:p>
    <w:p>
      <w:pPr>
        <w:snapToGrid w:val="0"/>
        <w:spacing w:line="336" w:lineRule="auto"/>
        <w:ind w:firstLine="436" w:firstLineChars="182"/>
        <w:jc w:val="left"/>
        <w:rPr>
          <w:rFonts w:hint="eastAsia" w:ascii="宋体" w:hAnsi="宋体"/>
          <w:sz w:val="24"/>
          <w:highlight w:val="none"/>
        </w:rPr>
      </w:pPr>
      <w:r>
        <w:rPr>
          <w:rFonts w:hint="eastAsia" w:ascii="宋体" w:hAnsi="宋体"/>
          <w:sz w:val="24"/>
          <w:highlight w:val="none"/>
        </w:rPr>
        <w:t>投标人没有按照招标文件要求提供全部资料，或者投标人没有对招标文件在各方面者作出实质性响应是投标人的风险，并可能导致其投标被拒绝。</w:t>
      </w:r>
    </w:p>
    <w:p>
      <w:pPr>
        <w:snapToGrid w:val="0"/>
        <w:spacing w:line="336" w:lineRule="auto"/>
        <w:ind w:firstLine="278" w:firstLineChars="132"/>
        <w:jc w:val="left"/>
        <w:rPr>
          <w:rFonts w:hint="eastAsia" w:ascii="宋体" w:hAnsi="宋体"/>
          <w:b/>
          <w:sz w:val="24"/>
          <w:highlight w:val="none"/>
        </w:rPr>
      </w:pPr>
      <w:r>
        <w:rPr>
          <w:rFonts w:hint="eastAsia" w:ascii="宋体" w:hAnsi="宋体"/>
          <w:b/>
          <w:highlight w:val="none"/>
        </w:rPr>
        <w:t xml:space="preserve">（三）招标文件的澄清与修改 </w:t>
      </w:r>
    </w:p>
    <w:p>
      <w:pPr>
        <w:pStyle w:val="22"/>
        <w:snapToGrid w:val="0"/>
        <w:spacing w:line="336" w:lineRule="auto"/>
        <w:ind w:firstLine="436" w:firstLineChars="182"/>
        <w:rPr>
          <w:rFonts w:hint="eastAsia" w:hAnsi="宋体" w:cs="宋体"/>
          <w:bCs/>
          <w:sz w:val="24"/>
          <w:szCs w:val="24"/>
          <w:highlight w:val="none"/>
        </w:rPr>
      </w:pPr>
      <w:bookmarkStart w:id="51" w:name="_Toc177870545"/>
      <w:r>
        <w:rPr>
          <w:rFonts w:hint="eastAsia" w:hAnsi="宋体" w:cs="宋体"/>
          <w:bCs/>
          <w:sz w:val="24"/>
          <w:szCs w:val="24"/>
          <w:highlight w:val="none"/>
        </w:rPr>
        <w:t>1.</w:t>
      </w:r>
      <w:r>
        <w:rPr>
          <w:rFonts w:hint="eastAsia" w:hAnsi="宋体"/>
          <w:sz w:val="24"/>
          <w:szCs w:val="24"/>
          <w:highlight w:val="none"/>
        </w:rPr>
        <w:t>投标人应认真阅读本招标文件，发现其中有误或有要求不合理的，投标人必须按前附表规定方式要求采购人或招标代理机构澄清</w:t>
      </w:r>
      <w:r>
        <w:rPr>
          <w:rFonts w:hint="eastAsia" w:hAnsi="宋体" w:cs="宋体"/>
          <w:bCs/>
          <w:sz w:val="24"/>
          <w:szCs w:val="24"/>
          <w:highlight w:val="none"/>
        </w:rPr>
        <w:t>。</w:t>
      </w:r>
    </w:p>
    <w:p>
      <w:pPr>
        <w:pStyle w:val="22"/>
        <w:snapToGrid w:val="0"/>
        <w:spacing w:line="336" w:lineRule="auto"/>
        <w:ind w:firstLine="436" w:firstLineChars="182"/>
        <w:rPr>
          <w:rFonts w:hint="eastAsia" w:hAnsi="宋体" w:cs="宋体"/>
          <w:sz w:val="24"/>
          <w:szCs w:val="24"/>
          <w:highlight w:val="none"/>
        </w:rPr>
      </w:pPr>
      <w:r>
        <w:rPr>
          <w:rFonts w:hint="eastAsia" w:hAnsi="宋体" w:cs="宋体"/>
          <w:sz w:val="24"/>
          <w:szCs w:val="24"/>
          <w:highlight w:val="none"/>
        </w:rPr>
        <w:t>2.</w:t>
      </w:r>
      <w:r>
        <w:rPr>
          <w:rFonts w:hint="eastAsia" w:hAnsi="宋体" w:cs="宋体"/>
          <w:b/>
          <w:sz w:val="24"/>
          <w:szCs w:val="24"/>
          <w:highlight w:val="none"/>
        </w:rPr>
        <w:t>招标代理机构对已发出的招标文件进行必要澄清、答复、修改或补充的，将在招标文件要求提交投标文件截止时间15日前，在招标公告发布的网上发布更正公告或通知到所有报名单位，请投标人自行查看和下载，投标人因漏看带来的后果由投标人自行承担</w:t>
      </w:r>
      <w:r>
        <w:rPr>
          <w:rFonts w:hint="eastAsia" w:hAnsi="宋体" w:cs="宋体"/>
          <w:sz w:val="24"/>
          <w:szCs w:val="24"/>
          <w:highlight w:val="none"/>
        </w:rPr>
        <w:t>。</w:t>
      </w:r>
    </w:p>
    <w:p>
      <w:pPr>
        <w:pStyle w:val="22"/>
        <w:snapToGrid w:val="0"/>
        <w:spacing w:line="336" w:lineRule="auto"/>
        <w:ind w:firstLine="480" w:firstLineChars="200"/>
        <w:rPr>
          <w:rFonts w:hint="eastAsia" w:hAnsi="宋体" w:cs="宋体"/>
          <w:sz w:val="24"/>
          <w:szCs w:val="24"/>
          <w:highlight w:val="none"/>
        </w:rPr>
      </w:pPr>
      <w:r>
        <w:rPr>
          <w:rFonts w:hint="eastAsia" w:hAnsi="宋体" w:cs="宋体"/>
          <w:sz w:val="24"/>
          <w:szCs w:val="24"/>
          <w:highlight w:val="none"/>
        </w:rPr>
        <w:t>3.招标文件澄清、答复、修改、补充的内容为招标文件的组成部分。当招标文件与招标文件的答复、澄清、修改、补充通知就同一内容的表述不一致时，以最后发出的文件为准。</w:t>
      </w:r>
    </w:p>
    <w:p>
      <w:pPr>
        <w:pStyle w:val="22"/>
        <w:snapToGrid w:val="0"/>
        <w:spacing w:line="336" w:lineRule="auto"/>
        <w:ind w:firstLine="480" w:firstLineChars="200"/>
        <w:rPr>
          <w:rFonts w:hint="eastAsia" w:hAnsi="宋体" w:cs="宋体"/>
          <w:sz w:val="24"/>
          <w:szCs w:val="24"/>
          <w:highlight w:val="none"/>
        </w:rPr>
      </w:pPr>
      <w:r>
        <w:rPr>
          <w:rFonts w:hint="eastAsia" w:hAnsi="宋体" w:cs="宋体"/>
          <w:sz w:val="24"/>
          <w:szCs w:val="24"/>
          <w:highlight w:val="none"/>
        </w:rPr>
        <w:t>4.招标文件的澄清、答复、修改或补充都应该通过招标代理机构以法定形式发布，采购人非通过招标代理机构，不得擅自澄清、答复、修改或补充招标文件。</w:t>
      </w:r>
    </w:p>
    <w:p>
      <w:pPr>
        <w:pStyle w:val="22"/>
        <w:snapToGrid w:val="0"/>
        <w:spacing w:line="336" w:lineRule="auto"/>
        <w:ind w:firstLine="480" w:firstLineChars="200"/>
        <w:rPr>
          <w:rFonts w:hint="eastAsia" w:hAnsi="宋体" w:cs="宋体"/>
          <w:sz w:val="24"/>
          <w:szCs w:val="24"/>
          <w:highlight w:val="none"/>
        </w:rPr>
      </w:pPr>
      <w:r>
        <w:rPr>
          <w:rFonts w:hint="eastAsia" w:hAnsi="宋体" w:cs="宋体"/>
          <w:sz w:val="24"/>
          <w:szCs w:val="24"/>
          <w:highlight w:val="none"/>
        </w:rPr>
        <w:t>5.投标人一旦参与本次采购活动，即被视为接受了本招标文件的所有内容，如有任何异议，均已在答疑截止时间前提出。</w:t>
      </w:r>
    </w:p>
    <w:p>
      <w:pPr>
        <w:pStyle w:val="22"/>
        <w:snapToGrid w:val="0"/>
        <w:spacing w:line="336" w:lineRule="auto"/>
        <w:ind w:firstLine="480" w:firstLineChars="200"/>
        <w:rPr>
          <w:rFonts w:hint="eastAsia" w:hAnsi="宋体" w:cs="宋体"/>
          <w:sz w:val="24"/>
          <w:szCs w:val="24"/>
          <w:highlight w:val="none"/>
        </w:rPr>
      </w:pPr>
      <w:r>
        <w:rPr>
          <w:rFonts w:hint="eastAsia" w:hAnsi="宋体" w:cs="宋体"/>
          <w:sz w:val="24"/>
          <w:szCs w:val="24"/>
          <w:highlight w:val="none"/>
        </w:rPr>
        <w:t>6.若有必要，招标代理机构将酌情延长递交投标文件的截止日期。</w:t>
      </w:r>
    </w:p>
    <w:p>
      <w:pPr>
        <w:pStyle w:val="3"/>
        <w:snapToGrid w:val="0"/>
        <w:spacing w:before="0" w:after="0" w:line="336" w:lineRule="auto"/>
        <w:ind w:firstLine="542"/>
        <w:rPr>
          <w:rFonts w:hint="eastAsia" w:hAnsi="宋体"/>
          <w:szCs w:val="24"/>
          <w:highlight w:val="none"/>
        </w:rPr>
      </w:pPr>
      <w:bookmarkStart w:id="52" w:name="_Toc14163"/>
      <w:bookmarkStart w:id="53" w:name="_Toc69891735"/>
      <w:bookmarkStart w:id="54" w:name="_Toc69891777"/>
      <w:r>
        <w:rPr>
          <w:rFonts w:hint="eastAsia" w:hAnsi="宋体"/>
          <w:szCs w:val="24"/>
          <w:highlight w:val="none"/>
        </w:rPr>
        <w:t>三、投标文件</w:t>
      </w:r>
      <w:bookmarkEnd w:id="51"/>
      <w:r>
        <w:rPr>
          <w:rFonts w:hint="eastAsia" w:hAnsi="宋体"/>
          <w:szCs w:val="24"/>
          <w:highlight w:val="none"/>
        </w:rPr>
        <w:t>的编制</w:t>
      </w:r>
      <w:bookmarkEnd w:id="52"/>
      <w:bookmarkEnd w:id="53"/>
      <w:bookmarkEnd w:id="54"/>
    </w:p>
    <w:p>
      <w:pPr>
        <w:snapToGrid w:val="0"/>
        <w:spacing w:line="336" w:lineRule="auto"/>
        <w:ind w:firstLine="482" w:firstLineChars="200"/>
        <w:jc w:val="left"/>
        <w:rPr>
          <w:rFonts w:hint="eastAsia" w:ascii="宋体" w:hAnsi="宋体"/>
          <w:b/>
          <w:sz w:val="24"/>
          <w:highlight w:val="none"/>
        </w:rPr>
      </w:pPr>
      <w:bookmarkStart w:id="55" w:name="_Toc177870546"/>
      <w:bookmarkStart w:id="56" w:name="_Toc177825124"/>
      <w:bookmarkStart w:id="57" w:name="_Toc177824943"/>
      <w:bookmarkStart w:id="58" w:name="_Toc177824876"/>
      <w:r>
        <w:rPr>
          <w:rFonts w:hint="eastAsia" w:ascii="宋体" w:hAnsi="宋体"/>
          <w:b/>
          <w:sz w:val="24"/>
          <w:highlight w:val="none"/>
        </w:rPr>
        <w:t>（一）投标文件的组成</w:t>
      </w:r>
      <w:bookmarkEnd w:id="55"/>
      <w:bookmarkEnd w:id="56"/>
      <w:bookmarkEnd w:id="57"/>
      <w:bookmarkEnd w:id="58"/>
    </w:p>
    <w:p>
      <w:pPr>
        <w:snapToGrid w:val="0"/>
        <w:spacing w:line="336" w:lineRule="auto"/>
        <w:ind w:firstLine="480" w:firstLineChars="200"/>
        <w:jc w:val="left"/>
        <w:rPr>
          <w:rFonts w:hint="eastAsia" w:ascii="宋体" w:hAnsi="宋体"/>
          <w:sz w:val="24"/>
          <w:highlight w:val="none"/>
        </w:rPr>
      </w:pPr>
      <w:bookmarkStart w:id="59" w:name="_Toc69891873"/>
      <w:bookmarkStart w:id="60" w:name="_Toc67828367"/>
      <w:bookmarkStart w:id="61" w:name="_Toc17106"/>
      <w:bookmarkStart w:id="62" w:name="_Toc69891778"/>
      <w:bookmarkStart w:id="63" w:name="_Toc44765578"/>
      <w:bookmarkStart w:id="64" w:name="_Toc69891736"/>
      <w:bookmarkStart w:id="65" w:name="_Toc44764948"/>
      <w:bookmarkStart w:id="66" w:name="_Toc44765490"/>
      <w:bookmarkStart w:id="67" w:name="_Toc27818"/>
      <w:r>
        <w:rPr>
          <w:rFonts w:hint="eastAsia" w:ascii="宋体" w:hAnsi="宋体"/>
          <w:sz w:val="24"/>
          <w:highlight w:val="none"/>
        </w:rPr>
        <w:t>投标文件由资质文件、商务技术文件和报价文件三部分组成。</w:t>
      </w:r>
      <w:bookmarkEnd w:id="59"/>
      <w:bookmarkEnd w:id="60"/>
      <w:bookmarkEnd w:id="61"/>
      <w:bookmarkEnd w:id="62"/>
      <w:bookmarkEnd w:id="63"/>
      <w:bookmarkEnd w:id="64"/>
      <w:bookmarkEnd w:id="65"/>
      <w:bookmarkEnd w:id="66"/>
      <w:bookmarkEnd w:id="67"/>
    </w:p>
    <w:p>
      <w:pPr>
        <w:snapToGrid w:val="0"/>
        <w:spacing w:line="336" w:lineRule="auto"/>
        <w:ind w:firstLine="480" w:firstLineChars="200"/>
        <w:jc w:val="left"/>
        <w:rPr>
          <w:rFonts w:hint="eastAsia" w:ascii="宋体" w:hAnsi="宋体"/>
          <w:bCs/>
          <w:sz w:val="24"/>
          <w:highlight w:val="none"/>
        </w:rPr>
      </w:pPr>
      <w:r>
        <w:rPr>
          <w:rFonts w:hint="eastAsia" w:ascii="宋体" w:hAnsi="宋体"/>
          <w:sz w:val="24"/>
          <w:highlight w:val="none"/>
        </w:rPr>
        <w:t>供应商应仔细阅读采购文件的所有内容，并按采购文件的规定及附件要求的内容和格式，</w:t>
      </w:r>
      <w:r>
        <w:rPr>
          <w:rFonts w:hint="eastAsia" w:ascii="宋体" w:hAnsi="宋体"/>
          <w:bCs/>
          <w:sz w:val="24"/>
          <w:highlight w:val="none"/>
        </w:rPr>
        <w:t>提交完整的投标文件。</w:t>
      </w:r>
    </w:p>
    <w:p>
      <w:pPr>
        <w:pStyle w:val="22"/>
        <w:numPr>
          <w:ilvl w:val="0"/>
          <w:numId w:val="6"/>
        </w:numPr>
        <w:snapToGrid w:val="0"/>
        <w:spacing w:line="336" w:lineRule="auto"/>
        <w:ind w:firstLine="482" w:firstLineChars="200"/>
        <w:rPr>
          <w:rFonts w:hint="eastAsia" w:hAnsi="宋体"/>
          <w:b/>
          <w:sz w:val="24"/>
          <w:szCs w:val="24"/>
          <w:highlight w:val="none"/>
        </w:rPr>
      </w:pPr>
      <w:r>
        <w:rPr>
          <w:rFonts w:hint="eastAsia" w:hAnsi="宋体"/>
          <w:b/>
          <w:sz w:val="24"/>
          <w:szCs w:val="24"/>
          <w:highlight w:val="none"/>
        </w:rPr>
        <w:t>资质文件应包括以下内容：</w:t>
      </w:r>
    </w:p>
    <w:p>
      <w:pPr>
        <w:adjustRightInd w:val="0"/>
        <w:snapToGrid w:val="0"/>
        <w:spacing w:line="336" w:lineRule="auto"/>
        <w:ind w:firstLine="480" w:firstLineChars="200"/>
        <w:rPr>
          <w:rFonts w:hint="eastAsia" w:ascii="宋体" w:hAnsi="宋体"/>
          <w:sz w:val="24"/>
          <w:highlight w:val="none"/>
        </w:rPr>
      </w:pPr>
      <w:r>
        <w:rPr>
          <w:rFonts w:hint="eastAsia" w:ascii="宋体" w:hAnsi="宋体"/>
          <w:sz w:val="24"/>
          <w:highlight w:val="none"/>
        </w:rPr>
        <w:t>（1）符合参加采购活动应当具备的一般条件的承诺函(格式见附件)；</w:t>
      </w:r>
    </w:p>
    <w:p>
      <w:pPr>
        <w:adjustRightInd w:val="0"/>
        <w:snapToGrid w:val="0"/>
        <w:spacing w:line="336" w:lineRule="auto"/>
        <w:ind w:firstLine="480" w:firstLineChars="200"/>
        <w:rPr>
          <w:rFonts w:hint="eastAsia" w:ascii="宋体" w:hAnsi="宋体"/>
          <w:sz w:val="24"/>
          <w:highlight w:val="none"/>
        </w:rPr>
      </w:pPr>
      <w:r>
        <w:rPr>
          <w:rFonts w:hint="eastAsia" w:ascii="宋体" w:hAnsi="宋体"/>
          <w:sz w:val="24"/>
          <w:highlight w:val="none"/>
        </w:rPr>
        <w:t>（2）法定代表人授权委托书(格式见附件)；</w:t>
      </w:r>
    </w:p>
    <w:p>
      <w:pPr>
        <w:adjustRightInd w:val="0"/>
        <w:snapToGrid w:val="0"/>
        <w:spacing w:line="336" w:lineRule="auto"/>
        <w:ind w:firstLine="480" w:firstLineChars="200"/>
        <w:rPr>
          <w:rFonts w:hint="eastAsia" w:hAnsi="宋体"/>
          <w:b/>
          <w:sz w:val="24"/>
          <w:highlight w:val="none"/>
        </w:rPr>
      </w:pPr>
      <w:r>
        <w:rPr>
          <w:rFonts w:hint="eastAsia" w:ascii="宋体" w:hAnsi="宋体"/>
          <w:sz w:val="24"/>
          <w:highlight w:val="none"/>
        </w:rPr>
        <w:t>（3）营业执照及资质证书。</w:t>
      </w:r>
    </w:p>
    <w:p>
      <w:pPr>
        <w:pStyle w:val="22"/>
        <w:snapToGrid w:val="0"/>
        <w:spacing w:line="336" w:lineRule="auto"/>
        <w:ind w:firstLine="482" w:firstLineChars="200"/>
        <w:rPr>
          <w:rFonts w:hint="eastAsia" w:hAnsi="宋体"/>
          <w:b/>
          <w:sz w:val="24"/>
          <w:szCs w:val="24"/>
          <w:highlight w:val="none"/>
        </w:rPr>
      </w:pPr>
      <w:r>
        <w:rPr>
          <w:rFonts w:hint="eastAsia" w:hAnsi="宋体"/>
          <w:b/>
          <w:sz w:val="24"/>
          <w:szCs w:val="24"/>
          <w:highlight w:val="none"/>
        </w:rPr>
        <w:t>2.商务技术文件应包括以下内容：</w:t>
      </w:r>
    </w:p>
    <w:p>
      <w:pPr>
        <w:adjustRightInd w:val="0"/>
        <w:snapToGrid w:val="0"/>
        <w:spacing w:line="336" w:lineRule="auto"/>
        <w:ind w:firstLine="480" w:firstLineChars="200"/>
        <w:rPr>
          <w:rFonts w:hint="eastAsia" w:ascii="宋体" w:hAnsi="宋体"/>
          <w:sz w:val="24"/>
          <w:highlight w:val="none"/>
        </w:rPr>
      </w:pPr>
      <w:r>
        <w:rPr>
          <w:rFonts w:hint="eastAsia" w:ascii="宋体" w:hAnsi="宋体"/>
          <w:sz w:val="24"/>
          <w:highlight w:val="none"/>
        </w:rPr>
        <w:t>（1）评分对应表（格式见附件，主要用于评委对应评分内容）；</w:t>
      </w:r>
    </w:p>
    <w:p>
      <w:pPr>
        <w:adjustRightInd w:val="0"/>
        <w:snapToGrid w:val="0"/>
        <w:spacing w:line="336" w:lineRule="auto"/>
        <w:ind w:firstLine="480" w:firstLineChars="200"/>
        <w:rPr>
          <w:rFonts w:hint="eastAsia" w:ascii="宋体" w:hAnsi="宋体"/>
          <w:sz w:val="24"/>
          <w:highlight w:val="none"/>
        </w:rPr>
      </w:pPr>
      <w:r>
        <w:rPr>
          <w:rFonts w:hint="eastAsia" w:ascii="宋体" w:hAnsi="宋体"/>
          <w:sz w:val="24"/>
          <w:highlight w:val="none"/>
        </w:rPr>
        <w:t>（2）业绩；</w:t>
      </w:r>
    </w:p>
    <w:p>
      <w:pPr>
        <w:adjustRightInd w:val="0"/>
        <w:snapToGrid w:val="0"/>
        <w:spacing w:line="336" w:lineRule="auto"/>
        <w:ind w:firstLine="480" w:firstLineChars="200"/>
        <w:rPr>
          <w:rFonts w:hint="eastAsia" w:ascii="宋体" w:hAnsi="宋体"/>
          <w:sz w:val="24"/>
          <w:highlight w:val="none"/>
        </w:rPr>
      </w:pPr>
      <w:r>
        <w:rPr>
          <w:rFonts w:hint="eastAsia" w:ascii="宋体" w:hAnsi="宋体"/>
          <w:sz w:val="24"/>
          <w:highlight w:val="none"/>
        </w:rPr>
        <w:t>（3）获奖情况；</w:t>
      </w:r>
    </w:p>
    <w:p>
      <w:pPr>
        <w:adjustRightInd w:val="0"/>
        <w:snapToGrid w:val="0"/>
        <w:spacing w:line="336" w:lineRule="auto"/>
        <w:ind w:firstLine="480" w:firstLineChars="200"/>
        <w:rPr>
          <w:rFonts w:hint="eastAsia" w:ascii="宋体" w:hAnsi="宋体"/>
          <w:sz w:val="24"/>
          <w:highlight w:val="none"/>
        </w:rPr>
      </w:pPr>
      <w:r>
        <w:rPr>
          <w:rFonts w:hint="eastAsia" w:ascii="宋体" w:hAnsi="宋体"/>
          <w:sz w:val="24"/>
          <w:highlight w:val="none"/>
        </w:rPr>
        <w:t>（4）项目组成员；</w:t>
      </w:r>
    </w:p>
    <w:p>
      <w:pPr>
        <w:adjustRightInd w:val="0"/>
        <w:snapToGrid w:val="0"/>
        <w:spacing w:line="336" w:lineRule="auto"/>
        <w:ind w:firstLine="480" w:firstLineChars="200"/>
        <w:rPr>
          <w:rFonts w:hint="eastAsia" w:ascii="宋体" w:hAnsi="宋体"/>
          <w:sz w:val="24"/>
          <w:highlight w:val="none"/>
        </w:rPr>
      </w:pPr>
      <w:r>
        <w:rPr>
          <w:rFonts w:hint="eastAsia" w:ascii="宋体" w:hAnsi="宋体"/>
          <w:sz w:val="24"/>
          <w:highlight w:val="none"/>
        </w:rPr>
        <w:t>（5）初步设计方案；</w:t>
      </w:r>
    </w:p>
    <w:p>
      <w:pPr>
        <w:adjustRightInd w:val="0"/>
        <w:snapToGrid w:val="0"/>
        <w:spacing w:line="336" w:lineRule="auto"/>
        <w:ind w:firstLine="480" w:firstLineChars="200"/>
        <w:rPr>
          <w:rFonts w:hint="eastAsia" w:ascii="宋体" w:hAnsi="宋体"/>
          <w:sz w:val="24"/>
          <w:highlight w:val="none"/>
        </w:rPr>
      </w:pPr>
      <w:r>
        <w:rPr>
          <w:rFonts w:hint="eastAsia" w:ascii="宋体" w:hAnsi="宋体"/>
          <w:sz w:val="24"/>
          <w:highlight w:val="none"/>
        </w:rPr>
        <w:t>（6）施工方案；</w:t>
      </w:r>
    </w:p>
    <w:p>
      <w:pPr>
        <w:adjustRightInd w:val="0"/>
        <w:snapToGrid w:val="0"/>
        <w:spacing w:line="336" w:lineRule="auto"/>
        <w:ind w:firstLine="480" w:firstLineChars="200"/>
        <w:rPr>
          <w:rFonts w:hint="eastAsia" w:ascii="宋体" w:hAnsi="宋体"/>
          <w:sz w:val="24"/>
          <w:highlight w:val="none"/>
        </w:rPr>
      </w:pPr>
      <w:r>
        <w:rPr>
          <w:rFonts w:hint="eastAsia" w:ascii="宋体" w:hAnsi="宋体"/>
          <w:sz w:val="24"/>
          <w:highlight w:val="none"/>
        </w:rPr>
        <w:t>（7）投资估算；</w:t>
      </w:r>
    </w:p>
    <w:p>
      <w:pPr>
        <w:adjustRightInd w:val="0"/>
        <w:snapToGrid w:val="0"/>
        <w:spacing w:line="336" w:lineRule="auto"/>
        <w:ind w:firstLine="480" w:firstLineChars="200"/>
        <w:rPr>
          <w:rFonts w:hint="eastAsia" w:ascii="宋体" w:hAnsi="宋体"/>
          <w:sz w:val="24"/>
          <w:highlight w:val="none"/>
        </w:rPr>
      </w:pPr>
      <w:r>
        <w:rPr>
          <w:rFonts w:hint="eastAsia" w:ascii="宋体" w:hAnsi="宋体"/>
          <w:sz w:val="24"/>
          <w:highlight w:val="none"/>
        </w:rPr>
        <w:t>（8）合理化建议；</w:t>
      </w:r>
    </w:p>
    <w:p>
      <w:pPr>
        <w:adjustRightInd w:val="0"/>
        <w:snapToGrid w:val="0"/>
        <w:spacing w:line="336" w:lineRule="auto"/>
        <w:ind w:firstLine="480" w:firstLineChars="200"/>
        <w:rPr>
          <w:rFonts w:hint="eastAsia" w:ascii="宋体" w:hAnsi="宋体"/>
          <w:sz w:val="24"/>
          <w:highlight w:val="none"/>
        </w:rPr>
      </w:pPr>
      <w:r>
        <w:rPr>
          <w:rFonts w:hint="eastAsia" w:ascii="宋体" w:hAnsi="宋体"/>
          <w:sz w:val="24"/>
          <w:highlight w:val="none"/>
        </w:rPr>
        <w:t>（9）投标方认为需要的其他文件资料。</w:t>
      </w:r>
    </w:p>
    <w:p>
      <w:pPr>
        <w:snapToGrid w:val="0"/>
        <w:spacing w:line="336" w:lineRule="auto"/>
        <w:ind w:firstLine="482" w:firstLineChars="200"/>
        <w:rPr>
          <w:rFonts w:hint="eastAsia" w:ascii="宋体" w:hAnsi="宋体"/>
          <w:bCs/>
          <w:sz w:val="24"/>
          <w:highlight w:val="none"/>
        </w:rPr>
      </w:pPr>
      <w:r>
        <w:rPr>
          <w:rFonts w:hint="eastAsia" w:ascii="宋体" w:hAnsi="宋体"/>
          <w:b/>
          <w:sz w:val="24"/>
          <w:highlight w:val="none"/>
        </w:rPr>
        <w:t>3.报价文件应包括以下内容：</w:t>
      </w:r>
    </w:p>
    <w:p>
      <w:pPr>
        <w:snapToGrid w:val="0"/>
        <w:spacing w:line="336" w:lineRule="auto"/>
        <w:ind w:firstLine="480" w:firstLineChars="200"/>
        <w:rPr>
          <w:rFonts w:hint="eastAsia" w:ascii="宋体" w:hAnsi="宋体"/>
          <w:bCs/>
          <w:sz w:val="24"/>
          <w:highlight w:val="none"/>
        </w:rPr>
      </w:pPr>
      <w:r>
        <w:rPr>
          <w:rFonts w:hint="eastAsia" w:ascii="宋体" w:hAnsi="宋体"/>
          <w:bCs/>
          <w:sz w:val="24"/>
          <w:highlight w:val="none"/>
        </w:rPr>
        <w:t>（1）投标函；</w:t>
      </w:r>
    </w:p>
    <w:p>
      <w:pPr>
        <w:snapToGrid w:val="0"/>
        <w:spacing w:line="336" w:lineRule="auto"/>
        <w:rPr>
          <w:rFonts w:hint="eastAsia" w:ascii="宋体" w:hAnsi="宋体"/>
          <w:bCs/>
          <w:sz w:val="24"/>
          <w:highlight w:val="none"/>
        </w:rPr>
      </w:pPr>
      <w:r>
        <w:rPr>
          <w:rFonts w:hint="eastAsia" w:ascii="宋体" w:hAnsi="宋体"/>
          <w:bCs/>
          <w:sz w:val="24"/>
          <w:highlight w:val="none"/>
        </w:rPr>
        <w:t xml:space="preserve">    （2）开标一览表；</w:t>
      </w:r>
    </w:p>
    <w:p>
      <w:pPr>
        <w:tabs>
          <w:tab w:val="left" w:pos="5025"/>
        </w:tabs>
        <w:snapToGrid w:val="0"/>
        <w:spacing w:line="336" w:lineRule="auto"/>
        <w:ind w:firstLine="480" w:firstLineChars="200"/>
        <w:rPr>
          <w:rFonts w:hint="eastAsia" w:ascii="宋体" w:hAnsi="宋体"/>
          <w:sz w:val="24"/>
          <w:highlight w:val="none"/>
        </w:rPr>
      </w:pPr>
      <w:r>
        <w:rPr>
          <w:rFonts w:hint="eastAsia" w:ascii="宋体" w:hAnsi="宋体"/>
          <w:bCs/>
          <w:sz w:val="24"/>
          <w:highlight w:val="none"/>
        </w:rPr>
        <w:t>（3）投标方认为有必要提交的其他资料。</w:t>
      </w:r>
    </w:p>
    <w:p>
      <w:pPr>
        <w:autoSpaceDE w:val="0"/>
        <w:autoSpaceDN w:val="0"/>
        <w:adjustRightInd w:val="0"/>
        <w:snapToGrid w:val="0"/>
        <w:spacing w:line="336" w:lineRule="auto"/>
        <w:ind w:firstLine="542"/>
        <w:jc w:val="left"/>
        <w:rPr>
          <w:rFonts w:hint="eastAsia" w:ascii="宋体" w:hAnsi="宋体"/>
          <w:b/>
          <w:sz w:val="24"/>
          <w:highlight w:val="none"/>
          <w:lang w:val="zh-CN"/>
        </w:rPr>
      </w:pPr>
      <w:r>
        <w:rPr>
          <w:rFonts w:hint="eastAsia" w:ascii="宋体" w:hAnsi="宋体"/>
          <w:b/>
          <w:sz w:val="24"/>
          <w:highlight w:val="none"/>
          <w:lang w:val="zh-CN"/>
        </w:rPr>
        <w:t>（二）投标文件的语言及计量</w:t>
      </w:r>
    </w:p>
    <w:p>
      <w:pPr>
        <w:snapToGrid w:val="0"/>
        <w:spacing w:line="336" w:lineRule="auto"/>
        <w:ind w:firstLine="480" w:firstLineChars="200"/>
        <w:jc w:val="left"/>
        <w:rPr>
          <w:rFonts w:hint="eastAsia" w:ascii="宋体" w:hAnsi="宋体" w:cs="宋体"/>
          <w:sz w:val="24"/>
          <w:highlight w:val="none"/>
        </w:rPr>
      </w:pPr>
      <w:r>
        <w:rPr>
          <w:rFonts w:hint="eastAsia" w:ascii="宋体" w:hAnsi="宋体" w:cs="宋体"/>
          <w:sz w:val="24"/>
          <w:highlight w:val="none"/>
        </w:rPr>
        <w:t>1、投标文件以及投标人与采购人就有关投标事宜的所有来往函电，均应以中文汉语书写。除签名、盖章、专用名称等特殊情形外，以中文汉语以外的文字表述的投标文件视同未提供。</w:t>
      </w:r>
    </w:p>
    <w:p>
      <w:pPr>
        <w:snapToGrid w:val="0"/>
        <w:spacing w:line="336" w:lineRule="auto"/>
        <w:ind w:firstLine="480" w:firstLineChars="200"/>
        <w:rPr>
          <w:rFonts w:hint="eastAsia" w:ascii="宋体" w:hAnsi="宋体" w:cs="宋体"/>
          <w:sz w:val="24"/>
          <w:highlight w:val="none"/>
        </w:rPr>
      </w:pPr>
      <w:r>
        <w:rPr>
          <w:rFonts w:hint="eastAsia" w:ascii="宋体" w:hAnsi="宋体" w:cs="宋体"/>
          <w:sz w:val="24"/>
          <w:highlight w:val="none"/>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napToGrid w:val="0"/>
        <w:spacing w:line="336" w:lineRule="auto"/>
        <w:ind w:firstLine="542"/>
        <w:jc w:val="left"/>
        <w:rPr>
          <w:rFonts w:hint="eastAsia" w:ascii="宋体" w:hAnsi="宋体"/>
          <w:b/>
          <w:sz w:val="24"/>
          <w:highlight w:val="none"/>
          <w:lang w:val="zh-CN"/>
        </w:rPr>
      </w:pPr>
      <w:r>
        <w:rPr>
          <w:rFonts w:hint="eastAsia" w:ascii="宋体" w:hAnsi="宋体"/>
          <w:b/>
          <w:sz w:val="24"/>
          <w:highlight w:val="none"/>
          <w:lang w:val="zh-CN"/>
        </w:rPr>
        <w:t>（三）投标报价</w:t>
      </w:r>
    </w:p>
    <w:p>
      <w:pPr>
        <w:tabs>
          <w:tab w:val="left" w:pos="454"/>
          <w:tab w:val="left" w:pos="720"/>
        </w:tabs>
        <w:autoSpaceDE w:val="0"/>
        <w:autoSpaceDN w:val="0"/>
        <w:adjustRightInd w:val="0"/>
        <w:snapToGrid w:val="0"/>
        <w:spacing w:line="336" w:lineRule="auto"/>
        <w:ind w:firstLine="540"/>
        <w:jc w:val="left"/>
        <w:rPr>
          <w:rFonts w:hint="eastAsia" w:ascii="宋体" w:hAnsi="宋体"/>
          <w:kern w:val="0"/>
          <w:sz w:val="24"/>
          <w:highlight w:val="none"/>
          <w:lang w:val="zh-CN"/>
        </w:rPr>
      </w:pPr>
      <w:r>
        <w:rPr>
          <w:rFonts w:hint="eastAsia" w:ascii="宋体" w:hAnsi="宋体"/>
          <w:kern w:val="0"/>
          <w:sz w:val="24"/>
          <w:highlight w:val="none"/>
          <w:lang w:val="zh-CN"/>
        </w:rPr>
        <w:t>1、投标文件只允许有一个报价，有选择性的报价将不予接受；投标报价应按招标文件中相关附表格式填报，该投标报价应与明细报价汇总相等，且不允许出现报价优惠等字样（明细出现“0”元，视同赠送）。</w:t>
      </w:r>
    </w:p>
    <w:p>
      <w:pPr>
        <w:tabs>
          <w:tab w:val="left" w:pos="454"/>
          <w:tab w:val="left" w:pos="720"/>
        </w:tabs>
        <w:autoSpaceDE w:val="0"/>
        <w:autoSpaceDN w:val="0"/>
        <w:adjustRightInd w:val="0"/>
        <w:snapToGrid w:val="0"/>
        <w:spacing w:line="336" w:lineRule="auto"/>
        <w:ind w:firstLine="540"/>
        <w:jc w:val="left"/>
        <w:rPr>
          <w:rFonts w:hint="eastAsia" w:ascii="宋体" w:hAnsi="宋体"/>
          <w:kern w:val="0"/>
          <w:sz w:val="24"/>
          <w:highlight w:val="none"/>
          <w:lang w:val="zh-CN"/>
        </w:rPr>
      </w:pPr>
      <w:r>
        <w:rPr>
          <w:rFonts w:hint="eastAsia" w:ascii="宋体" w:hAnsi="宋体"/>
          <w:kern w:val="0"/>
          <w:sz w:val="24"/>
          <w:highlight w:val="none"/>
          <w:lang w:val="zh-CN"/>
        </w:rPr>
        <w:t>2、本次报价为招标文件和合同中要求完成的所有因完成本项目服务所产生的一切费用；</w:t>
      </w:r>
    </w:p>
    <w:p>
      <w:pPr>
        <w:tabs>
          <w:tab w:val="left" w:pos="454"/>
          <w:tab w:val="left" w:pos="720"/>
        </w:tabs>
        <w:autoSpaceDE w:val="0"/>
        <w:autoSpaceDN w:val="0"/>
        <w:adjustRightInd w:val="0"/>
        <w:snapToGrid w:val="0"/>
        <w:spacing w:line="336" w:lineRule="auto"/>
        <w:ind w:firstLine="540"/>
        <w:jc w:val="left"/>
        <w:rPr>
          <w:rFonts w:hint="eastAsia" w:ascii="宋体" w:hAnsi="宋体"/>
          <w:kern w:val="0"/>
          <w:sz w:val="24"/>
          <w:highlight w:val="none"/>
          <w:lang w:val="zh-CN"/>
        </w:rPr>
      </w:pPr>
      <w:r>
        <w:rPr>
          <w:rFonts w:hint="eastAsia" w:ascii="宋体" w:hAnsi="宋体"/>
          <w:kern w:val="0"/>
          <w:sz w:val="24"/>
          <w:highlight w:val="none"/>
          <w:lang w:val="zh-CN"/>
        </w:rPr>
        <w:t>3、招标文件未列明，而投标人认为必需的费用也需列入报价。</w:t>
      </w:r>
    </w:p>
    <w:p>
      <w:pPr>
        <w:tabs>
          <w:tab w:val="left" w:pos="454"/>
          <w:tab w:val="left" w:pos="720"/>
        </w:tabs>
        <w:autoSpaceDE w:val="0"/>
        <w:autoSpaceDN w:val="0"/>
        <w:adjustRightInd w:val="0"/>
        <w:snapToGrid w:val="0"/>
        <w:spacing w:line="336" w:lineRule="auto"/>
        <w:ind w:firstLine="540"/>
        <w:jc w:val="left"/>
        <w:rPr>
          <w:rFonts w:hint="eastAsia" w:ascii="宋体" w:hAnsi="宋体"/>
          <w:sz w:val="24"/>
          <w:highlight w:val="none"/>
          <w:lang w:val="zh-CN"/>
        </w:rPr>
      </w:pPr>
      <w:r>
        <w:rPr>
          <w:rFonts w:hint="eastAsia" w:ascii="宋体" w:hAnsi="宋体"/>
          <w:kern w:val="0"/>
          <w:sz w:val="24"/>
          <w:highlight w:val="none"/>
          <w:lang w:val="zh-CN"/>
        </w:rPr>
        <w:t>4、投标单位综合考虑投标报价</w:t>
      </w:r>
      <w:r>
        <w:rPr>
          <w:rFonts w:hint="eastAsia" w:ascii="宋体" w:hAnsi="宋体"/>
          <w:bCs/>
          <w:sz w:val="24"/>
          <w:highlight w:val="none"/>
          <w:lang w:val="zh-CN"/>
        </w:rPr>
        <w:t>。</w:t>
      </w:r>
    </w:p>
    <w:p>
      <w:pPr>
        <w:tabs>
          <w:tab w:val="left" w:pos="454"/>
          <w:tab w:val="left" w:pos="720"/>
        </w:tabs>
        <w:autoSpaceDE w:val="0"/>
        <w:autoSpaceDN w:val="0"/>
        <w:adjustRightInd w:val="0"/>
        <w:snapToGrid w:val="0"/>
        <w:spacing w:line="336" w:lineRule="auto"/>
        <w:ind w:firstLine="354" w:firstLineChars="147"/>
        <w:jc w:val="left"/>
        <w:rPr>
          <w:rFonts w:hint="eastAsia" w:ascii="宋体" w:hAnsi="宋体"/>
          <w:b/>
          <w:kern w:val="0"/>
          <w:sz w:val="24"/>
          <w:highlight w:val="none"/>
          <w:lang w:val="zh-CN"/>
        </w:rPr>
      </w:pPr>
      <w:r>
        <w:rPr>
          <w:rFonts w:hint="eastAsia" w:ascii="宋体" w:hAnsi="宋体"/>
          <w:b/>
          <w:kern w:val="0"/>
          <w:sz w:val="24"/>
          <w:highlight w:val="none"/>
          <w:lang w:val="zh-CN"/>
        </w:rPr>
        <w:t>（四）投标文件的有效期</w:t>
      </w:r>
    </w:p>
    <w:p>
      <w:pPr>
        <w:tabs>
          <w:tab w:val="left" w:pos="454"/>
          <w:tab w:val="left" w:pos="720"/>
        </w:tabs>
        <w:autoSpaceDE w:val="0"/>
        <w:autoSpaceDN w:val="0"/>
        <w:adjustRightInd w:val="0"/>
        <w:snapToGrid w:val="0"/>
        <w:spacing w:line="336" w:lineRule="auto"/>
        <w:ind w:firstLine="540"/>
        <w:jc w:val="left"/>
        <w:rPr>
          <w:rFonts w:hint="eastAsia" w:ascii="宋体" w:hAnsi="宋体"/>
          <w:kern w:val="0"/>
          <w:sz w:val="24"/>
          <w:highlight w:val="none"/>
          <w:lang w:val="zh-CN"/>
        </w:rPr>
      </w:pPr>
      <w:r>
        <w:rPr>
          <w:rFonts w:hint="eastAsia" w:ascii="宋体" w:hAnsi="宋体"/>
          <w:kern w:val="0"/>
          <w:sz w:val="24"/>
          <w:highlight w:val="none"/>
          <w:lang w:val="zh-CN"/>
        </w:rPr>
        <w:t>1.自投标截止日起</w:t>
      </w:r>
      <w:r>
        <w:rPr>
          <w:rFonts w:hint="eastAsia" w:ascii="宋体" w:hAnsi="宋体"/>
          <w:kern w:val="0"/>
          <w:sz w:val="24"/>
          <w:highlight w:val="none"/>
          <w:u w:val="single"/>
        </w:rPr>
        <w:t xml:space="preserve"> </w:t>
      </w:r>
      <w:r>
        <w:rPr>
          <w:rFonts w:hint="eastAsia" w:ascii="宋体" w:hAnsi="宋体"/>
          <w:kern w:val="0"/>
          <w:sz w:val="24"/>
          <w:highlight w:val="none"/>
          <w:u w:val="single"/>
          <w:lang w:val="zh-CN"/>
        </w:rPr>
        <w:t>90</w:t>
      </w:r>
      <w:r>
        <w:rPr>
          <w:rFonts w:hint="eastAsia" w:ascii="宋体" w:hAnsi="宋体"/>
          <w:kern w:val="0"/>
          <w:sz w:val="24"/>
          <w:highlight w:val="none"/>
          <w:u w:val="single"/>
        </w:rPr>
        <w:t xml:space="preserve"> </w:t>
      </w:r>
      <w:r>
        <w:rPr>
          <w:rFonts w:hint="eastAsia" w:ascii="宋体" w:hAnsi="宋体"/>
          <w:kern w:val="0"/>
          <w:sz w:val="24"/>
          <w:highlight w:val="none"/>
          <w:lang w:val="zh-CN"/>
        </w:rPr>
        <w:t>天投标书应保持有效。有效期短于这个规定期限的投标将被拒绝。</w:t>
      </w:r>
    </w:p>
    <w:p>
      <w:pPr>
        <w:tabs>
          <w:tab w:val="left" w:pos="454"/>
          <w:tab w:val="left" w:pos="720"/>
        </w:tabs>
        <w:autoSpaceDE w:val="0"/>
        <w:autoSpaceDN w:val="0"/>
        <w:adjustRightInd w:val="0"/>
        <w:snapToGrid w:val="0"/>
        <w:spacing w:line="336" w:lineRule="auto"/>
        <w:ind w:firstLine="540"/>
        <w:jc w:val="left"/>
        <w:rPr>
          <w:rFonts w:hint="eastAsia" w:ascii="宋体" w:hAnsi="宋体"/>
          <w:kern w:val="0"/>
          <w:sz w:val="24"/>
          <w:highlight w:val="none"/>
          <w:lang w:val="zh-CN"/>
        </w:rPr>
      </w:pPr>
      <w:r>
        <w:rPr>
          <w:rFonts w:hint="eastAsia" w:ascii="宋体" w:hAnsi="宋体"/>
          <w:kern w:val="0"/>
          <w:sz w:val="24"/>
          <w:highlight w:val="none"/>
          <w:lang w:val="zh-CN"/>
        </w:rPr>
        <w:t>2.在特殊情况下，招标代理机构可与投标人协商延长投标书的有效期，这种要求和答复均以书面形式进行。</w:t>
      </w:r>
    </w:p>
    <w:p>
      <w:pPr>
        <w:autoSpaceDE w:val="0"/>
        <w:autoSpaceDN w:val="0"/>
        <w:adjustRightInd w:val="0"/>
        <w:snapToGrid w:val="0"/>
        <w:spacing w:line="336" w:lineRule="auto"/>
        <w:ind w:firstLine="540"/>
        <w:jc w:val="left"/>
        <w:rPr>
          <w:rFonts w:hint="eastAsia" w:ascii="宋体" w:hAnsi="宋体"/>
          <w:sz w:val="24"/>
          <w:highlight w:val="none"/>
          <w:lang w:val="zh-CN"/>
        </w:rPr>
      </w:pPr>
      <w:r>
        <w:rPr>
          <w:rFonts w:hint="eastAsia" w:ascii="宋体" w:hAnsi="宋体"/>
          <w:sz w:val="24"/>
          <w:highlight w:val="none"/>
        </w:rPr>
        <w:t>3</w:t>
      </w:r>
      <w:r>
        <w:rPr>
          <w:rFonts w:hint="eastAsia" w:ascii="宋体" w:hAnsi="宋体"/>
          <w:sz w:val="24"/>
          <w:highlight w:val="none"/>
          <w:lang w:val="zh-CN"/>
        </w:rPr>
        <w:t>.中标人的投标文件自开标之日起至合同履行完毕止均应保持有效。</w:t>
      </w:r>
    </w:p>
    <w:p>
      <w:pPr>
        <w:autoSpaceDE w:val="0"/>
        <w:autoSpaceDN w:val="0"/>
        <w:adjustRightInd w:val="0"/>
        <w:snapToGrid w:val="0"/>
        <w:spacing w:line="336" w:lineRule="auto"/>
        <w:ind w:firstLine="542"/>
        <w:jc w:val="left"/>
        <w:rPr>
          <w:rFonts w:hint="eastAsia" w:ascii="宋体" w:hAnsi="宋体"/>
          <w:b/>
          <w:sz w:val="24"/>
          <w:highlight w:val="none"/>
          <w:lang w:val="zh-CN"/>
        </w:rPr>
      </w:pPr>
      <w:r>
        <w:rPr>
          <w:rFonts w:hint="eastAsia" w:ascii="宋体" w:hAnsi="宋体"/>
          <w:b/>
          <w:sz w:val="24"/>
          <w:highlight w:val="none"/>
          <w:lang w:val="zh-CN"/>
        </w:rPr>
        <w:t>（五）投标文件的签署和份数</w:t>
      </w:r>
    </w:p>
    <w:p>
      <w:pPr>
        <w:snapToGrid w:val="0"/>
        <w:spacing w:line="336" w:lineRule="auto"/>
        <w:ind w:firstLine="436" w:firstLineChars="182"/>
        <w:jc w:val="left"/>
        <w:rPr>
          <w:rFonts w:hint="eastAsia" w:ascii="宋体" w:hAnsi="宋体"/>
          <w:color w:val="000000"/>
          <w:sz w:val="24"/>
          <w:highlight w:val="none"/>
        </w:rPr>
      </w:pPr>
      <w:r>
        <w:rPr>
          <w:rFonts w:hint="eastAsia" w:ascii="宋体" w:hAnsi="宋体"/>
          <w:color w:val="000000"/>
          <w:sz w:val="24"/>
          <w:highlight w:val="none"/>
        </w:rPr>
        <w:t>1.投标人应本招标文件规定的格式编制、装订投标文件，投标文件内容不完整、编排混乱导致投标文件被误读、漏读或者查找不到相关内容的，是投标人的责任。</w:t>
      </w:r>
    </w:p>
    <w:p>
      <w:pPr>
        <w:snapToGrid w:val="0"/>
        <w:spacing w:line="336" w:lineRule="auto"/>
        <w:ind w:firstLine="436" w:firstLineChars="182"/>
        <w:jc w:val="left"/>
        <w:rPr>
          <w:rFonts w:hint="eastAsia" w:ascii="宋体" w:hAnsi="宋体"/>
          <w:color w:val="000000"/>
          <w:sz w:val="24"/>
          <w:highlight w:val="none"/>
        </w:rPr>
      </w:pPr>
      <w:r>
        <w:rPr>
          <w:rFonts w:hint="eastAsia" w:ascii="宋体" w:hAnsi="宋体"/>
          <w:color w:val="000000"/>
          <w:sz w:val="24"/>
          <w:highlight w:val="none"/>
        </w:rPr>
        <w:t>2.投标人应按</w:t>
      </w:r>
      <w:r>
        <w:rPr>
          <w:rFonts w:hint="eastAsia" w:ascii="宋体" w:hAnsi="宋体"/>
          <w:b/>
          <w:sz w:val="24"/>
          <w:highlight w:val="none"/>
          <w:u w:val="single"/>
        </w:rPr>
        <w:t>资质文件、商务技术文件、报价文件正本各1份，副本各4</w:t>
      </w:r>
      <w:r>
        <w:rPr>
          <w:rFonts w:hint="eastAsia" w:ascii="宋体" w:hAnsi="宋体"/>
          <w:b/>
          <w:color w:val="000000"/>
          <w:sz w:val="24"/>
          <w:highlight w:val="none"/>
          <w:u w:val="single"/>
        </w:rPr>
        <w:t>份</w:t>
      </w:r>
      <w:r>
        <w:rPr>
          <w:rFonts w:hint="eastAsia" w:ascii="宋体" w:hAnsi="宋体"/>
          <w:sz w:val="24"/>
          <w:highlight w:val="none"/>
        </w:rPr>
        <w:t>分别编制并</w:t>
      </w:r>
      <w:r>
        <w:rPr>
          <w:rFonts w:hint="eastAsia" w:ascii="宋体" w:hAnsi="宋体"/>
          <w:color w:val="000000"/>
          <w:sz w:val="24"/>
          <w:highlight w:val="none"/>
        </w:rPr>
        <w:t>单独装订成册，投标文件的封面应注明“正本”、“副本”字样。</w:t>
      </w:r>
      <w:r>
        <w:rPr>
          <w:rFonts w:hint="eastAsia" w:ascii="宋体" w:hAnsi="宋体"/>
          <w:b/>
          <w:color w:val="000000"/>
          <w:sz w:val="24"/>
          <w:highlight w:val="none"/>
        </w:rPr>
        <w:t>推荐使用胶装订本。</w:t>
      </w:r>
    </w:p>
    <w:p>
      <w:pPr>
        <w:snapToGrid w:val="0"/>
        <w:spacing w:line="336" w:lineRule="auto"/>
        <w:ind w:firstLine="436" w:firstLineChars="182"/>
        <w:jc w:val="left"/>
        <w:rPr>
          <w:rFonts w:hint="eastAsia" w:ascii="宋体" w:hAnsi="宋体"/>
          <w:color w:val="000000"/>
          <w:sz w:val="24"/>
          <w:highlight w:val="none"/>
        </w:rPr>
      </w:pPr>
      <w:r>
        <w:rPr>
          <w:rFonts w:hint="eastAsia" w:ascii="宋体" w:hAnsi="宋体"/>
          <w:color w:val="000000"/>
          <w:sz w:val="24"/>
          <w:highlight w:val="none"/>
        </w:rPr>
        <w:t>3.投标文件的正本需打印或用不褪色的墨水填写。正本与副本内容不一致的，以正本为准。</w:t>
      </w:r>
    </w:p>
    <w:p>
      <w:pPr>
        <w:snapToGrid w:val="0"/>
        <w:spacing w:line="336" w:lineRule="auto"/>
        <w:ind w:firstLine="436" w:firstLineChars="182"/>
        <w:jc w:val="left"/>
        <w:rPr>
          <w:rFonts w:hint="eastAsia" w:ascii="宋体" w:hAnsi="宋体"/>
          <w:color w:val="000000"/>
          <w:sz w:val="24"/>
          <w:highlight w:val="none"/>
        </w:rPr>
      </w:pPr>
      <w:r>
        <w:rPr>
          <w:rFonts w:hint="eastAsia" w:ascii="宋体" w:hAnsi="宋体"/>
          <w:color w:val="000000"/>
          <w:sz w:val="24"/>
          <w:highlight w:val="none"/>
        </w:rPr>
        <w:t>4.投标文件须由投标人在规定位置盖公章并由法定代表人或法定代表授权人签署，投标人应写全称。</w:t>
      </w:r>
    </w:p>
    <w:p>
      <w:pPr>
        <w:snapToGrid w:val="0"/>
        <w:spacing w:line="336" w:lineRule="auto"/>
        <w:ind w:firstLine="436" w:firstLineChars="182"/>
        <w:jc w:val="left"/>
        <w:rPr>
          <w:rFonts w:hint="eastAsia" w:ascii="宋体" w:hAnsi="宋体"/>
          <w:sz w:val="24"/>
          <w:highlight w:val="none"/>
        </w:rPr>
      </w:pPr>
      <w:r>
        <w:rPr>
          <w:rFonts w:hint="eastAsia" w:ascii="宋体" w:hAnsi="宋体"/>
          <w:color w:val="000000"/>
          <w:sz w:val="24"/>
          <w:highlight w:val="none"/>
        </w:rPr>
        <w:t>5.投标文件不得涂改，若有修改错漏处，须加盖单位公章或由法定代表人或授权委托人签字或盖章。投标文件因字迹潦草或表达不清所引起的后果由投标人负责。</w:t>
      </w:r>
    </w:p>
    <w:p>
      <w:pPr>
        <w:pStyle w:val="12"/>
        <w:tabs>
          <w:tab w:val="left" w:pos="1365"/>
          <w:tab w:val="left" w:pos="3375"/>
        </w:tabs>
        <w:snapToGrid w:val="0"/>
        <w:spacing w:line="336" w:lineRule="auto"/>
        <w:ind w:firstLine="482"/>
        <w:rPr>
          <w:rFonts w:hint="eastAsia" w:ascii="宋体" w:hAnsi="宋体" w:eastAsia="宋体"/>
          <w:b/>
          <w:sz w:val="24"/>
          <w:highlight w:val="none"/>
          <w:lang w:val="zh-CN"/>
        </w:rPr>
      </w:pPr>
      <w:bookmarkStart w:id="68" w:name="_Toc17742"/>
      <w:bookmarkStart w:id="69" w:name="_Toc69891874"/>
      <w:bookmarkStart w:id="70" w:name="_Toc69891779"/>
      <w:bookmarkStart w:id="71" w:name="_Toc69891737"/>
      <w:r>
        <w:rPr>
          <w:rFonts w:hint="eastAsia" w:ascii="宋体" w:hAnsi="宋体" w:eastAsia="宋体"/>
          <w:b/>
          <w:sz w:val="24"/>
          <w:highlight w:val="none"/>
          <w:lang w:val="zh-CN"/>
        </w:rPr>
        <w:t>（六）投标文件的包装、递交、修改和撤回</w:t>
      </w:r>
      <w:bookmarkEnd w:id="68"/>
      <w:bookmarkEnd w:id="69"/>
      <w:bookmarkEnd w:id="70"/>
      <w:bookmarkEnd w:id="71"/>
    </w:p>
    <w:p>
      <w:pPr>
        <w:pStyle w:val="12"/>
        <w:snapToGrid w:val="0"/>
        <w:spacing w:line="336" w:lineRule="auto"/>
        <w:ind w:firstLine="434" w:firstLineChars="181"/>
        <w:rPr>
          <w:rFonts w:hint="eastAsia" w:ascii="宋体" w:hAnsi="宋体" w:eastAsia="宋体"/>
          <w:sz w:val="24"/>
          <w:highlight w:val="none"/>
        </w:rPr>
      </w:pPr>
      <w:r>
        <w:rPr>
          <w:rFonts w:hint="eastAsia" w:ascii="宋体" w:hAnsi="宋体" w:eastAsia="宋体"/>
          <w:color w:val="auto"/>
          <w:sz w:val="24"/>
          <w:highlight w:val="none"/>
        </w:rPr>
        <w:t>1.</w:t>
      </w:r>
      <w:r>
        <w:rPr>
          <w:rFonts w:hint="eastAsia" w:ascii="宋体" w:hAnsi="宋体" w:eastAsia="宋体"/>
          <w:b/>
          <w:color w:val="auto"/>
          <w:sz w:val="24"/>
          <w:highlight w:val="none"/>
        </w:rPr>
        <w:t>投标人应按资质文件、商务技术文件、报价文件</w:t>
      </w:r>
      <w:r>
        <w:rPr>
          <w:rFonts w:hint="eastAsia" w:ascii="宋体" w:hAnsi="宋体" w:eastAsia="宋体"/>
          <w:b/>
          <w:bCs/>
          <w:color w:val="auto"/>
          <w:sz w:val="24"/>
          <w:highlight w:val="none"/>
        </w:rPr>
        <w:t>三</w:t>
      </w:r>
      <w:r>
        <w:rPr>
          <w:rFonts w:hint="eastAsia" w:ascii="宋体" w:hAnsi="宋体" w:eastAsia="宋体"/>
          <w:b/>
          <w:color w:val="auto"/>
          <w:sz w:val="24"/>
          <w:highlight w:val="none"/>
        </w:rPr>
        <w:t>部分</w:t>
      </w:r>
      <w:r>
        <w:rPr>
          <w:rFonts w:hint="eastAsia" w:ascii="宋体" w:hAnsi="宋体" w:eastAsia="宋体"/>
          <w:b/>
          <w:bCs/>
          <w:color w:val="auto"/>
          <w:sz w:val="24"/>
          <w:highlight w:val="none"/>
        </w:rPr>
        <w:t>分别密封封装</w:t>
      </w:r>
      <w:r>
        <w:rPr>
          <w:rFonts w:hint="eastAsia" w:ascii="宋体" w:hAnsi="宋体" w:eastAsia="宋体"/>
          <w:color w:val="auto"/>
          <w:sz w:val="24"/>
          <w:highlight w:val="none"/>
        </w:rPr>
        <w:t>， [参照</w:t>
      </w:r>
      <w:r>
        <w:rPr>
          <w:rFonts w:hint="eastAsia" w:ascii="宋体" w:hAnsi="宋体" w:eastAsia="宋体"/>
          <w:sz w:val="24"/>
          <w:highlight w:val="none"/>
        </w:rPr>
        <w:t>《投标文件外层包装封面格式》（见附件）的要求]在包装封面上注明投标人名称、投标人地址、投标文件名称（资质文件、商务技术文件、报价文件）、投标项目名称、项目编号等内容，并加盖投标人公章。</w:t>
      </w:r>
    </w:p>
    <w:p>
      <w:pPr>
        <w:pStyle w:val="12"/>
        <w:snapToGrid w:val="0"/>
        <w:spacing w:line="336" w:lineRule="auto"/>
        <w:ind w:firstLine="434" w:firstLineChars="181"/>
        <w:rPr>
          <w:rFonts w:hint="eastAsia" w:ascii="宋体" w:hAnsi="宋体" w:eastAsia="宋体"/>
          <w:bCs/>
          <w:sz w:val="24"/>
          <w:highlight w:val="none"/>
        </w:rPr>
      </w:pPr>
      <w:r>
        <w:rPr>
          <w:rFonts w:hint="eastAsia" w:ascii="宋体" w:hAnsi="宋体" w:eastAsia="宋体"/>
          <w:sz w:val="24"/>
          <w:highlight w:val="none"/>
        </w:rPr>
        <w:t>2.</w:t>
      </w:r>
      <w:r>
        <w:rPr>
          <w:rFonts w:hint="eastAsia" w:ascii="宋体" w:hAnsi="宋体" w:eastAsia="宋体"/>
          <w:bCs/>
          <w:sz w:val="24"/>
          <w:highlight w:val="none"/>
        </w:rPr>
        <w:t>未按规定密封或标记的投标文件将有可能被拒绝，由此造成投标文件被误投或提前拆封的风险由投标人承担。</w:t>
      </w:r>
    </w:p>
    <w:p>
      <w:pPr>
        <w:pStyle w:val="12"/>
        <w:snapToGrid w:val="0"/>
        <w:spacing w:line="336" w:lineRule="auto"/>
        <w:ind w:firstLine="434" w:firstLineChars="181"/>
        <w:rPr>
          <w:rFonts w:hint="eastAsia" w:ascii="宋体" w:hAnsi="宋体" w:eastAsia="宋体"/>
          <w:bCs/>
          <w:sz w:val="24"/>
          <w:highlight w:val="none"/>
        </w:rPr>
      </w:pPr>
      <w:r>
        <w:rPr>
          <w:rFonts w:hint="eastAsia" w:ascii="宋体" w:hAnsi="宋体" w:eastAsia="宋体"/>
          <w:sz w:val="24"/>
          <w:highlight w:val="none"/>
        </w:rPr>
        <w:t>3.</w:t>
      </w:r>
      <w:r>
        <w:rPr>
          <w:rFonts w:hint="eastAsia" w:ascii="宋体" w:hAnsi="宋体" w:eastAsia="宋体"/>
          <w:bCs/>
          <w:sz w:val="24"/>
          <w:highlight w:val="none"/>
        </w:rPr>
        <w:t>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pStyle w:val="12"/>
        <w:tabs>
          <w:tab w:val="left" w:pos="1365"/>
          <w:tab w:val="left" w:pos="3375"/>
        </w:tabs>
        <w:snapToGrid w:val="0"/>
        <w:spacing w:line="336" w:lineRule="auto"/>
        <w:ind w:firstLine="482"/>
        <w:rPr>
          <w:rFonts w:hint="eastAsia" w:ascii="宋体" w:hAnsi="宋体" w:eastAsia="宋体"/>
          <w:b/>
          <w:sz w:val="24"/>
          <w:highlight w:val="none"/>
          <w:lang w:val="zh-CN"/>
        </w:rPr>
      </w:pPr>
      <w:r>
        <w:rPr>
          <w:rFonts w:hint="eastAsia" w:ascii="宋体" w:hAnsi="宋体" w:eastAsia="宋体"/>
          <w:b/>
          <w:sz w:val="24"/>
          <w:highlight w:val="none"/>
          <w:lang w:val="zh-CN"/>
        </w:rPr>
        <w:t>（七）投标无效的情形</w:t>
      </w:r>
    </w:p>
    <w:p>
      <w:pPr>
        <w:snapToGrid w:val="0"/>
        <w:spacing w:line="336" w:lineRule="auto"/>
        <w:ind w:firstLine="480" w:firstLineChars="200"/>
        <w:rPr>
          <w:rFonts w:hint="eastAsia" w:ascii="宋体" w:hAnsi="宋体"/>
          <w:sz w:val="24"/>
          <w:highlight w:val="none"/>
        </w:rPr>
      </w:pPr>
      <w:r>
        <w:rPr>
          <w:rFonts w:hint="eastAsia" w:ascii="宋体" w:hAnsi="宋体"/>
          <w:sz w:val="24"/>
          <w:highlight w:val="none"/>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autoSpaceDE w:val="0"/>
        <w:autoSpaceDN w:val="0"/>
        <w:adjustRightInd w:val="0"/>
        <w:snapToGrid w:val="0"/>
        <w:spacing w:line="336" w:lineRule="auto"/>
        <w:ind w:firstLine="540"/>
        <w:rPr>
          <w:rFonts w:hint="eastAsia" w:ascii="宋体" w:hAnsi="宋体"/>
          <w:sz w:val="24"/>
          <w:highlight w:val="none"/>
        </w:rPr>
      </w:pPr>
      <w:r>
        <w:rPr>
          <w:rFonts w:hint="eastAsia" w:ascii="宋体" w:hAnsi="宋体"/>
          <w:sz w:val="24"/>
          <w:highlight w:val="none"/>
        </w:rPr>
        <w:t xml:space="preserve"> 有下列情形之一的，应认定响应性审查不符合，其投标文件作无效标处理：</w:t>
      </w:r>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lang w:val="zh-CN"/>
        </w:rPr>
        <w:t>（1）投标文件超过投标截止时间送达的或未按规定地点送达的；</w:t>
      </w:r>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lang w:val="zh-CN"/>
        </w:rPr>
        <w:t>（2）未按规定密封、签章、装订的；</w:t>
      </w:r>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lang w:val="zh-CN"/>
        </w:rPr>
        <w:t>（3）</w:t>
      </w:r>
      <w:r>
        <w:rPr>
          <w:rFonts w:hint="eastAsia" w:ascii="宋体" w:hAnsi="宋体"/>
          <w:b/>
          <w:sz w:val="24"/>
          <w:highlight w:val="none"/>
          <w:u w:val="single"/>
          <w:lang w:val="zh-CN"/>
        </w:rPr>
        <w:t>不符合招标文件标明的资格要求的；</w:t>
      </w:r>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lang w:val="zh-CN"/>
        </w:rPr>
        <w:t>（</w:t>
      </w:r>
      <w:r>
        <w:rPr>
          <w:rFonts w:hint="eastAsia" w:ascii="宋体" w:hAnsi="宋体"/>
          <w:sz w:val="24"/>
          <w:highlight w:val="none"/>
          <w:lang w:val="en-US" w:eastAsia="zh-CN"/>
        </w:rPr>
        <w:t>4</w:t>
      </w:r>
      <w:r>
        <w:rPr>
          <w:rFonts w:hint="eastAsia" w:ascii="宋体" w:hAnsi="宋体"/>
          <w:sz w:val="24"/>
          <w:highlight w:val="none"/>
          <w:lang w:val="zh-CN"/>
        </w:rPr>
        <w:t>）投标文件无法定代表人或委托代理人签字,委托代理的未提供法定代表人授权委托书或者委托书填写项目不齐全或者委托书无效的；</w:t>
      </w:r>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lang w:val="zh-CN"/>
        </w:rPr>
        <w:t>（5）投标代表人未能出具身份证明或与法定代表人授权委托人身份不符的；</w:t>
      </w:r>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lang w:val="zh-CN"/>
        </w:rPr>
        <w:t>（6）投标文件内容虚假的；</w:t>
      </w:r>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lang w:val="zh-CN"/>
        </w:rPr>
        <w:t>（7）投标文件的实质性内容未使用中文表述、意思表述不明确、前后矛盾或者使用计量单位不符合招标文件要求的（经评标委员会认定允许其当场更正的笔误除外）；</w:t>
      </w:r>
    </w:p>
    <w:p>
      <w:pPr>
        <w:autoSpaceDE w:val="0"/>
        <w:autoSpaceDN w:val="0"/>
        <w:adjustRightInd w:val="0"/>
        <w:snapToGrid w:val="0"/>
        <w:spacing w:line="336" w:lineRule="auto"/>
        <w:ind w:firstLine="540"/>
        <w:rPr>
          <w:rFonts w:hint="eastAsia" w:ascii="宋体" w:hAnsi="宋体"/>
          <w:sz w:val="24"/>
          <w:highlight w:val="none"/>
        </w:rPr>
      </w:pPr>
      <w:r>
        <w:rPr>
          <w:rFonts w:hint="eastAsia" w:ascii="宋体" w:hAnsi="宋体"/>
          <w:sz w:val="24"/>
          <w:highlight w:val="none"/>
        </w:rPr>
        <w:t>（8）</w:t>
      </w:r>
      <w:r>
        <w:rPr>
          <w:rFonts w:hint="eastAsia" w:ascii="宋体" w:hAnsi="宋体"/>
          <w:color w:val="000000"/>
          <w:sz w:val="24"/>
          <w:highlight w:val="none"/>
        </w:rPr>
        <w:t>投标文件的关键内容字迹模糊、无法辨认的,或者投标文件中经修正的内容字迹模糊难以辨认或者修改处未按规定签名盖章的；</w:t>
      </w:r>
    </w:p>
    <w:p>
      <w:pPr>
        <w:autoSpaceDE w:val="0"/>
        <w:autoSpaceDN w:val="0"/>
        <w:adjustRightInd w:val="0"/>
        <w:snapToGrid w:val="0"/>
        <w:spacing w:line="336" w:lineRule="auto"/>
        <w:ind w:firstLine="540"/>
        <w:rPr>
          <w:rFonts w:hint="eastAsia" w:ascii="宋体" w:hAnsi="宋体"/>
          <w:sz w:val="24"/>
          <w:highlight w:val="none"/>
        </w:rPr>
      </w:pPr>
      <w:r>
        <w:rPr>
          <w:rFonts w:hint="eastAsia" w:ascii="宋体" w:hAnsi="宋体"/>
          <w:sz w:val="24"/>
          <w:highlight w:val="none"/>
        </w:rPr>
        <w:t>（9）投标有效期、服务期等商务条款不能满足招标文件要求的；</w:t>
      </w:r>
    </w:p>
    <w:p>
      <w:pPr>
        <w:autoSpaceDE w:val="0"/>
        <w:autoSpaceDN w:val="0"/>
        <w:adjustRightInd w:val="0"/>
        <w:snapToGrid w:val="0"/>
        <w:spacing w:line="336" w:lineRule="auto"/>
        <w:ind w:firstLine="540"/>
        <w:rPr>
          <w:rFonts w:hint="eastAsia" w:ascii="宋体" w:hAnsi="宋体"/>
          <w:sz w:val="24"/>
          <w:highlight w:val="none"/>
        </w:rPr>
      </w:pPr>
      <w:r>
        <w:rPr>
          <w:rFonts w:hint="eastAsia" w:ascii="宋体" w:hAnsi="宋体"/>
          <w:sz w:val="24"/>
          <w:highlight w:val="none"/>
        </w:rPr>
        <w:t>（10）未实质性响应招标文件要求或者投标文件有招标方不能接受的附加条件的；</w:t>
      </w:r>
    </w:p>
    <w:p>
      <w:pPr>
        <w:autoSpaceDE w:val="0"/>
        <w:autoSpaceDN w:val="0"/>
        <w:adjustRightInd w:val="0"/>
        <w:snapToGrid w:val="0"/>
        <w:spacing w:line="336" w:lineRule="auto"/>
        <w:ind w:firstLine="540"/>
        <w:rPr>
          <w:rFonts w:hint="eastAsia" w:ascii="宋体" w:hAnsi="宋体"/>
          <w:sz w:val="24"/>
          <w:highlight w:val="none"/>
        </w:rPr>
      </w:pPr>
      <w:r>
        <w:rPr>
          <w:rFonts w:hint="eastAsia" w:ascii="宋体" w:hAnsi="宋体"/>
          <w:sz w:val="24"/>
          <w:highlight w:val="none"/>
        </w:rPr>
        <w:t>（11）投标人被视为串通投标的；</w:t>
      </w:r>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rPr>
        <w:t>（12）</w:t>
      </w:r>
      <w:r>
        <w:rPr>
          <w:rFonts w:hint="eastAsia" w:ascii="宋体" w:hAnsi="宋体"/>
          <w:sz w:val="24"/>
          <w:highlight w:val="none"/>
          <w:lang w:val="zh-CN"/>
        </w:rPr>
        <w:t>未提供或未如实提供投标货物的技术参数，或者投标文件标明的响应或偏离与事实不符或虚假投标的；</w:t>
      </w:r>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lang w:val="zh-CN"/>
        </w:rPr>
        <w:t>（13）明显不符合招标文件标明的规格型号、质量标准的；或者与招标文件中标“★”的技术指标、主要功能项目发生实质性偏离的；</w:t>
      </w:r>
    </w:p>
    <w:p>
      <w:pPr>
        <w:autoSpaceDE w:val="0"/>
        <w:autoSpaceDN w:val="0"/>
        <w:adjustRightInd w:val="0"/>
        <w:snapToGrid w:val="0"/>
        <w:spacing w:line="336" w:lineRule="auto"/>
        <w:ind w:firstLine="540"/>
        <w:rPr>
          <w:rFonts w:hint="eastAsia" w:ascii="宋体" w:hAnsi="宋体"/>
          <w:sz w:val="24"/>
          <w:highlight w:val="none"/>
        </w:rPr>
      </w:pPr>
      <w:r>
        <w:rPr>
          <w:rFonts w:hint="eastAsia" w:ascii="宋体" w:hAnsi="宋体"/>
          <w:sz w:val="24"/>
          <w:highlight w:val="none"/>
        </w:rPr>
        <w:t>（14）投标技术方案不明确，存在一个或一个以上备选（替代）投标方案的；</w:t>
      </w:r>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lang w:val="zh-CN"/>
        </w:rPr>
        <w:t>（15）未采用折扣率报价的；</w:t>
      </w:r>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lang w:val="zh-CN"/>
        </w:rPr>
        <w:t>（16）投标报价超出招标文件规定的上限价的，或未按招标文件规定报价的；</w:t>
      </w:r>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lang w:val="zh-CN"/>
        </w:rPr>
        <w:t>（17）投标报价具有选择性，唱标价格与投标文件承诺的优惠/折扣后价格不一致的；</w:t>
      </w:r>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lang w:val="zh-CN"/>
        </w:rPr>
        <w:t>（18）符合招标文件明确规定的其他无效投标条款的。</w:t>
      </w:r>
    </w:p>
    <w:p>
      <w:pPr>
        <w:pStyle w:val="2"/>
        <w:rPr>
          <w:highlight w:val="none"/>
          <w:lang w:val="zh-CN"/>
        </w:rPr>
      </w:pPr>
    </w:p>
    <w:p>
      <w:pPr>
        <w:pStyle w:val="3"/>
        <w:snapToGrid w:val="0"/>
        <w:spacing w:before="0" w:after="0" w:line="336" w:lineRule="auto"/>
        <w:ind w:firstLine="542"/>
        <w:rPr>
          <w:rFonts w:hint="eastAsia" w:hAnsi="宋体"/>
          <w:szCs w:val="24"/>
          <w:highlight w:val="none"/>
          <w:lang w:val="zh-CN"/>
        </w:rPr>
      </w:pPr>
      <w:bookmarkStart w:id="72" w:name="_Toc15404"/>
      <w:bookmarkStart w:id="73" w:name="_Toc69891738"/>
      <w:bookmarkStart w:id="74" w:name="_Toc69891780"/>
      <w:r>
        <w:rPr>
          <w:rFonts w:hint="eastAsia" w:hAnsi="宋体"/>
          <w:szCs w:val="24"/>
          <w:highlight w:val="none"/>
          <w:lang w:val="zh-CN"/>
        </w:rPr>
        <w:t>四、开标</w:t>
      </w:r>
      <w:bookmarkEnd w:id="72"/>
      <w:bookmarkEnd w:id="73"/>
      <w:bookmarkEnd w:id="74"/>
    </w:p>
    <w:bookmarkEnd w:id="3"/>
    <w:p>
      <w:pPr>
        <w:pStyle w:val="22"/>
        <w:snapToGrid w:val="0"/>
        <w:spacing w:line="336" w:lineRule="auto"/>
        <w:ind w:firstLine="354" w:firstLineChars="147"/>
        <w:rPr>
          <w:rFonts w:hint="eastAsia" w:hAnsi="宋体"/>
          <w:b/>
          <w:sz w:val="24"/>
          <w:szCs w:val="24"/>
          <w:highlight w:val="none"/>
        </w:rPr>
      </w:pPr>
      <w:bookmarkStart w:id="75" w:name="_Toc69891876"/>
      <w:bookmarkStart w:id="76" w:name="_Toc69891781"/>
      <w:bookmarkStart w:id="77" w:name="_Toc26994"/>
      <w:bookmarkStart w:id="78" w:name="_Toc69891739"/>
      <w:r>
        <w:rPr>
          <w:rFonts w:hint="eastAsia" w:hAnsi="宋体"/>
          <w:b/>
          <w:sz w:val="24"/>
          <w:szCs w:val="24"/>
          <w:highlight w:val="none"/>
        </w:rPr>
        <w:t>（一）开标准备</w:t>
      </w:r>
      <w:bookmarkEnd w:id="75"/>
      <w:bookmarkEnd w:id="76"/>
      <w:bookmarkEnd w:id="77"/>
      <w:bookmarkEnd w:id="78"/>
    </w:p>
    <w:p>
      <w:pPr>
        <w:snapToGrid w:val="0"/>
        <w:spacing w:line="336" w:lineRule="auto"/>
        <w:ind w:firstLine="480" w:firstLineChars="200"/>
        <w:rPr>
          <w:rFonts w:hint="eastAsia" w:ascii="宋体" w:hAnsi="宋体"/>
          <w:sz w:val="24"/>
          <w:highlight w:val="none"/>
        </w:rPr>
      </w:pPr>
      <w:r>
        <w:rPr>
          <w:rFonts w:hint="eastAsia" w:ascii="宋体" w:hAnsi="宋体"/>
          <w:sz w:val="24"/>
          <w:highlight w:val="none"/>
        </w:rPr>
        <w:t>招标代理机构将在规定的时间和地点进行开标，投标人的法定代表人或其委托代理人参加开标会并签到。</w:t>
      </w:r>
    </w:p>
    <w:p>
      <w:pPr>
        <w:pStyle w:val="22"/>
        <w:snapToGrid w:val="0"/>
        <w:spacing w:line="336" w:lineRule="auto"/>
        <w:ind w:firstLine="354" w:firstLineChars="147"/>
        <w:rPr>
          <w:rFonts w:hint="eastAsia" w:hAnsi="宋体"/>
          <w:b/>
          <w:color w:val="FF0000"/>
          <w:sz w:val="24"/>
          <w:szCs w:val="24"/>
          <w:highlight w:val="none"/>
        </w:rPr>
      </w:pPr>
      <w:r>
        <w:rPr>
          <w:rFonts w:hint="eastAsia" w:hAnsi="宋体"/>
          <w:b/>
          <w:sz w:val="24"/>
          <w:szCs w:val="24"/>
          <w:highlight w:val="none"/>
        </w:rPr>
        <w:t xml:space="preserve">（二） </w:t>
      </w:r>
      <w:r>
        <w:rPr>
          <w:rFonts w:hint="eastAsia" w:hAnsi="宋体"/>
          <w:b/>
          <w:color w:val="000000"/>
          <w:sz w:val="24"/>
          <w:szCs w:val="24"/>
          <w:highlight w:val="none"/>
        </w:rPr>
        <w:t>开标程序：</w:t>
      </w:r>
    </w:p>
    <w:p>
      <w:pPr>
        <w:snapToGrid w:val="0"/>
        <w:spacing w:line="336" w:lineRule="auto"/>
        <w:ind w:firstLine="480" w:firstLineChars="200"/>
        <w:rPr>
          <w:rFonts w:hint="eastAsia" w:ascii="宋体" w:hAnsi="宋体"/>
          <w:b/>
          <w:sz w:val="24"/>
          <w:highlight w:val="none"/>
        </w:rPr>
      </w:pPr>
      <w:r>
        <w:rPr>
          <w:rFonts w:hint="eastAsia" w:ascii="宋体" w:hAnsi="宋体"/>
          <w:sz w:val="24"/>
          <w:highlight w:val="none"/>
          <w:lang w:val="zh-CN"/>
        </w:rPr>
        <w:t>1.开标会由招标代理机构主持，主持人宣布开标会议开始；</w:t>
      </w:r>
    </w:p>
    <w:p>
      <w:pPr>
        <w:snapToGrid w:val="0"/>
        <w:spacing w:line="336" w:lineRule="auto"/>
        <w:ind w:firstLine="480" w:firstLineChars="200"/>
        <w:rPr>
          <w:rFonts w:hint="eastAsia" w:ascii="宋体" w:hAnsi="宋体"/>
          <w:b/>
          <w:sz w:val="24"/>
          <w:highlight w:val="none"/>
        </w:rPr>
      </w:pPr>
      <w:r>
        <w:rPr>
          <w:rFonts w:hint="eastAsia" w:ascii="宋体" w:hAnsi="宋体"/>
          <w:sz w:val="24"/>
          <w:highlight w:val="none"/>
          <w:lang w:val="zh-CN"/>
        </w:rPr>
        <w:t xml:space="preserve">2.介绍参加开标会的人员名单； </w:t>
      </w:r>
    </w:p>
    <w:p>
      <w:pPr>
        <w:snapToGrid w:val="0"/>
        <w:spacing w:line="336" w:lineRule="auto"/>
        <w:ind w:firstLine="480" w:firstLineChars="200"/>
        <w:rPr>
          <w:rFonts w:hint="eastAsia" w:ascii="宋体" w:hAnsi="宋体"/>
          <w:b/>
          <w:sz w:val="24"/>
          <w:highlight w:val="none"/>
        </w:rPr>
      </w:pPr>
      <w:r>
        <w:rPr>
          <w:rFonts w:hint="eastAsia" w:ascii="宋体" w:hAnsi="宋体"/>
          <w:sz w:val="24"/>
          <w:highlight w:val="none"/>
          <w:lang w:val="zh-CN"/>
        </w:rPr>
        <w:t>3.对投标人的法定代表人或委托代理人进行身份验证；</w:t>
      </w:r>
    </w:p>
    <w:p>
      <w:pPr>
        <w:snapToGrid w:val="0"/>
        <w:spacing w:line="336" w:lineRule="auto"/>
        <w:ind w:firstLine="480" w:firstLineChars="200"/>
        <w:rPr>
          <w:rFonts w:hint="eastAsia" w:ascii="宋体" w:hAnsi="宋体"/>
          <w:b/>
          <w:sz w:val="24"/>
          <w:highlight w:val="none"/>
        </w:rPr>
      </w:pPr>
      <w:r>
        <w:rPr>
          <w:rFonts w:hint="eastAsia" w:ascii="宋体" w:hAnsi="宋体"/>
          <w:sz w:val="24"/>
          <w:highlight w:val="none"/>
          <w:lang w:val="zh-CN"/>
        </w:rPr>
        <w:t>4.打开资质文件、商务技术文件外包装，清点正本、副本数量，符合招标文件要求的进行评审；不符合要求的，不予评审；</w:t>
      </w:r>
    </w:p>
    <w:p>
      <w:pPr>
        <w:snapToGrid w:val="0"/>
        <w:spacing w:line="336" w:lineRule="auto"/>
        <w:ind w:firstLine="480" w:firstLineChars="200"/>
        <w:rPr>
          <w:rFonts w:hint="eastAsia" w:ascii="宋体" w:hAnsi="宋体"/>
          <w:b/>
          <w:sz w:val="24"/>
          <w:highlight w:val="none"/>
        </w:rPr>
      </w:pPr>
      <w:r>
        <w:rPr>
          <w:rFonts w:hint="eastAsia" w:ascii="宋体" w:hAnsi="宋体"/>
          <w:sz w:val="24"/>
          <w:highlight w:val="none"/>
          <w:lang w:val="zh-CN"/>
        </w:rPr>
        <w:t>5.资质文件、商务技术文件评审结束后，由主持人公布评审结果；</w:t>
      </w:r>
    </w:p>
    <w:p>
      <w:pPr>
        <w:snapToGrid w:val="0"/>
        <w:spacing w:line="336" w:lineRule="auto"/>
        <w:ind w:firstLine="480" w:firstLineChars="200"/>
        <w:rPr>
          <w:rFonts w:hint="eastAsia" w:ascii="宋体" w:hAnsi="宋体"/>
          <w:b/>
          <w:sz w:val="24"/>
          <w:highlight w:val="none"/>
        </w:rPr>
      </w:pPr>
      <w:r>
        <w:rPr>
          <w:rFonts w:hint="eastAsia" w:ascii="宋体" w:hAnsi="宋体"/>
          <w:sz w:val="24"/>
          <w:highlight w:val="none"/>
          <w:lang w:val="zh-CN"/>
        </w:rPr>
        <w:t>6.宣布有效投标人名单，宣读有效投标人的投标报价；</w:t>
      </w:r>
    </w:p>
    <w:p>
      <w:pPr>
        <w:snapToGrid w:val="0"/>
        <w:spacing w:line="336" w:lineRule="auto"/>
        <w:ind w:firstLine="480" w:firstLineChars="200"/>
        <w:rPr>
          <w:rFonts w:hint="eastAsia" w:ascii="宋体" w:hAnsi="宋体"/>
          <w:b/>
          <w:sz w:val="24"/>
          <w:highlight w:val="none"/>
        </w:rPr>
      </w:pPr>
      <w:r>
        <w:rPr>
          <w:rFonts w:hint="eastAsia" w:ascii="宋体" w:hAnsi="宋体"/>
          <w:sz w:val="24"/>
          <w:highlight w:val="none"/>
          <w:lang w:val="zh-CN"/>
        </w:rPr>
        <w:t>7.宣布本项目的入围单位；</w:t>
      </w:r>
    </w:p>
    <w:p>
      <w:pPr>
        <w:autoSpaceDE w:val="0"/>
        <w:autoSpaceDN w:val="0"/>
        <w:adjustRightInd w:val="0"/>
        <w:snapToGrid w:val="0"/>
        <w:spacing w:line="336" w:lineRule="auto"/>
        <w:ind w:firstLine="480" w:firstLineChars="200"/>
        <w:rPr>
          <w:rFonts w:hint="eastAsia" w:ascii="宋体" w:hAnsi="宋体"/>
          <w:sz w:val="24"/>
          <w:highlight w:val="none"/>
          <w:lang w:val="zh-CN"/>
        </w:rPr>
      </w:pPr>
      <w:r>
        <w:rPr>
          <w:rFonts w:hint="eastAsia" w:ascii="宋体" w:hAnsi="宋体"/>
          <w:sz w:val="24"/>
          <w:highlight w:val="none"/>
          <w:lang w:val="zh-CN"/>
        </w:rPr>
        <w:t>8.开标会议结束。</w:t>
      </w:r>
    </w:p>
    <w:p>
      <w:pPr>
        <w:pStyle w:val="3"/>
        <w:snapToGrid w:val="0"/>
        <w:spacing w:before="0" w:after="0" w:line="336" w:lineRule="auto"/>
        <w:ind w:firstLine="542"/>
        <w:rPr>
          <w:rFonts w:hint="eastAsia" w:hAnsi="宋体"/>
          <w:szCs w:val="24"/>
          <w:highlight w:val="none"/>
          <w:lang w:val="zh-CN"/>
        </w:rPr>
      </w:pPr>
      <w:bookmarkStart w:id="79" w:name="_Toc69891740"/>
      <w:bookmarkStart w:id="80" w:name="_Toc69891782"/>
      <w:bookmarkStart w:id="81" w:name="_Toc11412"/>
      <w:r>
        <w:rPr>
          <w:rFonts w:hint="eastAsia" w:hAnsi="宋体"/>
          <w:szCs w:val="24"/>
          <w:highlight w:val="none"/>
          <w:lang w:val="zh-CN"/>
        </w:rPr>
        <w:t>五、评标</w:t>
      </w:r>
      <w:bookmarkEnd w:id="79"/>
      <w:bookmarkEnd w:id="80"/>
      <w:bookmarkEnd w:id="81"/>
    </w:p>
    <w:p>
      <w:pPr>
        <w:autoSpaceDE w:val="0"/>
        <w:autoSpaceDN w:val="0"/>
        <w:adjustRightInd w:val="0"/>
        <w:snapToGrid w:val="0"/>
        <w:spacing w:line="336" w:lineRule="auto"/>
        <w:ind w:firstLine="542"/>
        <w:rPr>
          <w:rFonts w:hint="eastAsia" w:ascii="宋体" w:hAnsi="宋体"/>
          <w:b/>
          <w:sz w:val="24"/>
          <w:highlight w:val="none"/>
          <w:lang w:val="zh-CN"/>
        </w:rPr>
      </w:pPr>
      <w:r>
        <w:rPr>
          <w:rFonts w:hint="eastAsia" w:ascii="宋体" w:hAnsi="宋体"/>
          <w:b/>
          <w:sz w:val="24"/>
          <w:highlight w:val="none"/>
          <w:lang w:val="zh-CN"/>
        </w:rPr>
        <w:t>（一）组建评标委员会</w:t>
      </w:r>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lang w:val="zh-CN"/>
        </w:rPr>
        <w:t>招标代理机构依法组建由</w:t>
      </w:r>
      <w:r>
        <w:rPr>
          <w:rFonts w:hint="eastAsia" w:ascii="宋体" w:hAnsi="宋体"/>
          <w:sz w:val="24"/>
          <w:highlight w:val="none"/>
        </w:rPr>
        <w:t>5</w:t>
      </w:r>
      <w:r>
        <w:rPr>
          <w:rFonts w:hint="eastAsia" w:ascii="宋体" w:hAnsi="宋体"/>
          <w:sz w:val="24"/>
          <w:highlight w:val="none"/>
          <w:lang w:val="zh-CN"/>
        </w:rPr>
        <w:t>人以上（含）奇数的人员组成的评标委员会，负责对投标文件进行审查、质询、评审和比较等。评标委员会由采购人代表和采购咨询专家组成，其中采购咨询专家人数不少于成员总数的三分之二。</w:t>
      </w:r>
    </w:p>
    <w:p>
      <w:pPr>
        <w:autoSpaceDE w:val="0"/>
        <w:autoSpaceDN w:val="0"/>
        <w:adjustRightInd w:val="0"/>
        <w:snapToGrid w:val="0"/>
        <w:spacing w:line="336" w:lineRule="auto"/>
        <w:ind w:firstLine="542"/>
        <w:rPr>
          <w:rFonts w:hint="eastAsia" w:ascii="宋体" w:hAnsi="宋体"/>
          <w:b/>
          <w:sz w:val="24"/>
          <w:highlight w:val="none"/>
          <w:lang w:val="zh-CN"/>
        </w:rPr>
      </w:pPr>
      <w:r>
        <w:rPr>
          <w:rFonts w:hint="eastAsia" w:ascii="宋体" w:hAnsi="宋体"/>
          <w:b/>
          <w:sz w:val="24"/>
          <w:highlight w:val="none"/>
          <w:lang w:val="zh-CN"/>
        </w:rPr>
        <w:t>（二）评标的依据</w:t>
      </w:r>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lang w:val="zh-CN"/>
        </w:rPr>
        <w:t>本项目采用不公开方式评标，评标的依据为招标文件和投标文件。</w:t>
      </w:r>
    </w:p>
    <w:p>
      <w:pPr>
        <w:autoSpaceDE w:val="0"/>
        <w:autoSpaceDN w:val="0"/>
        <w:adjustRightInd w:val="0"/>
        <w:snapToGrid w:val="0"/>
        <w:spacing w:line="336" w:lineRule="auto"/>
        <w:ind w:firstLine="542"/>
        <w:rPr>
          <w:rFonts w:hint="eastAsia" w:ascii="宋体" w:hAnsi="宋体"/>
          <w:b/>
          <w:sz w:val="24"/>
          <w:highlight w:val="none"/>
          <w:lang w:val="zh-CN"/>
        </w:rPr>
      </w:pPr>
      <w:r>
        <w:rPr>
          <w:rFonts w:hint="eastAsia" w:ascii="宋体" w:hAnsi="宋体"/>
          <w:b/>
          <w:sz w:val="24"/>
          <w:highlight w:val="none"/>
          <w:lang w:val="zh-CN"/>
        </w:rPr>
        <w:t>（三） 评标程序</w:t>
      </w:r>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lang w:val="zh-CN"/>
        </w:rPr>
        <w:t>1.形式审查</w:t>
      </w:r>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lang w:val="zh-CN"/>
        </w:rPr>
        <w:t>（1）评标委员会审查投标文件的实质性内容是否符合招标文件的实质性要求。</w:t>
      </w:r>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lang w:val="zh-CN"/>
        </w:rPr>
        <w:t>（2）评标委员会将根据投标人的投标文件进行审查、核对,如有疑问,将对投标人进行询标,投标人要向评标委员会澄清有关问题,并最终以书面形式进行答复。</w:t>
      </w:r>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lang w:val="zh-CN"/>
        </w:rPr>
        <w:t>（3）各投标人的</w:t>
      </w:r>
      <w:r>
        <w:rPr>
          <w:rFonts w:hint="eastAsia" w:ascii="宋体" w:hAnsi="宋体"/>
          <w:sz w:val="24"/>
          <w:highlight w:val="none"/>
        </w:rPr>
        <w:t>技术商务分</w:t>
      </w:r>
      <w:r>
        <w:rPr>
          <w:rFonts w:hint="eastAsia" w:ascii="宋体" w:hAnsi="宋体"/>
          <w:sz w:val="24"/>
          <w:highlight w:val="none"/>
          <w:lang w:val="zh-CN"/>
        </w:rPr>
        <w:t>按照评标委员会成员的独立评分结果汇总数的算术平均分计算（四舍五入保留2位小数）。</w:t>
      </w:r>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lang w:val="zh-CN"/>
        </w:rPr>
        <w:t>（4）评标委员会根据投标人的商务报价,计算各投标人的价格分。</w:t>
      </w:r>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lang w:val="zh-CN"/>
        </w:rPr>
        <w:t>（5）评标委员会完成评标后,评委对各部分得分汇总,得出本项目最终得分,评标委员会按评标原则推荐中标候选人同时起草评标报告。</w:t>
      </w:r>
    </w:p>
    <w:p>
      <w:pPr>
        <w:autoSpaceDE w:val="0"/>
        <w:autoSpaceDN w:val="0"/>
        <w:adjustRightInd w:val="0"/>
        <w:snapToGrid w:val="0"/>
        <w:spacing w:line="336" w:lineRule="auto"/>
        <w:ind w:firstLine="542"/>
        <w:rPr>
          <w:rFonts w:hint="eastAsia" w:ascii="宋体" w:hAnsi="宋体"/>
          <w:b/>
          <w:sz w:val="24"/>
          <w:highlight w:val="none"/>
          <w:lang w:val="zh-CN"/>
        </w:rPr>
      </w:pPr>
      <w:r>
        <w:rPr>
          <w:rFonts w:hint="eastAsia" w:ascii="宋体" w:hAnsi="宋体"/>
          <w:b/>
          <w:sz w:val="24"/>
          <w:highlight w:val="none"/>
          <w:lang w:val="zh-CN"/>
        </w:rPr>
        <w:t>（四）澄清问题的形式</w:t>
      </w:r>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lang w:val="zh-CN"/>
        </w:rPr>
        <w:t>对投标文件中含义不明确、同类问题表述不一致或者有明显文字和计算错误的内容，评标委员会可要求投标人作出必要的澄清、说明或者纠正。投标人的澄清、说明或者补正应当采用书面形式，由其法定代表人或授权代表签字或盖章确认，并不得超出投标文件的范围或者改变投标文件的实质性内容。</w:t>
      </w:r>
    </w:p>
    <w:p>
      <w:pPr>
        <w:autoSpaceDE w:val="0"/>
        <w:autoSpaceDN w:val="0"/>
        <w:adjustRightInd w:val="0"/>
        <w:snapToGrid w:val="0"/>
        <w:spacing w:line="336" w:lineRule="auto"/>
        <w:ind w:firstLine="542"/>
        <w:rPr>
          <w:rFonts w:hint="eastAsia" w:ascii="宋体" w:hAnsi="宋体"/>
          <w:b/>
          <w:sz w:val="24"/>
          <w:highlight w:val="none"/>
          <w:lang w:val="zh-CN"/>
        </w:rPr>
      </w:pPr>
      <w:r>
        <w:rPr>
          <w:rFonts w:hint="eastAsia" w:ascii="宋体" w:hAnsi="宋体"/>
          <w:b/>
          <w:sz w:val="24"/>
          <w:highlight w:val="none"/>
          <w:lang w:val="zh-CN"/>
        </w:rPr>
        <w:t>（五）错误修正</w:t>
      </w:r>
    </w:p>
    <w:p>
      <w:pPr>
        <w:widowControl/>
        <w:tabs>
          <w:tab w:val="left" w:pos="630"/>
        </w:tabs>
        <w:autoSpaceDE w:val="0"/>
        <w:autoSpaceDN w:val="0"/>
        <w:adjustRightInd w:val="0"/>
        <w:snapToGrid w:val="0"/>
        <w:spacing w:line="336" w:lineRule="auto"/>
        <w:ind w:firstLine="542"/>
        <w:jc w:val="left"/>
        <w:rPr>
          <w:rFonts w:hint="eastAsia" w:ascii="宋体" w:hAnsi="宋体"/>
          <w:b/>
          <w:bCs/>
          <w:sz w:val="24"/>
          <w:highlight w:val="none"/>
          <w:lang w:val="zh-CN"/>
        </w:rPr>
      </w:pPr>
      <w:r>
        <w:rPr>
          <w:rFonts w:hint="eastAsia" w:ascii="宋体" w:hAnsi="宋体"/>
          <w:b/>
          <w:bCs/>
          <w:sz w:val="24"/>
          <w:highlight w:val="none"/>
          <w:lang w:val="zh-CN"/>
        </w:rPr>
        <w:t>投标文件如果出现计算或表达上的错误，修正错误的原则如下：</w:t>
      </w:r>
    </w:p>
    <w:p>
      <w:pPr>
        <w:widowControl/>
        <w:tabs>
          <w:tab w:val="left" w:pos="630"/>
        </w:tabs>
        <w:autoSpaceDE w:val="0"/>
        <w:autoSpaceDN w:val="0"/>
        <w:adjustRightInd w:val="0"/>
        <w:snapToGrid w:val="0"/>
        <w:spacing w:line="336" w:lineRule="auto"/>
        <w:ind w:firstLine="542"/>
        <w:jc w:val="left"/>
        <w:rPr>
          <w:rFonts w:hint="eastAsia" w:ascii="宋体" w:hAnsi="宋体"/>
          <w:b/>
          <w:bCs/>
          <w:sz w:val="24"/>
          <w:highlight w:val="none"/>
          <w:lang w:val="zh-CN"/>
        </w:rPr>
      </w:pPr>
      <w:r>
        <w:rPr>
          <w:rFonts w:hint="eastAsia" w:ascii="宋体" w:hAnsi="宋体"/>
          <w:b/>
          <w:bCs/>
          <w:sz w:val="24"/>
          <w:highlight w:val="none"/>
          <w:lang w:val="zh-CN"/>
        </w:rPr>
        <w:t>1.对不同文字文本投标文件的解释发生异议的，以中文文本为准。</w:t>
      </w:r>
    </w:p>
    <w:p>
      <w:pPr>
        <w:widowControl/>
        <w:tabs>
          <w:tab w:val="left" w:pos="630"/>
        </w:tabs>
        <w:autoSpaceDE w:val="0"/>
        <w:autoSpaceDN w:val="0"/>
        <w:adjustRightInd w:val="0"/>
        <w:snapToGrid w:val="0"/>
        <w:spacing w:line="336" w:lineRule="auto"/>
        <w:ind w:firstLine="542"/>
        <w:jc w:val="left"/>
        <w:rPr>
          <w:rFonts w:hint="eastAsia" w:ascii="宋体" w:hAnsi="宋体"/>
          <w:b/>
          <w:bCs/>
          <w:sz w:val="24"/>
          <w:highlight w:val="none"/>
          <w:lang w:val="zh-CN"/>
        </w:rPr>
      </w:pPr>
      <w:r>
        <w:rPr>
          <w:rFonts w:hint="eastAsia" w:ascii="宋体" w:hAnsi="宋体"/>
          <w:b/>
          <w:bCs/>
          <w:sz w:val="24"/>
          <w:highlight w:val="none"/>
          <w:lang w:val="zh-CN"/>
        </w:rPr>
        <w:t xml:space="preserve">2.投标文件报价出现前后不一致的，除招标文件另有规定外，按照下列规定修正： </w:t>
      </w:r>
    </w:p>
    <w:p>
      <w:pPr>
        <w:widowControl/>
        <w:tabs>
          <w:tab w:val="left" w:pos="630"/>
        </w:tabs>
        <w:autoSpaceDE w:val="0"/>
        <w:autoSpaceDN w:val="0"/>
        <w:adjustRightInd w:val="0"/>
        <w:snapToGrid w:val="0"/>
        <w:spacing w:line="336" w:lineRule="auto"/>
        <w:ind w:firstLine="542"/>
        <w:jc w:val="left"/>
        <w:rPr>
          <w:rFonts w:hint="eastAsia" w:ascii="宋体" w:hAnsi="宋体"/>
          <w:b/>
          <w:bCs/>
          <w:sz w:val="24"/>
          <w:highlight w:val="none"/>
          <w:lang w:val="zh-CN"/>
        </w:rPr>
      </w:pPr>
      <w:r>
        <w:rPr>
          <w:rFonts w:hint="eastAsia" w:ascii="宋体" w:hAnsi="宋体"/>
          <w:b/>
          <w:bCs/>
          <w:sz w:val="24"/>
          <w:highlight w:val="none"/>
          <w:lang w:val="zh-CN"/>
        </w:rPr>
        <w:t xml:space="preserve">（1）投标文件中开标一览表（报价表）内容与投标文件中相应内容不一致的，以开标一览表（报价表）为准； </w:t>
      </w:r>
    </w:p>
    <w:p>
      <w:pPr>
        <w:widowControl/>
        <w:tabs>
          <w:tab w:val="left" w:pos="630"/>
        </w:tabs>
        <w:autoSpaceDE w:val="0"/>
        <w:autoSpaceDN w:val="0"/>
        <w:adjustRightInd w:val="0"/>
        <w:snapToGrid w:val="0"/>
        <w:spacing w:line="336" w:lineRule="auto"/>
        <w:ind w:firstLine="542"/>
        <w:jc w:val="left"/>
        <w:rPr>
          <w:rFonts w:hint="eastAsia" w:ascii="宋体" w:hAnsi="宋体"/>
          <w:b/>
          <w:bCs/>
          <w:sz w:val="24"/>
          <w:highlight w:val="none"/>
          <w:lang w:val="zh-CN"/>
        </w:rPr>
      </w:pPr>
      <w:r>
        <w:rPr>
          <w:rFonts w:hint="eastAsia" w:ascii="宋体" w:hAnsi="宋体"/>
          <w:b/>
          <w:bCs/>
          <w:sz w:val="24"/>
          <w:highlight w:val="none"/>
          <w:lang w:val="zh-CN"/>
        </w:rPr>
        <w:t xml:space="preserve">（2）大写金额和小写金额不一致的，以大写金额为准； </w:t>
      </w:r>
    </w:p>
    <w:p>
      <w:pPr>
        <w:widowControl/>
        <w:tabs>
          <w:tab w:val="left" w:pos="630"/>
        </w:tabs>
        <w:autoSpaceDE w:val="0"/>
        <w:autoSpaceDN w:val="0"/>
        <w:adjustRightInd w:val="0"/>
        <w:snapToGrid w:val="0"/>
        <w:spacing w:line="336" w:lineRule="auto"/>
        <w:ind w:firstLine="542"/>
        <w:jc w:val="left"/>
        <w:rPr>
          <w:rFonts w:hint="eastAsia" w:ascii="宋体" w:hAnsi="宋体"/>
          <w:b/>
          <w:bCs/>
          <w:sz w:val="24"/>
          <w:highlight w:val="none"/>
          <w:lang w:val="zh-CN"/>
        </w:rPr>
      </w:pPr>
      <w:r>
        <w:rPr>
          <w:rFonts w:hint="eastAsia" w:ascii="宋体" w:hAnsi="宋体"/>
          <w:b/>
          <w:bCs/>
          <w:sz w:val="24"/>
          <w:highlight w:val="none"/>
          <w:lang w:val="zh-CN"/>
        </w:rPr>
        <w:t xml:space="preserve">（3）单价金额小数点或者百分比有明显错位的，以开标一览表的总价为准，并修改单价； </w:t>
      </w:r>
    </w:p>
    <w:p>
      <w:pPr>
        <w:widowControl/>
        <w:tabs>
          <w:tab w:val="left" w:pos="630"/>
        </w:tabs>
        <w:autoSpaceDE w:val="0"/>
        <w:autoSpaceDN w:val="0"/>
        <w:adjustRightInd w:val="0"/>
        <w:snapToGrid w:val="0"/>
        <w:spacing w:line="336" w:lineRule="auto"/>
        <w:ind w:firstLine="542"/>
        <w:jc w:val="left"/>
        <w:rPr>
          <w:rFonts w:hint="eastAsia" w:ascii="宋体" w:hAnsi="宋体"/>
          <w:b/>
          <w:bCs/>
          <w:sz w:val="24"/>
          <w:highlight w:val="none"/>
          <w:lang w:val="zh-CN"/>
        </w:rPr>
      </w:pPr>
      <w:r>
        <w:rPr>
          <w:rFonts w:hint="eastAsia" w:ascii="宋体" w:hAnsi="宋体"/>
          <w:b/>
          <w:bCs/>
          <w:sz w:val="24"/>
          <w:highlight w:val="none"/>
          <w:lang w:val="zh-CN"/>
        </w:rPr>
        <w:t xml:space="preserve">（4）总价金额与按单价汇总金额不一致的，以单价金额计算结果为准。 </w:t>
      </w:r>
    </w:p>
    <w:p>
      <w:pPr>
        <w:widowControl/>
        <w:tabs>
          <w:tab w:val="left" w:pos="630"/>
        </w:tabs>
        <w:autoSpaceDE w:val="0"/>
        <w:autoSpaceDN w:val="0"/>
        <w:adjustRightInd w:val="0"/>
        <w:snapToGrid w:val="0"/>
        <w:spacing w:line="336" w:lineRule="auto"/>
        <w:ind w:firstLine="542"/>
        <w:jc w:val="left"/>
        <w:rPr>
          <w:rFonts w:hint="eastAsia" w:ascii="宋体" w:hAnsi="宋体"/>
          <w:b/>
          <w:bCs/>
          <w:sz w:val="24"/>
          <w:highlight w:val="none"/>
          <w:lang w:val="zh-CN"/>
        </w:rPr>
      </w:pPr>
      <w:r>
        <w:rPr>
          <w:rFonts w:hint="eastAsia" w:ascii="宋体" w:hAnsi="宋体"/>
          <w:b/>
          <w:bCs/>
          <w:sz w:val="24"/>
          <w:highlight w:val="none"/>
          <w:lang w:val="zh-CN"/>
        </w:rPr>
        <w:t>同时出现两种以上不一致的，按照前款规定的顺序修正。投标人同意后，调整后的投标报价对投标人起约束作用。如果投标人不接受修正后的报价，则其投标将被拒绝。</w:t>
      </w:r>
    </w:p>
    <w:p>
      <w:pPr>
        <w:pStyle w:val="22"/>
        <w:snapToGrid w:val="0"/>
        <w:spacing w:line="336" w:lineRule="auto"/>
        <w:ind w:firstLine="436" w:firstLineChars="181"/>
        <w:rPr>
          <w:rFonts w:hint="eastAsia" w:hAnsi="宋体"/>
          <w:b/>
          <w:sz w:val="24"/>
          <w:szCs w:val="24"/>
          <w:highlight w:val="none"/>
        </w:rPr>
      </w:pPr>
      <w:r>
        <w:rPr>
          <w:rFonts w:hint="eastAsia" w:hAnsi="宋体"/>
          <w:b/>
          <w:color w:val="000000"/>
          <w:sz w:val="24"/>
          <w:szCs w:val="24"/>
          <w:highlight w:val="none"/>
        </w:rPr>
        <w:t xml:space="preserve">（六） </w:t>
      </w:r>
      <w:r>
        <w:rPr>
          <w:rFonts w:hint="eastAsia" w:hAnsi="宋体"/>
          <w:b/>
          <w:sz w:val="24"/>
          <w:szCs w:val="24"/>
          <w:highlight w:val="none"/>
        </w:rPr>
        <w:t>评标过程的保密</w:t>
      </w:r>
    </w:p>
    <w:p>
      <w:pPr>
        <w:pStyle w:val="22"/>
        <w:snapToGrid w:val="0"/>
        <w:spacing w:line="336" w:lineRule="auto"/>
        <w:ind w:firstLine="556" w:firstLineChars="232"/>
        <w:rPr>
          <w:rFonts w:hint="eastAsia" w:hAnsi="宋体"/>
          <w:color w:val="000000"/>
          <w:sz w:val="24"/>
          <w:szCs w:val="24"/>
          <w:highlight w:val="none"/>
        </w:rPr>
      </w:pPr>
      <w:r>
        <w:rPr>
          <w:rFonts w:hint="eastAsia" w:hAnsi="宋体"/>
          <w:sz w:val="24"/>
          <w:szCs w:val="24"/>
          <w:highlight w:val="none"/>
        </w:rPr>
        <w:t>凡是属于审查、澄清、评审和比较的有关资料以及授标建议，任何人均不得向投标人或其他无关的人员透露。</w:t>
      </w:r>
      <w:r>
        <w:rPr>
          <w:rFonts w:hint="eastAsia" w:hAnsi="宋体"/>
          <w:sz w:val="24"/>
          <w:szCs w:val="24"/>
          <w:highlight w:val="none"/>
          <w:lang w:val="zh-CN"/>
        </w:rPr>
        <w:t>本项目评标过程实行全程录像监控，</w:t>
      </w:r>
      <w:r>
        <w:rPr>
          <w:rFonts w:hint="eastAsia" w:hAnsi="宋体"/>
          <w:sz w:val="24"/>
          <w:szCs w:val="24"/>
          <w:highlight w:val="none"/>
        </w:rPr>
        <w:t>投标人在评标过程中，所进行的力图影响评标结果的不公正活动，可能导致其投标被拒绝。</w:t>
      </w:r>
    </w:p>
    <w:p>
      <w:pPr>
        <w:pStyle w:val="22"/>
        <w:tabs>
          <w:tab w:val="left" w:pos="630"/>
        </w:tabs>
        <w:snapToGrid w:val="0"/>
        <w:spacing w:line="336" w:lineRule="auto"/>
        <w:ind w:firstLine="318" w:firstLineChars="132"/>
        <w:rPr>
          <w:rFonts w:hint="eastAsia" w:hAnsi="宋体"/>
          <w:b/>
          <w:sz w:val="24"/>
          <w:szCs w:val="24"/>
          <w:highlight w:val="none"/>
        </w:rPr>
      </w:pPr>
      <w:r>
        <w:rPr>
          <w:rFonts w:hint="eastAsia" w:hAnsi="宋体"/>
          <w:b/>
          <w:sz w:val="24"/>
          <w:szCs w:val="24"/>
          <w:highlight w:val="none"/>
        </w:rPr>
        <w:t>（七）评标原则和评标办法</w:t>
      </w:r>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lang w:val="zh-CN"/>
        </w:rPr>
        <w:t xml:space="preserve">1.评标原则。评标委员会必须公平、公正、客观，不带任何倾向性和启发性；不得向外界透露任何与评标有关的内容；任何单位和个人不得干扰、影响评标的正常进行；评标委员会及有关工作人员不得私下与投标人接触。 </w:t>
      </w:r>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lang w:val="zh-CN"/>
        </w:rPr>
        <w:t>2.评标办法。根据采购项目的实际情况采用综合评分法。本项目的具体评标办法详见《第四章：评标办法及评分标准》。</w:t>
      </w:r>
    </w:p>
    <w:p>
      <w:pPr>
        <w:pStyle w:val="3"/>
        <w:snapToGrid w:val="0"/>
        <w:spacing w:before="0" w:after="0" w:line="336" w:lineRule="auto"/>
        <w:ind w:firstLine="542"/>
        <w:rPr>
          <w:rFonts w:hint="eastAsia" w:hAnsi="宋体"/>
          <w:szCs w:val="24"/>
          <w:highlight w:val="none"/>
        </w:rPr>
      </w:pPr>
      <w:bookmarkStart w:id="82" w:name="_Toc69891741"/>
      <w:bookmarkStart w:id="83" w:name="_Toc9905"/>
      <w:bookmarkStart w:id="84" w:name="_Toc69891783"/>
      <w:r>
        <w:rPr>
          <w:rFonts w:hint="eastAsia" w:hAnsi="宋体"/>
          <w:szCs w:val="24"/>
          <w:highlight w:val="none"/>
        </w:rPr>
        <w:t>六、定标</w:t>
      </w:r>
      <w:bookmarkEnd w:id="82"/>
      <w:bookmarkEnd w:id="83"/>
      <w:bookmarkEnd w:id="84"/>
    </w:p>
    <w:p>
      <w:pPr>
        <w:pStyle w:val="22"/>
        <w:snapToGrid w:val="0"/>
        <w:spacing w:line="336" w:lineRule="auto"/>
        <w:ind w:firstLine="556" w:firstLineChars="232"/>
        <w:rPr>
          <w:rFonts w:hint="eastAsia" w:hAnsi="宋体"/>
          <w:sz w:val="24"/>
          <w:szCs w:val="24"/>
          <w:highlight w:val="none"/>
        </w:rPr>
      </w:pPr>
      <w:r>
        <w:rPr>
          <w:rFonts w:hint="eastAsia" w:hAnsi="宋体"/>
          <w:sz w:val="24"/>
          <w:szCs w:val="24"/>
          <w:highlight w:val="none"/>
        </w:rPr>
        <w:t>1.中标公示：招标代理机构将采购结果在发布招标公告的网站上进行1个工作日的中标公示。</w:t>
      </w:r>
    </w:p>
    <w:p>
      <w:pPr>
        <w:pStyle w:val="22"/>
        <w:snapToGrid w:val="0"/>
        <w:spacing w:line="336" w:lineRule="auto"/>
        <w:ind w:firstLine="556" w:firstLineChars="232"/>
        <w:rPr>
          <w:rFonts w:hint="eastAsia" w:hAnsi="宋体"/>
          <w:sz w:val="24"/>
          <w:szCs w:val="24"/>
          <w:highlight w:val="none"/>
        </w:rPr>
      </w:pPr>
      <w:r>
        <w:rPr>
          <w:rFonts w:hint="eastAsia" w:hAnsi="宋体"/>
          <w:sz w:val="24"/>
          <w:szCs w:val="24"/>
          <w:highlight w:val="none"/>
        </w:rPr>
        <w:t>2.质疑：相关投标人如对采购结果有异议需提出质疑的，应当在中标公示结束前以书面形式一次性向招标代理机构提出。</w:t>
      </w:r>
    </w:p>
    <w:p>
      <w:pPr>
        <w:pStyle w:val="22"/>
        <w:snapToGrid w:val="0"/>
        <w:spacing w:line="336" w:lineRule="auto"/>
        <w:ind w:firstLine="556" w:firstLineChars="232"/>
        <w:rPr>
          <w:rFonts w:hint="eastAsia" w:hAnsi="宋体"/>
          <w:sz w:val="24"/>
          <w:szCs w:val="24"/>
          <w:highlight w:val="none"/>
        </w:rPr>
      </w:pPr>
      <w:r>
        <w:rPr>
          <w:rFonts w:hint="eastAsia" w:hAnsi="宋体"/>
          <w:sz w:val="24"/>
          <w:szCs w:val="24"/>
          <w:highlight w:val="none"/>
        </w:rPr>
        <w:t>3.质疑处理：相关投标人提出质疑后，采购人有权要求中标候选人提供相关证明材料。</w:t>
      </w:r>
    </w:p>
    <w:p>
      <w:pPr>
        <w:pStyle w:val="22"/>
        <w:snapToGrid w:val="0"/>
        <w:spacing w:line="336" w:lineRule="auto"/>
        <w:ind w:firstLine="556" w:firstLineChars="232"/>
        <w:rPr>
          <w:rFonts w:hint="eastAsia" w:hAnsi="宋体"/>
          <w:sz w:val="24"/>
          <w:szCs w:val="24"/>
          <w:highlight w:val="none"/>
        </w:rPr>
      </w:pPr>
      <w:r>
        <w:rPr>
          <w:rFonts w:hint="eastAsia" w:hAnsi="宋体"/>
          <w:sz w:val="24"/>
          <w:szCs w:val="24"/>
          <w:highlight w:val="none"/>
        </w:rPr>
        <w:t>4.采购结果在中标公示结束后，招标代理机构以书面形式发出《中标通知书》。</w:t>
      </w:r>
      <w:bookmarkStart w:id="85" w:name="_Toc69891742"/>
      <w:bookmarkStart w:id="86" w:name="_Toc69891784"/>
    </w:p>
    <w:p>
      <w:pPr>
        <w:pStyle w:val="3"/>
        <w:snapToGrid w:val="0"/>
        <w:spacing w:before="0" w:after="0" w:line="336" w:lineRule="auto"/>
        <w:ind w:firstLine="542"/>
        <w:rPr>
          <w:rFonts w:hint="eastAsia" w:hAnsi="宋体"/>
          <w:szCs w:val="24"/>
          <w:highlight w:val="none"/>
        </w:rPr>
      </w:pPr>
      <w:bookmarkStart w:id="87" w:name="_Toc15823"/>
      <w:r>
        <w:rPr>
          <w:rFonts w:hint="eastAsia" w:hAnsi="宋体"/>
          <w:szCs w:val="24"/>
          <w:highlight w:val="none"/>
        </w:rPr>
        <w:t>七、合同授予</w:t>
      </w:r>
      <w:bookmarkEnd w:id="85"/>
      <w:bookmarkEnd w:id="86"/>
      <w:bookmarkEnd w:id="87"/>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lang w:val="zh-CN"/>
        </w:rPr>
        <w:t>1.中标人应在中标通知书发出后30日内与采购人签订合同。</w:t>
      </w:r>
    </w:p>
    <w:p>
      <w:pPr>
        <w:autoSpaceDE w:val="0"/>
        <w:autoSpaceDN w:val="0"/>
        <w:adjustRightInd w:val="0"/>
        <w:snapToGrid w:val="0"/>
        <w:spacing w:line="336" w:lineRule="auto"/>
        <w:ind w:firstLine="540"/>
        <w:rPr>
          <w:rFonts w:hint="eastAsia" w:ascii="宋体" w:hAnsi="宋体"/>
          <w:sz w:val="24"/>
          <w:highlight w:val="none"/>
          <w:lang w:val="zh-CN"/>
        </w:rPr>
      </w:pPr>
      <w:r>
        <w:rPr>
          <w:rFonts w:hint="eastAsia" w:ascii="宋体" w:hAnsi="宋体"/>
          <w:sz w:val="24"/>
          <w:highlight w:val="none"/>
          <w:lang w:val="zh-CN"/>
        </w:rPr>
        <w:t>2.中标人拖延、拒签合同的,将被取消中标资格，情节严重的，上报主管部门限制其投标。</w:t>
      </w:r>
    </w:p>
    <w:p>
      <w:pPr>
        <w:pStyle w:val="3"/>
        <w:snapToGrid w:val="0"/>
        <w:spacing w:before="0" w:after="0"/>
        <w:rPr>
          <w:highlight w:val="none"/>
        </w:rPr>
      </w:pPr>
      <w:bookmarkStart w:id="88" w:name="_Toc44215501"/>
      <w:r>
        <w:rPr>
          <w:rFonts w:hint="eastAsia"/>
          <w:b w:val="0"/>
          <w:highlight w:val="none"/>
        </w:rPr>
        <w:br w:type="page"/>
      </w:r>
      <w:bookmarkStart w:id="89" w:name="_Toc29122"/>
      <w:r>
        <w:rPr>
          <w:rFonts w:hint="eastAsia"/>
          <w:highlight w:val="none"/>
        </w:rPr>
        <w:t>第三章 评标办法及评分标准</w:t>
      </w:r>
      <w:bookmarkEnd w:id="88"/>
      <w:bookmarkEnd w:id="89"/>
    </w:p>
    <w:p>
      <w:pPr>
        <w:snapToGrid w:val="0"/>
        <w:spacing w:line="360" w:lineRule="auto"/>
        <w:ind w:firstLine="542"/>
        <w:rPr>
          <w:rFonts w:hint="eastAsia" w:ascii="宋体" w:hAnsi="宋体"/>
          <w:b/>
          <w:color w:val="000000"/>
          <w:sz w:val="24"/>
          <w:highlight w:val="none"/>
        </w:rPr>
      </w:pPr>
      <w:r>
        <w:rPr>
          <w:rFonts w:hint="eastAsia" w:ascii="宋体" w:hAnsi="宋体"/>
          <w:b/>
          <w:sz w:val="24"/>
          <w:highlight w:val="none"/>
        </w:rPr>
        <w:t>一、总则</w:t>
      </w:r>
    </w:p>
    <w:p>
      <w:pPr>
        <w:adjustRightInd w:val="0"/>
        <w:snapToGrid w:val="0"/>
        <w:spacing w:line="360" w:lineRule="auto"/>
        <w:ind w:firstLine="540"/>
        <w:rPr>
          <w:rFonts w:hint="eastAsia" w:ascii="宋体" w:hAnsi="宋体" w:cs="Arial"/>
          <w:b/>
          <w:bCs/>
          <w:sz w:val="24"/>
          <w:highlight w:val="none"/>
        </w:rPr>
      </w:pPr>
      <w:r>
        <w:rPr>
          <w:rFonts w:hint="eastAsia"/>
          <w:color w:val="000000"/>
          <w:sz w:val="24"/>
          <w:highlight w:val="none"/>
        </w:rPr>
        <w:t>本次评标采用综合评分法。</w:t>
      </w:r>
      <w:r>
        <w:rPr>
          <w:rFonts w:hint="eastAsia"/>
          <w:sz w:val="24"/>
          <w:highlight w:val="none"/>
        </w:rPr>
        <w:t>合格投标人的评标得分为各项目汇总得分，中标候选资格按评标得分由高到低顺序排列，得分相同的，按投标报价由低到高顺序排列；得分且投标报价相同的，按技术分由高到低顺序排列。</w:t>
      </w:r>
      <w:r>
        <w:rPr>
          <w:rFonts w:hint="eastAsia" w:ascii="宋体" w:hAnsi="宋体" w:cs="Arial"/>
          <w:b/>
          <w:bCs/>
          <w:sz w:val="24"/>
          <w:highlight w:val="none"/>
        </w:rPr>
        <w:t>若三家≤有效投标单位数≤五家时，</w:t>
      </w:r>
      <w:r>
        <w:rPr>
          <w:rFonts w:hint="eastAsia" w:ascii="宋体" w:hAnsi="宋体"/>
          <w:bCs/>
          <w:sz w:val="24"/>
          <w:highlight w:val="none"/>
        </w:rPr>
        <w:t>综合得分</w:t>
      </w:r>
      <w:r>
        <w:rPr>
          <w:rFonts w:hint="eastAsia"/>
          <w:sz w:val="24"/>
          <w:highlight w:val="none"/>
        </w:rPr>
        <w:t>排名前三的投标人为本次入围单位</w:t>
      </w:r>
      <w:r>
        <w:rPr>
          <w:rFonts w:hint="eastAsia" w:ascii="宋体" w:hAnsi="宋体" w:cs="Arial"/>
          <w:b/>
          <w:bCs/>
          <w:sz w:val="24"/>
          <w:highlight w:val="none"/>
        </w:rPr>
        <w:t>；若有效投标单位数＞五家时，</w:t>
      </w:r>
      <w:r>
        <w:rPr>
          <w:rFonts w:hint="eastAsia" w:ascii="宋体" w:hAnsi="宋体"/>
          <w:bCs/>
          <w:sz w:val="24"/>
          <w:highlight w:val="none"/>
        </w:rPr>
        <w:t>综合得分</w:t>
      </w:r>
      <w:r>
        <w:rPr>
          <w:rFonts w:hint="eastAsia"/>
          <w:sz w:val="24"/>
          <w:highlight w:val="none"/>
        </w:rPr>
        <w:t>排名前五的投标人为本次入围单位。</w:t>
      </w:r>
      <w:r>
        <w:rPr>
          <w:rFonts w:hint="eastAsia" w:ascii="宋体" w:hAnsi="宋体"/>
          <w:bCs/>
          <w:sz w:val="24"/>
          <w:highlight w:val="none"/>
        </w:rPr>
        <w:t>评分过程中采用四舍五入法，并保留小数2位。</w:t>
      </w:r>
    </w:p>
    <w:p>
      <w:pPr>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投标人评标综合得分=价格分+技术商务分</w:t>
      </w:r>
    </w:p>
    <w:p>
      <w:pPr>
        <w:numPr>
          <w:ilvl w:val="0"/>
          <w:numId w:val="7"/>
        </w:numPr>
        <w:snapToGrid w:val="0"/>
        <w:spacing w:line="360" w:lineRule="auto"/>
        <w:ind w:firstLine="482" w:firstLineChars="200"/>
        <w:rPr>
          <w:b/>
          <w:sz w:val="24"/>
          <w:highlight w:val="none"/>
        </w:rPr>
      </w:pPr>
      <w:r>
        <w:rPr>
          <w:rFonts w:hint="eastAsia"/>
          <w:b/>
          <w:sz w:val="24"/>
          <w:highlight w:val="none"/>
        </w:rPr>
        <w:t>评标内容及标准</w:t>
      </w:r>
    </w:p>
    <w:p>
      <w:pPr>
        <w:snapToGrid w:val="0"/>
        <w:spacing w:line="360" w:lineRule="auto"/>
        <w:ind w:firstLine="542"/>
        <w:rPr>
          <w:rFonts w:hint="eastAsia" w:hAnsi="宋体"/>
          <w:b/>
          <w:bCs/>
          <w:sz w:val="24"/>
          <w:highlight w:val="none"/>
        </w:rPr>
      </w:pPr>
      <w:r>
        <w:rPr>
          <w:rFonts w:hint="eastAsia" w:hAnsi="宋体"/>
          <w:b/>
          <w:sz w:val="24"/>
          <w:highlight w:val="none"/>
        </w:rPr>
        <w:t>（一）</w:t>
      </w:r>
      <w:r>
        <w:rPr>
          <w:rFonts w:hint="eastAsia" w:hAnsi="宋体"/>
          <w:b/>
          <w:bCs/>
          <w:sz w:val="24"/>
          <w:highlight w:val="none"/>
        </w:rPr>
        <w:t>价格分（3</w:t>
      </w:r>
      <w:r>
        <w:rPr>
          <w:rFonts w:hAnsi="宋体"/>
          <w:b/>
          <w:bCs/>
          <w:sz w:val="24"/>
          <w:highlight w:val="none"/>
        </w:rPr>
        <w:t>0</w:t>
      </w:r>
      <w:r>
        <w:rPr>
          <w:rFonts w:hint="eastAsia" w:ascii="宋体" w:hAnsi="宋体"/>
          <w:b/>
          <w:color w:val="000000"/>
          <w:sz w:val="24"/>
          <w:highlight w:val="none"/>
        </w:rPr>
        <w:t>分</w:t>
      </w:r>
      <w:r>
        <w:rPr>
          <w:rFonts w:hint="eastAsia" w:hAnsi="宋体"/>
          <w:b/>
          <w:bCs/>
          <w:sz w:val="24"/>
          <w:highlight w:val="none"/>
        </w:rPr>
        <w:t>）</w:t>
      </w:r>
    </w:p>
    <w:p>
      <w:pPr>
        <w:snapToGrid w:val="0"/>
        <w:spacing w:line="360" w:lineRule="auto"/>
        <w:ind w:firstLine="480" w:firstLineChars="200"/>
        <w:rPr>
          <w:rFonts w:hint="eastAsia" w:hAnsi="宋体"/>
          <w:b/>
          <w:bCs/>
          <w:sz w:val="24"/>
          <w:highlight w:val="none"/>
        </w:rPr>
      </w:pPr>
      <w:r>
        <w:rPr>
          <w:rFonts w:hint="eastAsia" w:ascii="宋体" w:hAnsi="宋体" w:cs="宋体"/>
          <w:sz w:val="24"/>
          <w:highlight w:val="none"/>
        </w:rPr>
        <w:t>1、价格分采用低价优先法计算，即满足招标文件要求且总投标价格最低的投标报价为评标基准价，其他投标人的价格分按照下列公式计算：</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价格分=（评标基准价/投标报价）×30</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★2、投标人的投标报价超过设定的上限价的作为无效标处理。</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3、报价是中标的一个重要因素，但最低报价不是中标的唯一依据。</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并在评审报告中说明。采购人或采购代理机构应将上述情况报同级监督部门，对弄虚作假、恶意串通的投标人，应将其列入不良行为记录名单，在1至3年内禁止参加采购活动。</w:t>
      </w:r>
    </w:p>
    <w:p>
      <w:pPr>
        <w:snapToGrid w:val="0"/>
        <w:spacing w:line="360" w:lineRule="auto"/>
        <w:ind w:firstLine="542"/>
        <w:rPr>
          <w:rFonts w:hint="eastAsia" w:ascii="宋体" w:hAnsi="宋体" w:cs="宋体"/>
          <w:b/>
          <w:sz w:val="24"/>
          <w:highlight w:val="none"/>
        </w:rPr>
      </w:pPr>
      <w:r>
        <w:rPr>
          <w:rFonts w:hint="eastAsia" w:ascii="宋体" w:hAnsi="宋体"/>
          <w:b/>
          <w:sz w:val="24"/>
          <w:highlight w:val="none"/>
        </w:rPr>
        <w:t>（二）</w:t>
      </w:r>
      <w:r>
        <w:rPr>
          <w:rFonts w:hint="eastAsia" w:ascii="宋体" w:hAnsi="宋体" w:cs="宋体"/>
          <w:b/>
          <w:sz w:val="24"/>
          <w:highlight w:val="none"/>
        </w:rPr>
        <w:t>技术商务评分（70分）</w:t>
      </w:r>
    </w:p>
    <w:tbl>
      <w:tblPr>
        <w:tblStyle w:val="40"/>
        <w:tblW w:w="11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87"/>
        <w:gridCol w:w="1260"/>
        <w:gridCol w:w="6688"/>
        <w:gridCol w:w="10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b/>
                <w:bCs/>
                <w:sz w:val="22"/>
                <w:highlight w:val="none"/>
              </w:rPr>
            </w:pPr>
            <w:r>
              <w:rPr>
                <w:rFonts w:hint="eastAsia" w:ascii="宋体" w:hAnsi="宋体" w:cs="宋体"/>
                <w:b/>
                <w:bCs/>
                <w:sz w:val="22"/>
                <w:highlight w:val="none"/>
              </w:rPr>
              <w:t>序号</w:t>
            </w:r>
          </w:p>
        </w:tc>
        <w:tc>
          <w:tcPr>
            <w:tcW w:w="12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b/>
                <w:bCs/>
                <w:kern w:val="0"/>
                <w:sz w:val="22"/>
                <w:highlight w:val="none"/>
              </w:rPr>
            </w:pPr>
            <w:r>
              <w:rPr>
                <w:rFonts w:hint="eastAsia" w:ascii="宋体" w:hAnsi="宋体" w:cs="宋体"/>
                <w:b/>
                <w:bCs/>
                <w:kern w:val="0"/>
                <w:sz w:val="22"/>
                <w:highlight w:val="none"/>
              </w:rPr>
              <w:t>内容</w:t>
            </w:r>
          </w:p>
        </w:tc>
        <w:tc>
          <w:tcPr>
            <w:tcW w:w="794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97"/>
              <w:jc w:val="center"/>
              <w:rPr>
                <w:rFonts w:hint="eastAsia" w:ascii="宋体" w:hAnsi="宋体" w:cs="宋体"/>
                <w:b/>
                <w:bCs/>
                <w:kern w:val="0"/>
                <w:sz w:val="22"/>
                <w:highlight w:val="none"/>
              </w:rPr>
            </w:pPr>
            <w:r>
              <w:rPr>
                <w:rFonts w:hint="eastAsia" w:ascii="宋体" w:hAnsi="宋体" w:cs="宋体"/>
                <w:b/>
                <w:bCs/>
                <w:kern w:val="0"/>
                <w:sz w:val="22"/>
                <w:highlight w:val="none"/>
              </w:rPr>
              <w:t>评分细则</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cs="宋体"/>
                <w:b/>
                <w:bCs/>
                <w:kern w:val="0"/>
                <w:sz w:val="22"/>
                <w:highlight w:val="none"/>
              </w:rPr>
            </w:pPr>
            <w:r>
              <w:rPr>
                <w:rFonts w:hint="eastAsia" w:ascii="宋体" w:hAnsi="宋体" w:cs="宋体"/>
                <w:b/>
                <w:bCs/>
                <w:kern w:val="0"/>
                <w:szCs w:val="21"/>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pacing w:val="-28"/>
                <w:kern w:val="0"/>
                <w:szCs w:val="21"/>
                <w:highlight w:val="none"/>
              </w:rPr>
            </w:pPr>
            <w:r>
              <w:rPr>
                <w:rFonts w:hint="eastAsia" w:ascii="宋体" w:hAnsi="宋体" w:cs="宋体"/>
                <w:spacing w:val="-28"/>
                <w:kern w:val="0"/>
                <w:szCs w:val="21"/>
                <w:highlight w:val="none"/>
              </w:rPr>
              <w:t>1</w:t>
            </w:r>
          </w:p>
        </w:tc>
        <w:tc>
          <w:tcPr>
            <w:tcW w:w="12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pacing w:val="-6"/>
                <w:kern w:val="0"/>
                <w:szCs w:val="21"/>
                <w:highlight w:val="none"/>
              </w:rPr>
            </w:pPr>
            <w:r>
              <w:rPr>
                <w:rFonts w:hint="eastAsia" w:ascii="宋体" w:hAnsi="宋体" w:cs="宋体"/>
                <w:spacing w:val="-6"/>
                <w:kern w:val="0"/>
                <w:szCs w:val="21"/>
                <w:highlight w:val="none"/>
              </w:rPr>
              <w:t>业绩</w:t>
            </w:r>
          </w:p>
        </w:tc>
        <w:tc>
          <w:tcPr>
            <w:tcW w:w="794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cs="宋体"/>
                <w:spacing w:val="-6"/>
                <w:kern w:val="0"/>
                <w:szCs w:val="21"/>
                <w:highlight w:val="none"/>
              </w:rPr>
            </w:pPr>
            <w:r>
              <w:rPr>
                <w:rFonts w:hint="eastAsia" w:ascii="宋体" w:hAnsi="宋体" w:cs="宋体"/>
                <w:spacing w:val="-6"/>
                <w:kern w:val="0"/>
                <w:szCs w:val="21"/>
                <w:highlight w:val="none"/>
              </w:rPr>
              <w:t>1.企业业绩：投标人自2021年1月1日至今（以签订合同时间为准），</w:t>
            </w:r>
            <w:r>
              <w:rPr>
                <w:highlight w:val="none"/>
              </w:rPr>
              <w:t>承接过银行网点装修设计</w:t>
            </w:r>
            <w:r>
              <w:rPr>
                <w:rFonts w:hint="eastAsia"/>
                <w:highlight w:val="none"/>
              </w:rPr>
              <w:t>项目</w:t>
            </w:r>
            <w:r>
              <w:rPr>
                <w:rFonts w:hint="eastAsia" w:ascii="宋体" w:hAnsi="宋体" w:cs="宋体"/>
                <w:spacing w:val="-6"/>
                <w:kern w:val="0"/>
                <w:szCs w:val="21"/>
                <w:highlight w:val="none"/>
              </w:rPr>
              <w:t>，每提供一个项目业绩合同，得1分，本项最高得3分。</w:t>
            </w:r>
          </w:p>
          <w:p>
            <w:pPr>
              <w:widowControl/>
              <w:spacing w:line="360" w:lineRule="auto"/>
              <w:rPr>
                <w:rFonts w:hint="eastAsia" w:ascii="宋体" w:hAnsi="宋体" w:cs="宋体"/>
                <w:spacing w:val="-6"/>
                <w:kern w:val="0"/>
                <w:szCs w:val="21"/>
                <w:highlight w:val="none"/>
              </w:rPr>
            </w:pPr>
            <w:r>
              <w:rPr>
                <w:rFonts w:hint="eastAsia" w:ascii="宋体" w:hAnsi="宋体" w:cs="宋体"/>
                <w:spacing w:val="-6"/>
                <w:kern w:val="0"/>
                <w:szCs w:val="21"/>
                <w:highlight w:val="none"/>
              </w:rPr>
              <w:t>2.项目负责人业绩：项目负责人自2021年1月1日至今（以签订合同时间为准），</w:t>
            </w:r>
            <w:r>
              <w:rPr>
                <w:highlight w:val="none"/>
              </w:rPr>
              <w:t>承接过银行网点装修设计</w:t>
            </w:r>
            <w:r>
              <w:rPr>
                <w:rFonts w:hint="eastAsia"/>
                <w:highlight w:val="none"/>
              </w:rPr>
              <w:t>项目</w:t>
            </w:r>
            <w:r>
              <w:rPr>
                <w:rFonts w:hint="eastAsia" w:ascii="宋体" w:hAnsi="宋体" w:cs="宋体"/>
                <w:spacing w:val="-6"/>
                <w:kern w:val="0"/>
                <w:szCs w:val="21"/>
                <w:highlight w:val="none"/>
              </w:rPr>
              <w:t>，每提供一个项目业绩合同，得1分，本项最高得3分。</w:t>
            </w:r>
          </w:p>
          <w:p>
            <w:pPr>
              <w:widowControl/>
              <w:spacing w:line="360" w:lineRule="auto"/>
              <w:ind w:firstLine="447"/>
              <w:rPr>
                <w:rFonts w:hint="eastAsia" w:ascii="宋体" w:hAnsi="宋体" w:cs="宋体"/>
                <w:b/>
                <w:bCs/>
                <w:spacing w:val="-6"/>
                <w:highlight w:val="none"/>
              </w:rPr>
            </w:pPr>
            <w:r>
              <w:rPr>
                <w:rFonts w:hint="eastAsia" w:ascii="宋体" w:hAnsi="宋体" w:cs="宋体"/>
                <w:b/>
                <w:bCs/>
                <w:spacing w:val="-6"/>
                <w:highlight w:val="none"/>
              </w:rPr>
              <w:t>注：须提供业绩合同扫描件并加盖单位公章，否则不得分。</w:t>
            </w:r>
            <w:r>
              <w:rPr>
                <w:rFonts w:ascii="宋体" w:hAnsi="宋体" w:cs="宋体"/>
                <w:b/>
                <w:bCs/>
                <w:spacing w:val="-6"/>
                <w:highlight w:val="none"/>
              </w:rPr>
              <w:t>企业业绩和项目负责人业绩为同一项目的不重复得分</w:t>
            </w:r>
            <w:r>
              <w:rPr>
                <w:rFonts w:hint="eastAsia" w:ascii="宋体" w:hAnsi="宋体" w:cs="宋体"/>
                <w:b/>
                <w:bCs/>
                <w:spacing w:val="-6"/>
                <w:highlight w:val="none"/>
              </w:rPr>
              <w:t>。</w:t>
            </w:r>
            <w:r>
              <w:rPr>
                <w:rFonts w:ascii="宋体" w:hAnsi="宋体" w:cs="宋体"/>
                <w:b/>
                <w:bCs/>
                <w:spacing w:val="-6"/>
                <w:highlight w:val="none"/>
              </w:rPr>
              <w:t>此处项目负责人加分的，必须为入围后服务于采购单位的项目负责人，原则上不得变更，如变更不得低于该项目负责人资质且经采购单位同意。</w:t>
            </w:r>
            <w:r>
              <w:rPr>
                <w:rFonts w:hint="eastAsia" w:ascii="宋体" w:hAnsi="宋体" w:cs="宋体"/>
                <w:b/>
                <w:bCs/>
                <w:spacing w:val="-6"/>
                <w:highlight w:val="none"/>
              </w:rPr>
              <w:t xml:space="preserve"> </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Cs w:val="21"/>
                <w:highlight w:val="none"/>
              </w:rPr>
            </w:pPr>
            <w:r>
              <w:rPr>
                <w:rFonts w:ascii="宋体" w:hAnsi="宋体" w:cs="宋体"/>
                <w:kern w:val="0"/>
                <w:szCs w:val="21"/>
                <w:highlight w:val="none"/>
              </w:rPr>
              <w:t>0-</w:t>
            </w:r>
            <w:r>
              <w:rPr>
                <w:rFonts w:hint="eastAsia" w:ascii="宋体" w:hAnsi="宋体" w:cs="宋体"/>
                <w:kern w:val="0"/>
                <w:szCs w:val="21"/>
                <w:highlight w:val="none"/>
              </w:rPr>
              <w:t>6分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pacing w:val="-28"/>
                <w:kern w:val="0"/>
                <w:szCs w:val="21"/>
                <w:highlight w:val="none"/>
              </w:rPr>
            </w:pPr>
            <w:r>
              <w:rPr>
                <w:rFonts w:hint="eastAsia" w:ascii="宋体" w:hAnsi="宋体" w:cs="宋体"/>
                <w:spacing w:val="-28"/>
                <w:kern w:val="0"/>
                <w:szCs w:val="21"/>
                <w:highlight w:val="none"/>
              </w:rPr>
              <w:t>2</w:t>
            </w:r>
          </w:p>
        </w:tc>
        <w:tc>
          <w:tcPr>
            <w:tcW w:w="12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pacing w:val="-6"/>
                <w:kern w:val="0"/>
                <w:szCs w:val="21"/>
                <w:highlight w:val="none"/>
              </w:rPr>
            </w:pPr>
            <w:r>
              <w:rPr>
                <w:rFonts w:hint="eastAsia" w:ascii="宋体" w:hAnsi="宋体" w:cs="宋体"/>
                <w:spacing w:val="-6"/>
                <w:szCs w:val="21"/>
                <w:highlight w:val="none"/>
              </w:rPr>
              <w:t>获奖情况</w:t>
            </w:r>
          </w:p>
        </w:tc>
        <w:tc>
          <w:tcPr>
            <w:tcW w:w="7948" w:type="dxa"/>
            <w:gridSpan w:val="2"/>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rPr>
                <w:rFonts w:hint="eastAsia" w:ascii="宋体" w:hAnsi="宋体" w:eastAsia="宋体"/>
                <w:highlight w:val="none"/>
              </w:rPr>
            </w:pPr>
            <w:r>
              <w:rPr>
                <w:rFonts w:hint="eastAsia" w:ascii="宋体" w:hAnsi="宋体" w:eastAsia="宋体"/>
                <w:highlight w:val="none"/>
              </w:rPr>
              <w:t>投标人自2021年1月1日以来，获得省级及以上政府行政部门（或行业协会）颁发的规划类或设计类奖项得2分；获得市级行政部门（或行业协会）颁发的规划类或设计类奖项得1分。本项最高得10分。</w:t>
            </w:r>
          </w:p>
          <w:p>
            <w:pPr>
              <w:widowControl/>
              <w:spacing w:line="360" w:lineRule="auto"/>
              <w:rPr>
                <w:rFonts w:hint="eastAsia" w:ascii="宋体" w:hAnsi="宋体" w:cs="宋体"/>
                <w:spacing w:val="-6"/>
                <w:kern w:val="0"/>
                <w:szCs w:val="21"/>
                <w:highlight w:val="none"/>
              </w:rPr>
            </w:pPr>
            <w:r>
              <w:rPr>
                <w:rFonts w:hint="eastAsia" w:ascii="宋体" w:hAnsi="宋体"/>
                <w:b/>
                <w:bCs/>
                <w:highlight w:val="none"/>
              </w:rPr>
              <w:t>注：须提供相关表彰文件或荣誉证书复印件，不提供不得分。同一表彰以最高级别加分，不累加。</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0-10分-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pacing w:val="-28"/>
                <w:kern w:val="0"/>
                <w:szCs w:val="21"/>
                <w:highlight w:val="none"/>
              </w:rPr>
            </w:pPr>
            <w:r>
              <w:rPr>
                <w:rFonts w:hint="eastAsia" w:ascii="宋体" w:hAnsi="宋体" w:cs="宋体"/>
                <w:spacing w:val="-28"/>
                <w:kern w:val="0"/>
                <w:szCs w:val="21"/>
                <w:highlight w:val="none"/>
              </w:rPr>
              <w:t>3</w:t>
            </w:r>
          </w:p>
        </w:tc>
        <w:tc>
          <w:tcPr>
            <w:tcW w:w="12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pacing w:val="-6"/>
                <w:kern w:val="0"/>
                <w:szCs w:val="21"/>
                <w:highlight w:val="none"/>
              </w:rPr>
            </w:pPr>
            <w:r>
              <w:rPr>
                <w:rFonts w:hint="eastAsia" w:ascii="宋体" w:hAnsi="宋体" w:cs="宋体"/>
                <w:spacing w:val="-6"/>
                <w:kern w:val="0"/>
                <w:szCs w:val="21"/>
                <w:highlight w:val="none"/>
              </w:rPr>
              <w:t>项目组成员</w:t>
            </w:r>
          </w:p>
        </w:tc>
        <w:tc>
          <w:tcPr>
            <w:tcW w:w="794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cs="宋体"/>
                <w:spacing w:val="-6"/>
                <w:kern w:val="0"/>
                <w:szCs w:val="21"/>
                <w:highlight w:val="none"/>
              </w:rPr>
            </w:pPr>
            <w:r>
              <w:rPr>
                <w:rFonts w:hint="eastAsia" w:ascii="宋体" w:hAnsi="宋体" w:cs="宋体"/>
                <w:spacing w:val="-6"/>
                <w:kern w:val="0"/>
                <w:szCs w:val="21"/>
                <w:highlight w:val="none"/>
              </w:rPr>
              <w:t>满足人员配备最低要求。（详见第四章 采购需求中人员配备要求）</w:t>
            </w:r>
          </w:p>
          <w:p>
            <w:pPr>
              <w:widowControl/>
              <w:spacing w:line="360" w:lineRule="auto"/>
              <w:rPr>
                <w:rFonts w:hint="eastAsia" w:ascii="宋体" w:hAnsi="宋体" w:cs="宋体"/>
                <w:spacing w:val="-6"/>
                <w:kern w:val="0"/>
                <w:szCs w:val="21"/>
                <w:highlight w:val="none"/>
              </w:rPr>
            </w:pPr>
            <w:r>
              <w:rPr>
                <w:rFonts w:hint="eastAsia" w:ascii="宋体" w:hAnsi="宋体" w:cs="宋体"/>
                <w:spacing w:val="-6"/>
                <w:kern w:val="0"/>
                <w:szCs w:val="21"/>
                <w:highlight w:val="none"/>
              </w:rPr>
              <w:t>1.项目负责人具有工程类高级工程师职称的得6分，具有工程类中级工程师职称的得3分。本项最高得6分。</w:t>
            </w:r>
          </w:p>
          <w:p>
            <w:pPr>
              <w:widowControl/>
              <w:spacing w:line="360" w:lineRule="auto"/>
              <w:rPr>
                <w:rFonts w:hint="eastAsia" w:ascii="宋体" w:hAnsi="宋体" w:cs="宋体"/>
                <w:spacing w:val="-6"/>
                <w:kern w:val="0"/>
                <w:szCs w:val="21"/>
                <w:highlight w:val="none"/>
              </w:rPr>
            </w:pPr>
            <w:r>
              <w:rPr>
                <w:rFonts w:hint="eastAsia" w:ascii="宋体" w:hAnsi="宋体" w:cs="宋体"/>
                <w:spacing w:val="-6"/>
                <w:kern w:val="0"/>
                <w:szCs w:val="21"/>
                <w:highlight w:val="none"/>
              </w:rPr>
              <w:t>2.拟派项目组成员（不含项目负责人）具有工程类中级及以上职称，每人得2分，具有工程类高级及以上职称的每人得3分。本项最高得18分。</w:t>
            </w:r>
          </w:p>
          <w:p>
            <w:pPr>
              <w:pStyle w:val="12"/>
              <w:spacing w:line="360" w:lineRule="auto"/>
              <w:ind w:firstLine="0" w:firstLineChars="0"/>
              <w:rPr>
                <w:rFonts w:hint="eastAsia" w:ascii="宋体" w:hAnsi="宋体" w:eastAsia="宋体" w:cs="宋体"/>
                <w:b/>
                <w:bCs/>
                <w:spacing w:val="-6"/>
                <w:highlight w:val="none"/>
              </w:rPr>
            </w:pPr>
            <w:r>
              <w:rPr>
                <w:rFonts w:hint="eastAsia" w:ascii="宋体" w:hAnsi="宋体" w:eastAsia="宋体" w:cs="Times New Roman"/>
                <w:b/>
                <w:bCs/>
                <w:kern w:val="2"/>
                <w:sz w:val="21"/>
                <w:szCs w:val="24"/>
                <w:highlight w:val="none"/>
                <w:lang w:val="en-US" w:eastAsia="zh-CN" w:bidi="ar-SA"/>
              </w:rPr>
              <w:t>注：同一人多个职称按最高职称。须提供证书复印件及近3个月社保证明复印件并加盖公章，否则不得分。</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Cs w:val="21"/>
                <w:highlight w:val="none"/>
              </w:rPr>
            </w:pPr>
            <w:r>
              <w:rPr>
                <w:rFonts w:hint="eastAsia" w:ascii="宋体" w:hAnsi="宋体" w:cs="宋体"/>
                <w:kern w:val="0"/>
                <w:szCs w:val="21"/>
                <w:highlight w:val="none"/>
              </w:rPr>
              <w:t>0-24分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pacing w:val="-28"/>
                <w:kern w:val="0"/>
                <w:szCs w:val="21"/>
                <w:highlight w:val="none"/>
              </w:rPr>
            </w:pPr>
            <w:r>
              <w:rPr>
                <w:rFonts w:hint="eastAsia" w:ascii="宋体" w:hAnsi="宋体" w:cs="宋体"/>
                <w:spacing w:val="-28"/>
                <w:kern w:val="0"/>
                <w:szCs w:val="21"/>
                <w:highlight w:val="none"/>
              </w:rPr>
              <w:t>4</w:t>
            </w:r>
          </w:p>
        </w:tc>
        <w:tc>
          <w:tcPr>
            <w:tcW w:w="128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pacing w:val="-6"/>
                <w:szCs w:val="21"/>
                <w:highlight w:val="none"/>
              </w:rPr>
            </w:pPr>
            <w:r>
              <w:rPr>
                <w:rFonts w:hint="eastAsia" w:ascii="宋体" w:hAnsi="宋体" w:cs="宋体"/>
                <w:bCs/>
                <w:szCs w:val="21"/>
                <w:highlight w:val="none"/>
              </w:rPr>
              <w:t>根据对采购人银行业的理解，对于采购人即将实施的网点改造设计进行建议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pacing w:val="-6"/>
                <w:szCs w:val="21"/>
                <w:highlight w:val="none"/>
              </w:rPr>
            </w:pPr>
            <w:r>
              <w:rPr>
                <w:rFonts w:hint="eastAsia" w:ascii="宋体" w:hAnsi="宋体" w:cs="宋体"/>
                <w:spacing w:val="-6"/>
                <w:szCs w:val="21"/>
                <w:highlight w:val="none"/>
              </w:rPr>
              <w:t>初步设计方案</w:t>
            </w:r>
          </w:p>
        </w:tc>
        <w:tc>
          <w:tcPr>
            <w:tcW w:w="668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left"/>
              <w:rPr>
                <w:rFonts w:hint="eastAsia" w:ascii="宋体" w:hAnsi="宋体" w:eastAsia="宋体"/>
                <w:highlight w:val="none"/>
              </w:rPr>
            </w:pPr>
            <w:r>
              <w:rPr>
                <w:rFonts w:hint="eastAsia" w:ascii="宋体" w:hAnsi="宋体" w:eastAsia="宋体"/>
                <w:highlight w:val="none"/>
              </w:rPr>
              <w:t>投标人表述银行网点改造设计项目主题明确特色鲜明，主体设计明确、构思理念新颖，主题特色鲜明、体现当地特色，方案对规划、成果把握到位、展示充分、重点突出。本项最高得4分。</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Cs w:val="21"/>
                <w:highlight w:val="none"/>
              </w:rPr>
            </w:pPr>
            <w:r>
              <w:rPr>
                <w:rFonts w:hint="eastAsia" w:ascii="宋体" w:hAnsi="宋体" w:cs="宋体"/>
                <w:spacing w:val="-6"/>
                <w:kern w:val="0"/>
                <w:szCs w:val="21"/>
                <w:highlight w:val="none"/>
              </w:rPr>
              <w:t>0-4分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pacing w:val="-28"/>
                <w:kern w:val="0"/>
                <w:szCs w:val="21"/>
                <w:highlight w:val="none"/>
              </w:rPr>
            </w:pPr>
            <w:r>
              <w:rPr>
                <w:rFonts w:hint="eastAsia" w:ascii="宋体" w:hAnsi="宋体" w:cs="宋体"/>
                <w:spacing w:val="-28"/>
                <w:kern w:val="0"/>
                <w:szCs w:val="21"/>
                <w:highlight w:val="none"/>
              </w:rPr>
              <w:t>5</w:t>
            </w:r>
          </w:p>
        </w:tc>
        <w:tc>
          <w:tcPr>
            <w:tcW w:w="12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5"/>
              <w:jc w:val="center"/>
              <w:rPr>
                <w:rFonts w:hint="eastAsia" w:ascii="宋体" w:hAnsi="宋体" w:cs="宋体"/>
                <w:spacing w:val="-6"/>
                <w:kern w:val="0"/>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73"/>
              <w:jc w:val="center"/>
              <w:rPr>
                <w:rFonts w:hint="eastAsia" w:ascii="宋体" w:hAnsi="宋体" w:cs="宋体"/>
                <w:bCs/>
                <w:szCs w:val="21"/>
                <w:highlight w:val="none"/>
              </w:rPr>
            </w:pPr>
          </w:p>
        </w:tc>
        <w:tc>
          <w:tcPr>
            <w:tcW w:w="668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left"/>
              <w:rPr>
                <w:rFonts w:hint="eastAsia" w:ascii="宋体" w:hAnsi="宋体" w:eastAsia="宋体"/>
                <w:highlight w:val="none"/>
              </w:rPr>
            </w:pPr>
            <w:r>
              <w:rPr>
                <w:rFonts w:hint="eastAsia" w:ascii="宋体" w:hAnsi="宋体" w:eastAsia="宋体" w:cs="宋体"/>
                <w:bCs/>
                <w:szCs w:val="21"/>
                <w:highlight w:val="none"/>
              </w:rPr>
              <w:t>投标人表述根据银行业装修布局合理功能完善，设计功能分区合理，处理精致，主线明晰，各区间与公共部位间过渡自然，紧密结合。</w:t>
            </w:r>
            <w:r>
              <w:rPr>
                <w:rFonts w:hint="eastAsia" w:ascii="宋体" w:hAnsi="宋体" w:eastAsia="宋体"/>
                <w:highlight w:val="none"/>
              </w:rPr>
              <w:t>本项最高得4分。</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Cs w:val="21"/>
                <w:highlight w:val="none"/>
              </w:rPr>
            </w:pPr>
            <w:r>
              <w:rPr>
                <w:rFonts w:hint="eastAsia" w:ascii="宋体" w:hAnsi="宋体" w:cs="宋体"/>
                <w:spacing w:val="-6"/>
                <w:kern w:val="0"/>
                <w:szCs w:val="21"/>
                <w:highlight w:val="none"/>
              </w:rPr>
              <w:t>0-4分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pacing w:val="-28"/>
                <w:kern w:val="0"/>
                <w:szCs w:val="21"/>
                <w:highlight w:val="none"/>
              </w:rPr>
            </w:pPr>
            <w:r>
              <w:rPr>
                <w:rFonts w:hint="eastAsia" w:ascii="宋体" w:hAnsi="宋体" w:cs="宋体"/>
                <w:spacing w:val="-28"/>
                <w:kern w:val="0"/>
                <w:szCs w:val="21"/>
                <w:highlight w:val="none"/>
              </w:rPr>
              <w:t>6</w:t>
            </w:r>
          </w:p>
        </w:tc>
        <w:tc>
          <w:tcPr>
            <w:tcW w:w="12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5"/>
              <w:jc w:val="center"/>
              <w:rPr>
                <w:rFonts w:hint="eastAsia" w:ascii="宋体" w:hAnsi="宋体" w:cs="宋体"/>
                <w:spacing w:val="-6"/>
                <w:kern w:val="0"/>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73"/>
              <w:jc w:val="center"/>
              <w:rPr>
                <w:rFonts w:hint="eastAsia" w:ascii="宋体" w:hAnsi="宋体" w:cs="宋体"/>
                <w:bCs/>
                <w:szCs w:val="21"/>
                <w:highlight w:val="none"/>
              </w:rPr>
            </w:pPr>
          </w:p>
        </w:tc>
        <w:tc>
          <w:tcPr>
            <w:tcW w:w="668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left"/>
              <w:rPr>
                <w:rFonts w:hint="eastAsia" w:ascii="宋体" w:hAnsi="宋体" w:eastAsia="宋体" w:cs="宋体"/>
                <w:bCs/>
                <w:szCs w:val="21"/>
                <w:highlight w:val="none"/>
              </w:rPr>
            </w:pPr>
            <w:r>
              <w:rPr>
                <w:rFonts w:hint="eastAsia" w:ascii="宋体" w:hAnsi="宋体" w:eastAsia="宋体" w:cs="宋体"/>
                <w:bCs/>
                <w:szCs w:val="21"/>
                <w:highlight w:val="none"/>
              </w:rPr>
              <w:t>对银行软硬件设备及装修改造的融合性、先进性，具有全面性、科学性的理解意见及建议。</w:t>
            </w:r>
            <w:r>
              <w:rPr>
                <w:rFonts w:hint="eastAsia" w:ascii="宋体" w:hAnsi="宋体" w:eastAsia="宋体"/>
                <w:highlight w:val="none"/>
              </w:rPr>
              <w:t>本项最高得4分。</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Cs w:val="21"/>
                <w:highlight w:val="none"/>
              </w:rPr>
            </w:pPr>
            <w:r>
              <w:rPr>
                <w:rFonts w:hint="eastAsia" w:ascii="宋体" w:hAnsi="宋体" w:cs="宋体"/>
                <w:spacing w:val="-6"/>
                <w:kern w:val="0"/>
                <w:szCs w:val="21"/>
                <w:highlight w:val="none"/>
              </w:rPr>
              <w:t>0-4分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pacing w:val="-28"/>
                <w:kern w:val="0"/>
                <w:szCs w:val="21"/>
                <w:highlight w:val="none"/>
              </w:rPr>
            </w:pPr>
            <w:r>
              <w:rPr>
                <w:rFonts w:hint="eastAsia" w:ascii="宋体" w:hAnsi="宋体" w:cs="宋体"/>
                <w:spacing w:val="-28"/>
                <w:kern w:val="0"/>
                <w:szCs w:val="21"/>
                <w:highlight w:val="none"/>
              </w:rPr>
              <w:t>7</w:t>
            </w:r>
          </w:p>
        </w:tc>
        <w:tc>
          <w:tcPr>
            <w:tcW w:w="12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5"/>
              <w:jc w:val="center"/>
              <w:rPr>
                <w:rFonts w:hint="eastAsia" w:ascii="宋体" w:hAnsi="宋体" w:cs="宋体"/>
                <w:spacing w:val="-6"/>
                <w:kern w:val="0"/>
                <w:szCs w:val="21"/>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73"/>
              <w:jc w:val="center"/>
              <w:rPr>
                <w:rFonts w:hint="eastAsia" w:ascii="宋体" w:hAnsi="宋体" w:cs="宋体"/>
                <w:bCs/>
                <w:szCs w:val="21"/>
                <w:highlight w:val="none"/>
              </w:rPr>
            </w:pPr>
          </w:p>
        </w:tc>
        <w:tc>
          <w:tcPr>
            <w:tcW w:w="668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left"/>
              <w:rPr>
                <w:rFonts w:hint="eastAsia" w:ascii="宋体" w:hAnsi="宋体" w:eastAsia="宋体" w:cs="宋体"/>
                <w:bCs/>
                <w:szCs w:val="21"/>
                <w:highlight w:val="none"/>
              </w:rPr>
            </w:pPr>
            <w:r>
              <w:rPr>
                <w:rFonts w:hint="eastAsia" w:ascii="宋体" w:hAnsi="宋体" w:eastAsia="宋体" w:cs="宋体"/>
                <w:bCs/>
                <w:szCs w:val="21"/>
                <w:highlight w:val="none"/>
              </w:rPr>
              <w:t>根据对采购人行业的理解设计方案平面展板深化、设计风格契合银行人员办公空间方案，设计新颖独特。</w:t>
            </w:r>
            <w:r>
              <w:rPr>
                <w:rFonts w:hint="eastAsia" w:ascii="宋体" w:hAnsi="宋体" w:eastAsia="宋体"/>
                <w:highlight w:val="none"/>
              </w:rPr>
              <w:t>本项最高得4分。</w:t>
            </w:r>
          </w:p>
        </w:tc>
        <w:tc>
          <w:tcPr>
            <w:tcW w:w="1090"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cs="宋体"/>
                <w:kern w:val="0"/>
                <w:szCs w:val="21"/>
                <w:highlight w:val="none"/>
              </w:rPr>
            </w:pPr>
            <w:r>
              <w:rPr>
                <w:rFonts w:hint="eastAsia" w:ascii="宋体" w:hAnsi="宋体" w:cs="宋体"/>
                <w:spacing w:val="-6"/>
                <w:kern w:val="0"/>
                <w:szCs w:val="21"/>
                <w:highlight w:val="none"/>
              </w:rPr>
              <w:t>0-4分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pacing w:val="-28"/>
                <w:kern w:val="0"/>
                <w:szCs w:val="21"/>
                <w:highlight w:val="none"/>
              </w:rPr>
            </w:pPr>
            <w:r>
              <w:rPr>
                <w:rFonts w:hint="eastAsia" w:ascii="宋体" w:hAnsi="宋体" w:cs="宋体"/>
                <w:spacing w:val="-28"/>
                <w:kern w:val="0"/>
                <w:szCs w:val="21"/>
                <w:highlight w:val="none"/>
              </w:rPr>
              <w:t>8</w:t>
            </w:r>
          </w:p>
        </w:tc>
        <w:tc>
          <w:tcPr>
            <w:tcW w:w="12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5"/>
              <w:jc w:val="center"/>
              <w:rPr>
                <w:rFonts w:hint="eastAsia" w:ascii="宋体" w:hAnsi="宋体" w:cs="宋体"/>
                <w:spacing w:val="-6"/>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pacing w:val="-6"/>
                <w:kern w:val="0"/>
                <w:szCs w:val="21"/>
                <w:highlight w:val="none"/>
              </w:rPr>
            </w:pPr>
            <w:r>
              <w:rPr>
                <w:rFonts w:hint="eastAsia" w:ascii="宋体" w:hAnsi="宋体" w:cs="宋体"/>
                <w:spacing w:val="-6"/>
                <w:kern w:val="0"/>
                <w:szCs w:val="21"/>
                <w:highlight w:val="none"/>
              </w:rPr>
              <w:t>施工方案</w:t>
            </w:r>
          </w:p>
        </w:tc>
        <w:tc>
          <w:tcPr>
            <w:tcW w:w="668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left"/>
              <w:rPr>
                <w:rFonts w:hint="eastAsia" w:ascii="宋体" w:hAnsi="宋体" w:eastAsia="宋体" w:cs="宋体"/>
                <w:spacing w:val="-6"/>
                <w:highlight w:val="none"/>
              </w:rPr>
            </w:pPr>
            <w:r>
              <w:rPr>
                <w:rFonts w:hint="eastAsia" w:ascii="宋体" w:hAnsi="宋体" w:eastAsia="宋体" w:cs="宋体"/>
                <w:spacing w:val="-6"/>
                <w:highlight w:val="none"/>
              </w:rPr>
              <w:t>由评委根据供应商提供的包含安全文明施工措施、交通安全、扬尘保护、保密安全、水电、</w:t>
            </w:r>
            <w:r>
              <w:rPr>
                <w:rFonts w:ascii="宋体" w:hAnsi="宋体" w:eastAsia="宋体" w:cs="宋体"/>
                <w:spacing w:val="-6"/>
                <w:highlight w:val="none"/>
              </w:rPr>
              <w:t>银行业安全防范、消防工程设施、网点建设标准等</w:t>
            </w:r>
            <w:r>
              <w:rPr>
                <w:rFonts w:hint="eastAsia" w:ascii="宋体" w:hAnsi="宋体" w:eastAsia="宋体" w:cs="宋体"/>
                <w:spacing w:val="-6"/>
                <w:highlight w:val="none"/>
              </w:rPr>
              <w:t>的合理性、严密性等内容但不限于施工方案进行综合评定。本项最高得5分。</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Cs w:val="21"/>
                <w:highlight w:val="none"/>
              </w:rPr>
            </w:pPr>
            <w:r>
              <w:rPr>
                <w:rFonts w:hint="eastAsia" w:ascii="宋体" w:hAnsi="宋体" w:cs="宋体"/>
                <w:spacing w:val="-6"/>
                <w:kern w:val="0"/>
                <w:szCs w:val="21"/>
                <w:highlight w:val="none"/>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pacing w:val="-28"/>
                <w:kern w:val="0"/>
                <w:szCs w:val="21"/>
                <w:highlight w:val="none"/>
              </w:rPr>
            </w:pPr>
            <w:r>
              <w:rPr>
                <w:rFonts w:hint="eastAsia" w:ascii="宋体" w:hAnsi="宋体" w:cs="宋体"/>
                <w:spacing w:val="-28"/>
                <w:kern w:val="0"/>
                <w:szCs w:val="21"/>
                <w:highlight w:val="none"/>
              </w:rPr>
              <w:t>9</w:t>
            </w:r>
          </w:p>
        </w:tc>
        <w:tc>
          <w:tcPr>
            <w:tcW w:w="12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5"/>
              <w:jc w:val="center"/>
              <w:rPr>
                <w:rFonts w:hint="eastAsia" w:ascii="宋体" w:hAnsi="宋体" w:cs="宋体"/>
                <w:spacing w:val="-6"/>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pacing w:val="-6"/>
                <w:kern w:val="0"/>
                <w:szCs w:val="21"/>
                <w:highlight w:val="none"/>
              </w:rPr>
            </w:pPr>
            <w:r>
              <w:rPr>
                <w:rFonts w:hint="eastAsia" w:ascii="宋体" w:hAnsi="宋体" w:cs="宋体"/>
                <w:spacing w:val="-6"/>
                <w:kern w:val="0"/>
                <w:szCs w:val="21"/>
                <w:highlight w:val="none"/>
              </w:rPr>
              <w:t>投资估算</w:t>
            </w:r>
          </w:p>
        </w:tc>
        <w:tc>
          <w:tcPr>
            <w:tcW w:w="6688" w:type="dxa"/>
            <w:tcBorders>
              <w:top w:val="single" w:color="auto" w:sz="4" w:space="0"/>
              <w:left w:val="single" w:color="auto" w:sz="4" w:space="0"/>
              <w:bottom w:val="single" w:color="auto" w:sz="4" w:space="0"/>
              <w:right w:val="single" w:color="auto" w:sz="4" w:space="0"/>
            </w:tcBorders>
            <w:vAlign w:val="center"/>
          </w:tcPr>
          <w:p>
            <w:pPr>
              <w:pStyle w:val="12"/>
              <w:spacing w:line="360" w:lineRule="auto"/>
              <w:ind w:firstLine="0" w:firstLineChars="0"/>
              <w:jc w:val="left"/>
              <w:rPr>
                <w:rFonts w:hint="eastAsia" w:ascii="宋体" w:hAnsi="宋体" w:eastAsia="宋体" w:cs="宋体"/>
                <w:spacing w:val="-6"/>
                <w:highlight w:val="none"/>
              </w:rPr>
            </w:pPr>
            <w:r>
              <w:rPr>
                <w:rFonts w:hint="eastAsia" w:ascii="宋体" w:hAnsi="宋体" w:eastAsia="宋体" w:cs="宋体"/>
                <w:spacing w:val="-6"/>
                <w:highlight w:val="none"/>
              </w:rPr>
              <w:t>采购按相关要求委派项目后，投标人要根据相关材料对采购人即将改造事实的方案进行专业估算，并出具相关成果，投标人表述相关估算方案。</w:t>
            </w:r>
            <w:r>
              <w:rPr>
                <w:rFonts w:hint="eastAsia" w:ascii="宋体" w:hAnsi="宋体" w:eastAsia="宋体"/>
                <w:highlight w:val="none"/>
              </w:rPr>
              <w:t>本项最高得5分。</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kern w:val="0"/>
                <w:szCs w:val="21"/>
                <w:highlight w:val="none"/>
              </w:rPr>
            </w:pPr>
            <w:r>
              <w:rPr>
                <w:rFonts w:hint="eastAsia" w:ascii="宋体" w:hAnsi="宋体" w:cs="宋体"/>
                <w:spacing w:val="-6"/>
                <w:kern w:val="0"/>
                <w:szCs w:val="21"/>
                <w:highlight w:val="none"/>
              </w:rPr>
              <w:t>0-5分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pacing w:val="-6"/>
                <w:kern w:val="0"/>
                <w:szCs w:val="21"/>
                <w:highlight w:val="none"/>
              </w:rPr>
            </w:pPr>
            <w:r>
              <w:rPr>
                <w:rFonts w:hint="eastAsia" w:ascii="宋体" w:hAnsi="宋体" w:cs="宋体"/>
                <w:spacing w:val="-6"/>
                <w:kern w:val="0"/>
                <w:szCs w:val="21"/>
                <w:highlight w:val="none"/>
              </w:rPr>
              <w:t>10</w:t>
            </w:r>
          </w:p>
        </w:tc>
        <w:tc>
          <w:tcPr>
            <w:tcW w:w="12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45"/>
              <w:jc w:val="center"/>
              <w:rPr>
                <w:rFonts w:hint="eastAsia" w:ascii="宋体" w:hAnsi="宋体" w:cs="宋体"/>
                <w:spacing w:val="-6"/>
                <w:kern w:val="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pacing w:val="-6"/>
                <w:kern w:val="0"/>
                <w:szCs w:val="21"/>
                <w:highlight w:val="none"/>
              </w:rPr>
            </w:pPr>
            <w:r>
              <w:rPr>
                <w:rFonts w:hint="eastAsia" w:ascii="宋体" w:hAnsi="宋体" w:cs="宋体"/>
                <w:spacing w:val="-6"/>
                <w:kern w:val="0"/>
                <w:szCs w:val="21"/>
                <w:highlight w:val="none"/>
              </w:rPr>
              <w:t>合理化建议</w:t>
            </w:r>
          </w:p>
        </w:tc>
        <w:tc>
          <w:tcPr>
            <w:tcW w:w="66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cs="宋体"/>
                <w:spacing w:val="-6"/>
                <w:kern w:val="0"/>
                <w:szCs w:val="21"/>
                <w:highlight w:val="none"/>
              </w:rPr>
            </w:pPr>
            <w:r>
              <w:rPr>
                <w:rFonts w:hint="eastAsia" w:ascii="宋体" w:hAnsi="宋体" w:cs="宋体"/>
                <w:spacing w:val="-6"/>
                <w:kern w:val="0"/>
                <w:szCs w:val="21"/>
                <w:highlight w:val="none"/>
              </w:rPr>
              <w:t>根据投标人针对采购人银行业改造项目设计、施工等重点、难点及有针对性的合理化建议或意见进行评审。</w:t>
            </w:r>
            <w:r>
              <w:rPr>
                <w:rFonts w:hint="eastAsia" w:ascii="宋体" w:hAnsi="宋体" w:cstheme="minorBidi"/>
                <w:highlight w:val="none"/>
              </w:rPr>
              <w:t>本项最高得4分。</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cs="宋体"/>
                <w:spacing w:val="-6"/>
                <w:kern w:val="0"/>
                <w:szCs w:val="21"/>
                <w:highlight w:val="none"/>
              </w:rPr>
            </w:pPr>
            <w:r>
              <w:rPr>
                <w:rFonts w:hint="eastAsia" w:ascii="宋体" w:hAnsi="宋体" w:cs="宋体"/>
                <w:spacing w:val="-6"/>
                <w:kern w:val="0"/>
                <w:szCs w:val="21"/>
                <w:highlight w:val="none"/>
              </w:rPr>
              <w:t>0-4分</w:t>
            </w:r>
          </w:p>
        </w:tc>
      </w:tr>
    </w:tbl>
    <w:p>
      <w:pPr>
        <w:snapToGrid w:val="0"/>
        <w:spacing w:line="360" w:lineRule="auto"/>
        <w:rPr>
          <w:rFonts w:ascii="宋体"/>
          <w:sz w:val="24"/>
          <w:highlight w:val="none"/>
        </w:rPr>
      </w:pPr>
      <w:r>
        <w:rPr>
          <w:rFonts w:hint="eastAsia" w:ascii="宋体" w:hAnsi="宋体"/>
          <w:sz w:val="24"/>
          <w:highlight w:val="none"/>
        </w:rPr>
        <w:t>注：1）以上凡涉及的要求提供各类业绩合同、证书、社保、表彰等证明材料，投标人提供该资料的复印件，同时在复印件上加盖投标人单位公章，并把复印件装订在</w:t>
      </w:r>
      <w:r>
        <w:rPr>
          <w:rFonts w:hint="eastAsia" w:ascii="宋体" w:hAnsi="宋体"/>
          <w:b/>
          <w:color w:val="FF0000"/>
          <w:sz w:val="24"/>
          <w:highlight w:val="none"/>
        </w:rPr>
        <w:t>投标文件</w:t>
      </w:r>
      <w:r>
        <w:rPr>
          <w:rFonts w:hint="eastAsia" w:ascii="宋体" w:hAnsi="宋体"/>
          <w:sz w:val="24"/>
          <w:highlight w:val="none"/>
        </w:rPr>
        <w:t>中，未提供复印件或复印件未盖公章的，则不能得分。</w:t>
      </w:r>
    </w:p>
    <w:p>
      <w:pPr>
        <w:tabs>
          <w:tab w:val="left" w:pos="3870"/>
          <w:tab w:val="left" w:pos="4085"/>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2）不得虚报、瞒报，如有虚报、瞒报、造假的，一经发现，其投标作无效处理；</w:t>
      </w:r>
    </w:p>
    <w:p>
      <w:pPr>
        <w:tabs>
          <w:tab w:val="left" w:pos="3870"/>
          <w:tab w:val="left" w:pos="4085"/>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3）如是评标得分的材料不能提供的，则相应内容不得分。</w:t>
      </w:r>
    </w:p>
    <w:p>
      <w:pPr>
        <w:tabs>
          <w:tab w:val="left" w:pos="3870"/>
          <w:tab w:val="left" w:pos="4085"/>
        </w:tabs>
        <w:snapToGrid w:val="0"/>
        <w:spacing w:line="360" w:lineRule="auto"/>
        <w:ind w:firstLine="480" w:firstLineChars="200"/>
        <w:rPr>
          <w:rFonts w:hint="eastAsia" w:ascii="宋体" w:hAnsi="宋体"/>
          <w:b/>
          <w:bCs/>
          <w:sz w:val="24"/>
          <w:highlight w:val="none"/>
        </w:rPr>
      </w:pPr>
      <w:r>
        <w:rPr>
          <w:rFonts w:hint="eastAsia" w:ascii="宋体" w:hAnsi="宋体"/>
          <w:sz w:val="24"/>
          <w:highlight w:val="none"/>
        </w:rPr>
        <w:t>4）技术商务分的计算：技术商务分按照评标委员会成员的独立评分结果汇总数,以算术平均分计算，计算公式为：</w:t>
      </w:r>
      <w:r>
        <w:rPr>
          <w:rFonts w:hint="eastAsia" w:ascii="宋体" w:hAnsi="宋体"/>
          <w:b/>
          <w:bCs/>
          <w:sz w:val="24"/>
          <w:highlight w:val="none"/>
        </w:rPr>
        <w:t>技术商务分=（评标委员会所有成员评分合计数）/（评标委员会组成人员数）</w:t>
      </w:r>
    </w:p>
    <w:p>
      <w:pPr>
        <w:pStyle w:val="3"/>
        <w:spacing w:before="0" w:after="0"/>
        <w:ind w:firstLine="630"/>
        <w:rPr>
          <w:rFonts w:hint="eastAsia" w:hAnsi="宋体"/>
          <w:sz w:val="28"/>
          <w:szCs w:val="28"/>
          <w:highlight w:val="none"/>
        </w:rPr>
      </w:pPr>
      <w:r>
        <w:rPr>
          <w:rFonts w:hint="eastAsia" w:hAnsi="宋体"/>
          <w:b w:val="0"/>
          <w:sz w:val="28"/>
          <w:szCs w:val="28"/>
          <w:highlight w:val="none"/>
        </w:rPr>
        <w:br w:type="page"/>
      </w:r>
      <w:bookmarkStart w:id="90" w:name="_Toc3316"/>
      <w:bookmarkStart w:id="91" w:name="_Toc44215504"/>
      <w:bookmarkStart w:id="92" w:name="_Toc194217895"/>
      <w:bookmarkStart w:id="93" w:name="_Toc177870561"/>
      <w:r>
        <w:rPr>
          <w:rFonts w:hint="eastAsia" w:hAnsi="宋体"/>
          <w:szCs w:val="24"/>
          <w:highlight w:val="none"/>
        </w:rPr>
        <w:t>第四章 采购需求</w:t>
      </w:r>
      <w:bookmarkEnd w:id="90"/>
    </w:p>
    <w:p>
      <w:pPr>
        <w:tabs>
          <w:tab w:val="left" w:pos="0"/>
        </w:tabs>
        <w:adjustRightInd w:val="0"/>
        <w:snapToGrid w:val="0"/>
        <w:spacing w:line="360" w:lineRule="auto"/>
        <w:ind w:firstLine="542"/>
        <w:rPr>
          <w:rFonts w:hint="eastAsia" w:ascii="宋体" w:hAnsi="宋体" w:cs="宋体"/>
          <w:b/>
          <w:bCs/>
          <w:kern w:val="0"/>
          <w:sz w:val="24"/>
          <w:highlight w:val="none"/>
        </w:rPr>
      </w:pPr>
      <w:r>
        <w:rPr>
          <w:rFonts w:hint="eastAsia" w:ascii="宋体" w:hAnsi="宋体" w:cs="宋体"/>
          <w:b/>
          <w:bCs/>
          <w:kern w:val="0"/>
          <w:sz w:val="24"/>
          <w:highlight w:val="none"/>
        </w:rPr>
        <w:t>一、项目概况</w:t>
      </w:r>
    </w:p>
    <w:p>
      <w:pPr>
        <w:tabs>
          <w:tab w:val="left" w:pos="3870"/>
          <w:tab w:val="left" w:pos="4085"/>
        </w:tabs>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本项目位于桐庐县，本次招标的范围：</w:t>
      </w:r>
      <w:r>
        <w:rPr>
          <w:rFonts w:hint="eastAsia"/>
          <w:sz w:val="24"/>
          <w:highlight w:val="none"/>
        </w:rPr>
        <w:t>桐庐农商银行营业网点及办公场所装修设计服务单位入围项目</w:t>
      </w:r>
    </w:p>
    <w:p>
      <w:pPr>
        <w:tabs>
          <w:tab w:val="left" w:pos="0"/>
        </w:tabs>
        <w:adjustRightInd w:val="0"/>
        <w:snapToGrid w:val="0"/>
        <w:spacing w:line="360" w:lineRule="auto"/>
        <w:ind w:firstLine="542"/>
        <w:rPr>
          <w:rFonts w:hint="eastAsia" w:ascii="宋体" w:hAnsi="宋体" w:cs="宋体"/>
          <w:b/>
          <w:bCs/>
          <w:kern w:val="0"/>
          <w:sz w:val="24"/>
          <w:highlight w:val="none"/>
        </w:rPr>
      </w:pPr>
      <w:r>
        <w:rPr>
          <w:rFonts w:hint="eastAsia" w:ascii="宋体" w:hAnsi="宋体" w:cs="宋体"/>
          <w:b/>
          <w:bCs/>
          <w:kern w:val="0"/>
          <w:sz w:val="24"/>
          <w:highlight w:val="none"/>
        </w:rPr>
        <w:t>二、服务内容（包括但不限于以下内容）</w:t>
      </w:r>
    </w:p>
    <w:p>
      <w:pPr>
        <w:tabs>
          <w:tab w:val="left" w:pos="3870"/>
          <w:tab w:val="left" w:pos="4085"/>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（1）方案设计及优化【含项目投资总估算、可行性研究报告编制及报批（如有）】；</w:t>
      </w:r>
    </w:p>
    <w:p>
      <w:pPr>
        <w:tabs>
          <w:tab w:val="left" w:pos="3870"/>
          <w:tab w:val="left" w:pos="4085"/>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（2）中标后的方案调整深化及报批；</w:t>
      </w:r>
    </w:p>
    <w:p>
      <w:pPr>
        <w:tabs>
          <w:tab w:val="left" w:pos="3870"/>
          <w:tab w:val="left" w:pos="4085"/>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（3）初步设计【含投资概算编制及报批、效果图、鸟瞰图等（如有）】；</w:t>
      </w:r>
    </w:p>
    <w:p>
      <w:pPr>
        <w:tabs>
          <w:tab w:val="left" w:pos="3870"/>
          <w:tab w:val="left" w:pos="4085"/>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（4）施工图设计（如需图审积极配合、报批配合、后续招标配合）及相关服务；</w:t>
      </w:r>
    </w:p>
    <w:p>
      <w:pPr>
        <w:tabs>
          <w:tab w:val="left" w:pos="3870"/>
          <w:tab w:val="left" w:pos="4085"/>
        </w:tabs>
        <w:snapToGrid w:val="0"/>
        <w:spacing w:line="360" w:lineRule="auto"/>
        <w:ind w:firstLine="480" w:firstLineChars="200"/>
        <w:rPr>
          <w:rFonts w:hint="eastAsia" w:ascii="宋体" w:hAnsi="宋体"/>
          <w:sz w:val="24"/>
          <w:highlight w:val="none"/>
        </w:rPr>
      </w:pPr>
      <w:r>
        <w:rPr>
          <w:rFonts w:hint="eastAsia" w:ascii="宋体" w:hAnsi="宋体"/>
          <w:sz w:val="24"/>
          <w:highlight w:val="none"/>
        </w:rPr>
        <w:t>（5）相关服务【包括图审服务及相关服务费用；相关报建配合：施工及设备等招标配合，并承担图纸会审、技术交底、施工现场服务、现场技术指导与监督、竣工验收、完成备案后续服务、信访配合等一切费用】。</w:t>
      </w:r>
    </w:p>
    <w:p>
      <w:pPr>
        <w:tabs>
          <w:tab w:val="left" w:pos="0"/>
        </w:tabs>
        <w:adjustRightInd w:val="0"/>
        <w:snapToGrid w:val="0"/>
        <w:spacing w:line="360" w:lineRule="auto"/>
        <w:ind w:firstLine="542"/>
        <w:rPr>
          <w:rFonts w:hint="eastAsia" w:ascii="宋体" w:hAnsi="宋体" w:cs="宋体"/>
          <w:b/>
          <w:bCs/>
          <w:kern w:val="0"/>
          <w:sz w:val="24"/>
          <w:highlight w:val="none"/>
        </w:rPr>
      </w:pPr>
      <w:r>
        <w:rPr>
          <w:rFonts w:hint="eastAsia" w:ascii="宋体" w:hAnsi="宋体" w:cs="宋体"/>
          <w:b/>
          <w:bCs/>
          <w:kern w:val="0"/>
          <w:sz w:val="24"/>
          <w:highlight w:val="none"/>
        </w:rPr>
        <w:t>三、服务期：</w:t>
      </w:r>
    </w:p>
    <w:p>
      <w:pPr>
        <w:tabs>
          <w:tab w:val="left" w:pos="0"/>
        </w:tabs>
        <w:adjustRightInd w:val="0"/>
        <w:snapToGrid w:val="0"/>
        <w:spacing w:line="360" w:lineRule="auto"/>
        <w:ind w:firstLine="480" w:firstLineChars="200"/>
        <w:rPr>
          <w:rFonts w:hint="eastAsia" w:ascii="宋体" w:hAnsi="宋体"/>
          <w:sz w:val="24"/>
          <w:highlight w:val="none"/>
        </w:rPr>
      </w:pPr>
      <w:r>
        <w:rPr>
          <w:rFonts w:hint="eastAsia" w:ascii="宋体" w:hAnsi="宋体"/>
          <w:sz w:val="24"/>
          <w:highlight w:val="none"/>
        </w:rPr>
        <w:t>三年。</w:t>
      </w:r>
    </w:p>
    <w:p>
      <w:pPr>
        <w:tabs>
          <w:tab w:val="left" w:pos="0"/>
        </w:tabs>
        <w:adjustRightInd w:val="0"/>
        <w:snapToGrid w:val="0"/>
        <w:spacing w:line="360" w:lineRule="auto"/>
        <w:ind w:firstLine="542"/>
        <w:rPr>
          <w:rFonts w:hint="eastAsia" w:ascii="宋体" w:hAnsi="宋体" w:cs="宋体"/>
          <w:b/>
          <w:bCs/>
          <w:kern w:val="0"/>
          <w:sz w:val="24"/>
          <w:highlight w:val="none"/>
        </w:rPr>
      </w:pPr>
      <w:r>
        <w:rPr>
          <w:rFonts w:hint="eastAsia" w:ascii="宋体" w:hAnsi="宋体" w:cs="宋体"/>
          <w:b/>
          <w:bCs/>
          <w:kern w:val="0"/>
          <w:sz w:val="24"/>
          <w:highlight w:val="none"/>
        </w:rPr>
        <w:t>四、付款要求：</w:t>
      </w:r>
    </w:p>
    <w:p>
      <w:pPr>
        <w:spacing w:line="360" w:lineRule="auto"/>
        <w:ind w:firstLine="540"/>
        <w:rPr>
          <w:rFonts w:hint="eastAsia" w:ascii="宋体" w:hAnsi="宋体" w:cs="宋体"/>
          <w:color w:val="000000"/>
          <w:sz w:val="24"/>
          <w:highlight w:val="none"/>
        </w:rPr>
      </w:pPr>
      <w:r>
        <w:rPr>
          <w:rFonts w:hint="eastAsia" w:ascii="宋体" w:hAnsi="宋体" w:cs="宋体"/>
          <w:color w:val="000000"/>
          <w:sz w:val="24"/>
          <w:highlight w:val="none"/>
        </w:rPr>
        <w:t>第一阶段: 合同签订后7个工作日内支付合同价款的10%（预付款）；</w:t>
      </w:r>
    </w:p>
    <w:p>
      <w:pPr>
        <w:spacing w:line="360" w:lineRule="auto"/>
        <w:ind w:firstLine="540"/>
        <w:rPr>
          <w:rFonts w:hint="eastAsia" w:ascii="宋体" w:hAnsi="宋体" w:cs="宋体"/>
          <w:color w:val="000000"/>
          <w:sz w:val="24"/>
          <w:highlight w:val="none"/>
        </w:rPr>
      </w:pPr>
      <w:r>
        <w:rPr>
          <w:rFonts w:hint="eastAsia" w:ascii="宋体" w:hAnsi="宋体" w:cs="宋体"/>
          <w:color w:val="000000"/>
          <w:sz w:val="24"/>
          <w:highlight w:val="none"/>
        </w:rPr>
        <w:t>第二阶段：方案设计阶段完成支付至总费用的40%；</w:t>
      </w:r>
    </w:p>
    <w:p>
      <w:pPr>
        <w:spacing w:line="360" w:lineRule="auto"/>
        <w:ind w:firstLine="540"/>
        <w:rPr>
          <w:rFonts w:hint="eastAsia" w:ascii="宋体" w:hAnsi="宋体" w:cs="宋体"/>
          <w:color w:val="000000"/>
          <w:sz w:val="24"/>
          <w:highlight w:val="none"/>
        </w:rPr>
      </w:pPr>
      <w:r>
        <w:rPr>
          <w:rFonts w:hint="eastAsia" w:ascii="宋体" w:hAnsi="宋体" w:cs="宋体"/>
          <w:color w:val="000000"/>
          <w:sz w:val="24"/>
          <w:highlight w:val="none"/>
        </w:rPr>
        <w:t>第三阶段：施工图阶段完成支付至最终设计费的60%。</w:t>
      </w:r>
    </w:p>
    <w:p>
      <w:pPr>
        <w:spacing w:line="360" w:lineRule="auto"/>
        <w:ind w:firstLine="540"/>
        <w:rPr>
          <w:rFonts w:hint="eastAsia" w:ascii="宋体" w:hAnsi="宋体" w:cs="宋体"/>
          <w:color w:val="000000"/>
          <w:sz w:val="24"/>
          <w:highlight w:val="none"/>
        </w:rPr>
      </w:pPr>
      <w:r>
        <w:rPr>
          <w:rFonts w:hint="eastAsia" w:ascii="宋体" w:hAnsi="宋体" w:cs="宋体"/>
          <w:color w:val="000000"/>
          <w:sz w:val="24"/>
          <w:highlight w:val="none"/>
        </w:rPr>
        <w:t>第四阶段：竣工完成后并经采购人确认合格后付清余款。</w:t>
      </w:r>
    </w:p>
    <w:p>
      <w:pPr>
        <w:tabs>
          <w:tab w:val="left" w:pos="0"/>
        </w:tabs>
        <w:adjustRightInd w:val="0"/>
        <w:snapToGrid w:val="0"/>
        <w:spacing w:line="360" w:lineRule="auto"/>
        <w:ind w:firstLine="542"/>
        <w:rPr>
          <w:rFonts w:hint="eastAsia" w:ascii="宋体" w:hAnsi="宋体" w:cs="宋体"/>
          <w:b/>
          <w:bCs/>
          <w:kern w:val="0"/>
          <w:sz w:val="24"/>
          <w:highlight w:val="none"/>
        </w:rPr>
      </w:pPr>
      <w:r>
        <w:rPr>
          <w:rFonts w:hint="eastAsia" w:ascii="宋体" w:hAnsi="宋体" w:cs="宋体"/>
          <w:b/>
          <w:bCs/>
          <w:kern w:val="0"/>
          <w:sz w:val="24"/>
          <w:highlight w:val="none"/>
        </w:rPr>
        <w:t>五、人员配备</w:t>
      </w:r>
    </w:p>
    <w:tbl>
      <w:tblPr>
        <w:tblStyle w:val="41"/>
        <w:tblW w:w="10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908"/>
        <w:gridCol w:w="672"/>
        <w:gridCol w:w="915"/>
        <w:gridCol w:w="892"/>
        <w:gridCol w:w="1163"/>
        <w:gridCol w:w="975"/>
        <w:gridCol w:w="713"/>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4" w:type="dxa"/>
            <w:gridSpan w:val="9"/>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r>
              <w:rPr>
                <w:rFonts w:hint="eastAsia" w:ascii="宋体" w:hAnsi="宋体" w:cs="宋体"/>
                <w:b/>
                <w:bCs/>
                <w:kern w:val="0"/>
                <w:szCs w:val="21"/>
                <w:highlight w:val="none"/>
              </w:rPr>
              <w:t>拟投入主要设计人员汇总表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序号</w:t>
            </w:r>
          </w:p>
        </w:tc>
        <w:tc>
          <w:tcPr>
            <w:tcW w:w="1908" w:type="dxa"/>
            <w:vMerge w:val="restart"/>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本项目任职</w:t>
            </w:r>
          </w:p>
        </w:tc>
        <w:tc>
          <w:tcPr>
            <w:tcW w:w="672" w:type="dxa"/>
            <w:vMerge w:val="restart"/>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姓名</w:t>
            </w:r>
          </w:p>
        </w:tc>
        <w:tc>
          <w:tcPr>
            <w:tcW w:w="915" w:type="dxa"/>
            <w:vMerge w:val="restart"/>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职称</w:t>
            </w:r>
          </w:p>
        </w:tc>
        <w:tc>
          <w:tcPr>
            <w:tcW w:w="892" w:type="dxa"/>
            <w:vMerge w:val="restart"/>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专业</w:t>
            </w:r>
          </w:p>
        </w:tc>
        <w:tc>
          <w:tcPr>
            <w:tcW w:w="2851" w:type="dxa"/>
            <w:gridSpan w:val="3"/>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执业或职业资格证明</w:t>
            </w:r>
          </w:p>
        </w:tc>
        <w:tc>
          <w:tcPr>
            <w:tcW w:w="2280" w:type="dxa"/>
            <w:vMerge w:val="restart"/>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人员资格要求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1908" w:type="dxa"/>
            <w:vMerge w:val="continue"/>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672" w:type="dxa"/>
            <w:vMerge w:val="continue"/>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915" w:type="dxa"/>
            <w:vMerge w:val="continue"/>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892" w:type="dxa"/>
            <w:vMerge w:val="continue"/>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1163" w:type="dxa"/>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证书名称</w:t>
            </w:r>
          </w:p>
        </w:tc>
        <w:tc>
          <w:tcPr>
            <w:tcW w:w="975" w:type="dxa"/>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级别</w:t>
            </w:r>
          </w:p>
        </w:tc>
        <w:tc>
          <w:tcPr>
            <w:tcW w:w="713" w:type="dxa"/>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证号</w:t>
            </w:r>
          </w:p>
        </w:tc>
        <w:tc>
          <w:tcPr>
            <w:tcW w:w="2280" w:type="dxa"/>
            <w:vMerge w:val="continue"/>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1</w:t>
            </w:r>
          </w:p>
        </w:tc>
        <w:tc>
          <w:tcPr>
            <w:tcW w:w="1908" w:type="dxa"/>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项目负责人</w:t>
            </w:r>
          </w:p>
        </w:tc>
        <w:tc>
          <w:tcPr>
            <w:tcW w:w="672"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915"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892"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1163"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975"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713"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2280" w:type="dxa"/>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具有一级注册建筑师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2</w:t>
            </w:r>
          </w:p>
        </w:tc>
        <w:tc>
          <w:tcPr>
            <w:tcW w:w="1908" w:type="dxa"/>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建筑设计负责人</w:t>
            </w:r>
          </w:p>
        </w:tc>
        <w:tc>
          <w:tcPr>
            <w:tcW w:w="672"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915"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892"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1163"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975"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713"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2280" w:type="dxa"/>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具有一级注册建筑师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3</w:t>
            </w:r>
          </w:p>
        </w:tc>
        <w:tc>
          <w:tcPr>
            <w:tcW w:w="1908" w:type="dxa"/>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结构设计负责人</w:t>
            </w:r>
          </w:p>
        </w:tc>
        <w:tc>
          <w:tcPr>
            <w:tcW w:w="672"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915"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892"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1163"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975"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713"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2280" w:type="dxa"/>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具有一级注册结构工程师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4</w:t>
            </w:r>
          </w:p>
        </w:tc>
        <w:tc>
          <w:tcPr>
            <w:tcW w:w="1908" w:type="dxa"/>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给排水设计负责人</w:t>
            </w:r>
          </w:p>
        </w:tc>
        <w:tc>
          <w:tcPr>
            <w:tcW w:w="672"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915"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892"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1163"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975"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713"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2280" w:type="dxa"/>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具有注册公用设备工程师（给排水）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5</w:t>
            </w:r>
          </w:p>
        </w:tc>
        <w:tc>
          <w:tcPr>
            <w:tcW w:w="1908" w:type="dxa"/>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电气设计负责人</w:t>
            </w:r>
          </w:p>
        </w:tc>
        <w:tc>
          <w:tcPr>
            <w:tcW w:w="672"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915"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892"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1163"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975"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713"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2280" w:type="dxa"/>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具有注册电气工程师（供配电）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6</w:t>
            </w:r>
          </w:p>
        </w:tc>
        <w:tc>
          <w:tcPr>
            <w:tcW w:w="1908" w:type="dxa"/>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景观设计负责人</w:t>
            </w:r>
          </w:p>
        </w:tc>
        <w:tc>
          <w:tcPr>
            <w:tcW w:w="672"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915"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892"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1163"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975"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713"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2280" w:type="dxa"/>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具有园林、景观或风景园林专业中级及以上职称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7</w:t>
            </w:r>
          </w:p>
        </w:tc>
        <w:tc>
          <w:tcPr>
            <w:tcW w:w="1908" w:type="dxa"/>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造价负责人</w:t>
            </w:r>
          </w:p>
        </w:tc>
        <w:tc>
          <w:tcPr>
            <w:tcW w:w="672"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915"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892"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1163"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975"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713" w:type="dxa"/>
            <w:vAlign w:val="center"/>
          </w:tcPr>
          <w:p>
            <w:pPr>
              <w:tabs>
                <w:tab w:val="left" w:pos="0"/>
              </w:tabs>
              <w:adjustRightInd w:val="0"/>
              <w:snapToGrid w:val="0"/>
              <w:spacing w:line="360" w:lineRule="auto"/>
              <w:ind w:firstLine="474"/>
              <w:jc w:val="center"/>
              <w:rPr>
                <w:rFonts w:hint="eastAsia" w:ascii="宋体" w:hAnsi="宋体" w:cs="宋体"/>
                <w:b/>
                <w:bCs/>
                <w:kern w:val="0"/>
                <w:szCs w:val="21"/>
                <w:highlight w:val="none"/>
              </w:rPr>
            </w:pPr>
          </w:p>
        </w:tc>
        <w:tc>
          <w:tcPr>
            <w:tcW w:w="2280" w:type="dxa"/>
            <w:vAlign w:val="center"/>
          </w:tcPr>
          <w:p>
            <w:pPr>
              <w:tabs>
                <w:tab w:val="left" w:pos="0"/>
              </w:tabs>
              <w:adjustRightInd w:val="0"/>
              <w:snapToGrid w:val="0"/>
              <w:spacing w:line="360" w:lineRule="auto"/>
              <w:jc w:val="center"/>
              <w:rPr>
                <w:rFonts w:hint="eastAsia" w:ascii="宋体" w:hAnsi="宋体" w:cs="宋体"/>
                <w:b/>
                <w:bCs/>
                <w:kern w:val="0"/>
                <w:szCs w:val="21"/>
                <w:highlight w:val="none"/>
              </w:rPr>
            </w:pPr>
            <w:r>
              <w:rPr>
                <w:rFonts w:hint="eastAsia" w:ascii="宋体" w:hAnsi="宋体" w:cs="宋体"/>
                <w:b/>
                <w:bCs/>
                <w:kern w:val="0"/>
                <w:szCs w:val="21"/>
                <w:highlight w:val="none"/>
              </w:rPr>
              <w:t>具有一级注册造价师证书</w:t>
            </w:r>
          </w:p>
        </w:tc>
      </w:tr>
    </w:tbl>
    <w:p>
      <w:pPr>
        <w:tabs>
          <w:tab w:val="left" w:pos="0"/>
        </w:tabs>
        <w:adjustRightInd w:val="0"/>
        <w:snapToGrid w:val="0"/>
        <w:spacing w:line="360" w:lineRule="auto"/>
        <w:ind w:firstLine="542"/>
        <w:rPr>
          <w:rFonts w:hint="eastAsia" w:ascii="宋体" w:hAnsi="宋体" w:cs="宋体"/>
          <w:b/>
          <w:bCs/>
          <w:kern w:val="0"/>
          <w:sz w:val="24"/>
          <w:highlight w:val="none"/>
        </w:rPr>
      </w:pPr>
    </w:p>
    <w:bookmarkEnd w:id="91"/>
    <w:p>
      <w:pPr>
        <w:ind w:firstLine="542"/>
        <w:rPr>
          <w:rStyle w:val="48"/>
          <w:highlight w:val="none"/>
        </w:rPr>
      </w:pPr>
      <w:r>
        <w:rPr>
          <w:rStyle w:val="48"/>
          <w:rFonts w:hint="eastAsia"/>
          <w:highlight w:val="none"/>
        </w:rPr>
        <w:br w:type="page"/>
      </w:r>
    </w:p>
    <w:p>
      <w:pPr>
        <w:pStyle w:val="3"/>
        <w:ind w:firstLine="542"/>
        <w:rPr>
          <w:highlight w:val="none"/>
        </w:rPr>
      </w:pPr>
      <w:bookmarkStart w:id="94" w:name="_Toc28010"/>
      <w:r>
        <w:rPr>
          <w:rFonts w:hint="eastAsia"/>
          <w:highlight w:val="none"/>
        </w:rPr>
        <w:t>第五章 采购合同</w:t>
      </w:r>
      <w:bookmarkEnd w:id="94"/>
    </w:p>
    <w:p>
      <w:pPr>
        <w:pStyle w:val="3"/>
        <w:ind w:firstLine="542"/>
        <w:rPr>
          <w:highlight w:val="none"/>
        </w:rPr>
      </w:pPr>
      <w:r>
        <w:rPr>
          <w:highlight w:val="none"/>
        </w:rPr>
        <w:t xml:space="preserve"> </w:t>
      </w:r>
    </w:p>
    <w:p>
      <w:pPr>
        <w:pStyle w:val="80"/>
        <w:spacing w:before="0" w:line="420" w:lineRule="exact"/>
        <w:ind w:firstLineChars="0"/>
        <w:jc w:val="center"/>
        <w:rPr>
          <w:rFonts w:hint="eastAsia" w:ascii="宋体" w:hAnsi="宋体" w:cs="宋体"/>
          <w:highlight w:val="none"/>
        </w:rPr>
      </w:pPr>
      <w:r>
        <w:rPr>
          <w:rFonts w:hint="eastAsia" w:ascii="宋体" w:hAnsi="宋体" w:cs="宋体"/>
          <w:highlight w:val="none"/>
        </w:rPr>
        <w:t>（具体文本以实际签署的为准）</w:t>
      </w:r>
    </w:p>
    <w:p>
      <w:pPr>
        <w:pStyle w:val="127"/>
        <w:ind w:firstLine="540"/>
        <w:jc w:val="center"/>
        <w:rPr>
          <w:rFonts w:hint="eastAsia" w:ascii="宋体" w:hAnsi="宋体" w:cs="宋体"/>
          <w:kern w:val="2"/>
          <w:sz w:val="24"/>
          <w:szCs w:val="24"/>
          <w:highlight w:val="none"/>
        </w:rPr>
      </w:pPr>
    </w:p>
    <w:p>
      <w:pPr>
        <w:pStyle w:val="127"/>
        <w:ind w:firstLine="0"/>
        <w:jc w:val="center"/>
        <w:rPr>
          <w:rFonts w:hint="eastAsia" w:ascii="宋体" w:hAnsi="宋体" w:cs="宋体"/>
          <w:kern w:val="2"/>
          <w:sz w:val="32"/>
          <w:szCs w:val="32"/>
          <w:highlight w:val="none"/>
        </w:rPr>
      </w:pPr>
      <w:r>
        <w:rPr>
          <w:rFonts w:hint="eastAsia" w:ascii="宋体" w:hAnsi="宋体" w:cs="宋体"/>
          <w:kern w:val="2"/>
          <w:sz w:val="32"/>
          <w:szCs w:val="32"/>
          <w:highlight w:val="none"/>
        </w:rPr>
        <w:t>桐庐农商银行营业网点及办公场所装修设计服务单位入围项目</w:t>
      </w:r>
    </w:p>
    <w:p>
      <w:pPr>
        <w:pStyle w:val="127"/>
        <w:ind w:firstLine="0"/>
        <w:jc w:val="center"/>
        <w:rPr>
          <w:rFonts w:hint="eastAsia" w:ascii="宋体" w:hAnsi="宋体" w:cs="宋体"/>
          <w:kern w:val="2"/>
          <w:sz w:val="32"/>
          <w:szCs w:val="32"/>
          <w:highlight w:val="none"/>
        </w:rPr>
      </w:pPr>
      <w:r>
        <w:rPr>
          <w:rFonts w:hint="eastAsia" w:ascii="宋体" w:hAnsi="宋体" w:cs="宋体"/>
          <w:kern w:val="2"/>
          <w:sz w:val="32"/>
          <w:szCs w:val="32"/>
          <w:highlight w:val="none"/>
        </w:rPr>
        <w:t>入围协议</w:t>
      </w:r>
    </w:p>
    <w:p>
      <w:pPr>
        <w:pStyle w:val="127"/>
        <w:ind w:firstLine="540"/>
        <w:rPr>
          <w:rFonts w:hint="eastAsia" w:ascii="宋体" w:hAnsi="宋体" w:cs="宋体"/>
          <w:kern w:val="2"/>
          <w:sz w:val="24"/>
          <w:szCs w:val="24"/>
          <w:highlight w:val="none"/>
        </w:rPr>
      </w:pPr>
    </w:p>
    <w:p>
      <w:pPr>
        <w:spacing w:before="120" w:line="22" w:lineRule="atLeast"/>
        <w:rPr>
          <w:rFonts w:hint="eastAsia" w:ascii="宋体" w:hAnsi="宋体" w:cs="宋体"/>
          <w:sz w:val="24"/>
          <w:highlight w:val="none"/>
        </w:rPr>
      </w:pPr>
    </w:p>
    <w:p>
      <w:pPr>
        <w:spacing w:before="120" w:line="22" w:lineRule="atLeast"/>
        <w:ind w:firstLine="480" w:firstLineChars="200"/>
        <w:rPr>
          <w:rFonts w:hint="eastAsia" w:ascii="宋体" w:hAnsi="宋体" w:cs="宋体"/>
          <w:sz w:val="24"/>
          <w:highlight w:val="none"/>
        </w:rPr>
      </w:pPr>
      <w:r>
        <w:rPr>
          <w:rFonts w:hint="eastAsia" w:ascii="宋体" w:hAnsi="宋体" w:cs="宋体"/>
          <w:sz w:val="24"/>
          <w:highlight w:val="none"/>
        </w:rPr>
        <w:t>项目名称：桐庐农商银行营业网点及办公场所装修设计服务单位入围项目</w:t>
      </w:r>
    </w:p>
    <w:p>
      <w:pPr>
        <w:spacing w:before="120" w:line="22" w:lineRule="atLeast"/>
        <w:ind w:firstLine="480" w:firstLineChars="200"/>
        <w:rPr>
          <w:rFonts w:hint="eastAsia" w:ascii="宋体" w:hAnsi="宋体" w:cs="宋体"/>
          <w:sz w:val="24"/>
          <w:highlight w:val="none"/>
        </w:rPr>
      </w:pPr>
    </w:p>
    <w:p>
      <w:pPr>
        <w:pStyle w:val="128"/>
        <w:spacing w:before="120" w:line="22" w:lineRule="atLeast"/>
        <w:rPr>
          <w:rFonts w:hint="eastAsia" w:ascii="宋体" w:hAnsi="宋体" w:eastAsia="宋体" w:cs="宋体"/>
          <w:szCs w:val="24"/>
          <w:highlight w:val="none"/>
        </w:rPr>
      </w:pPr>
    </w:p>
    <w:p>
      <w:pPr>
        <w:rPr>
          <w:rFonts w:hint="eastAsia" w:ascii="宋体" w:hAnsi="宋体" w:cs="宋体"/>
          <w:sz w:val="24"/>
          <w:highlight w:val="none"/>
        </w:rPr>
      </w:pPr>
    </w:p>
    <w:p>
      <w:pPr>
        <w:spacing w:before="120" w:line="22" w:lineRule="atLeast"/>
        <w:ind w:firstLine="480" w:firstLineChars="200"/>
        <w:rPr>
          <w:rFonts w:hint="eastAsia" w:ascii="宋体" w:hAnsi="宋体" w:cs="宋体"/>
          <w:sz w:val="24"/>
          <w:highlight w:val="none"/>
        </w:rPr>
      </w:pPr>
      <w:r>
        <w:rPr>
          <w:rFonts w:hint="eastAsia" w:ascii="宋体" w:hAnsi="宋体" w:cs="宋体"/>
          <w:sz w:val="24"/>
          <w:highlight w:val="none"/>
        </w:rPr>
        <w:t>甲方：</w:t>
      </w:r>
    </w:p>
    <w:p>
      <w:pPr>
        <w:spacing w:before="120" w:line="22" w:lineRule="atLeast"/>
        <w:rPr>
          <w:rFonts w:hint="eastAsia" w:ascii="宋体" w:hAnsi="宋体" w:cs="宋体"/>
          <w:sz w:val="24"/>
          <w:highlight w:val="none"/>
        </w:rPr>
      </w:pPr>
    </w:p>
    <w:p>
      <w:pPr>
        <w:spacing w:before="120" w:line="22" w:lineRule="atLeast"/>
        <w:ind w:firstLine="480" w:firstLineChars="200"/>
        <w:rPr>
          <w:rFonts w:hint="eastAsia" w:ascii="宋体" w:hAnsi="宋体" w:cs="宋体"/>
          <w:sz w:val="24"/>
          <w:highlight w:val="none"/>
        </w:rPr>
      </w:pPr>
      <w:r>
        <w:rPr>
          <w:rFonts w:hint="eastAsia" w:ascii="宋体" w:hAnsi="宋体" w:cs="宋体"/>
          <w:sz w:val="24"/>
          <w:highlight w:val="none"/>
        </w:rPr>
        <w:t>乙方：</w:t>
      </w:r>
    </w:p>
    <w:p>
      <w:pPr>
        <w:spacing w:before="120" w:line="22" w:lineRule="atLeast"/>
        <w:rPr>
          <w:rFonts w:hint="eastAsia" w:ascii="宋体" w:hAnsi="宋体" w:cs="宋体"/>
          <w:sz w:val="24"/>
          <w:highlight w:val="none"/>
        </w:rPr>
      </w:pPr>
    </w:p>
    <w:p>
      <w:pPr>
        <w:spacing w:before="120" w:line="22" w:lineRule="atLeast"/>
        <w:ind w:firstLine="480" w:firstLineChars="200"/>
        <w:rPr>
          <w:rFonts w:hint="eastAsia" w:ascii="宋体" w:hAnsi="宋体" w:cs="宋体"/>
          <w:sz w:val="24"/>
          <w:highlight w:val="none"/>
        </w:rPr>
      </w:pPr>
      <w:r>
        <w:rPr>
          <w:rFonts w:hint="eastAsia" w:ascii="宋体" w:hAnsi="宋体" w:cs="宋体"/>
          <w:sz w:val="24"/>
          <w:highlight w:val="none"/>
        </w:rPr>
        <w:t>签订地：</w:t>
      </w:r>
    </w:p>
    <w:p>
      <w:pPr>
        <w:spacing w:before="120" w:line="22" w:lineRule="atLeast"/>
        <w:rPr>
          <w:rFonts w:hint="eastAsia" w:ascii="宋体" w:hAnsi="宋体" w:cs="宋体"/>
          <w:sz w:val="24"/>
          <w:highlight w:val="none"/>
        </w:rPr>
      </w:pPr>
    </w:p>
    <w:p>
      <w:pPr>
        <w:spacing w:before="120" w:line="22" w:lineRule="atLeast"/>
        <w:ind w:firstLine="480" w:firstLineChars="200"/>
        <w:rPr>
          <w:rFonts w:hint="eastAsia" w:ascii="宋体" w:hAnsi="宋体" w:cs="宋体"/>
          <w:sz w:val="24"/>
          <w:highlight w:val="none"/>
        </w:rPr>
      </w:pPr>
      <w:r>
        <w:rPr>
          <w:rFonts w:hint="eastAsia" w:ascii="宋体" w:hAnsi="宋体" w:cs="宋体"/>
          <w:sz w:val="24"/>
          <w:highlight w:val="none"/>
        </w:rPr>
        <w:t>签订日期：    年   月   日</w:t>
      </w:r>
    </w:p>
    <w:p>
      <w:pPr>
        <w:widowControl/>
        <w:spacing w:beforeAutospacing="1"/>
        <w:jc w:val="left"/>
        <w:rPr>
          <w:rFonts w:hint="eastAsia" w:ascii="宋体" w:hAnsi="宋体" w:cs="宋体"/>
          <w:sz w:val="24"/>
          <w:highlight w:val="none"/>
        </w:rPr>
        <w:sectPr>
          <w:footerReference r:id="rId5" w:type="default"/>
          <w:pgSz w:w="11907" w:h="16840"/>
          <w:pgMar w:top="1474" w:right="1418" w:bottom="1474" w:left="1418" w:header="851" w:footer="851" w:gutter="0"/>
          <w:pgNumType w:fmt="decimal" w:start="1"/>
          <w:cols w:space="720" w:num="1"/>
        </w:sectPr>
      </w:pPr>
    </w:p>
    <w:p>
      <w:pPr>
        <w:pStyle w:val="22"/>
        <w:snapToGrid w:val="0"/>
        <w:spacing w:before="120" w:after="120" w:line="336" w:lineRule="auto"/>
        <w:ind w:firstLine="720"/>
        <w:jc w:val="center"/>
        <w:rPr>
          <w:rFonts w:hint="eastAsia" w:hAnsi="宋体"/>
          <w:sz w:val="24"/>
          <w:highlight w:val="none"/>
        </w:rPr>
      </w:pPr>
      <w:bookmarkStart w:id="95" w:name="_Toc44215505"/>
      <w:r>
        <w:rPr>
          <w:rFonts w:hint="eastAsia" w:hAnsi="宋体" w:cs="宋体"/>
          <w:sz w:val="32"/>
          <w:szCs w:val="32"/>
          <w:highlight w:val="none"/>
        </w:rPr>
        <w:t>桐庐农商银行营业网点及办公场所装修设计服务单位入围项目入围协议</w:t>
      </w:r>
    </w:p>
    <w:p>
      <w:pPr>
        <w:pStyle w:val="22"/>
        <w:snapToGrid w:val="0"/>
        <w:spacing w:before="120" w:after="120" w:line="336" w:lineRule="auto"/>
        <w:rPr>
          <w:rFonts w:hint="eastAsia" w:hAnsi="宋体"/>
          <w:sz w:val="24"/>
          <w:highlight w:val="none"/>
        </w:rPr>
      </w:pPr>
    </w:p>
    <w:p>
      <w:pPr>
        <w:pStyle w:val="22"/>
        <w:snapToGrid w:val="0"/>
        <w:spacing w:before="120" w:after="120" w:line="336" w:lineRule="auto"/>
        <w:rPr>
          <w:rFonts w:hint="eastAsia" w:hAnsi="宋体"/>
          <w:sz w:val="24"/>
          <w:highlight w:val="none"/>
        </w:rPr>
      </w:pPr>
      <w:r>
        <w:rPr>
          <w:rFonts w:hAnsi="宋体"/>
          <w:sz w:val="24"/>
          <w:highlight w:val="none"/>
        </w:rPr>
        <w:t>项目名称：</w:t>
      </w:r>
      <w:r>
        <w:rPr>
          <w:rFonts w:hint="eastAsia" w:hAnsi="宋体"/>
          <w:sz w:val="24"/>
          <w:highlight w:val="none"/>
        </w:rPr>
        <w:t>桐庐农商银行营业网点及办公场所装修设计服务单位入围项目</w:t>
      </w:r>
      <w:r>
        <w:rPr>
          <w:rFonts w:hAnsi="宋体"/>
          <w:sz w:val="24"/>
          <w:highlight w:val="none"/>
        </w:rPr>
        <w:t xml:space="preserve">                                     </w:t>
      </w:r>
    </w:p>
    <w:p>
      <w:pPr>
        <w:pStyle w:val="22"/>
        <w:snapToGrid w:val="0"/>
        <w:spacing w:before="120" w:after="120" w:line="336" w:lineRule="auto"/>
        <w:rPr>
          <w:rFonts w:hint="eastAsia" w:hAnsi="宋体"/>
          <w:sz w:val="24"/>
          <w:highlight w:val="none"/>
        </w:rPr>
      </w:pPr>
      <w:r>
        <w:rPr>
          <w:rFonts w:hAnsi="宋体"/>
          <w:sz w:val="24"/>
          <w:highlight w:val="none"/>
        </w:rPr>
        <w:t>项目编号：</w:t>
      </w:r>
      <w:r>
        <w:rPr>
          <w:rFonts w:hint="eastAsia" w:hAnsi="宋体"/>
          <w:sz w:val="24"/>
          <w:highlight w:val="none"/>
        </w:rPr>
        <w:t>CTJSCG-2024-002</w:t>
      </w:r>
    </w:p>
    <w:p>
      <w:pPr>
        <w:pStyle w:val="22"/>
        <w:snapToGrid w:val="0"/>
        <w:spacing w:before="120" w:after="120" w:line="336" w:lineRule="auto"/>
        <w:rPr>
          <w:rFonts w:hint="eastAsia" w:hAnsi="宋体"/>
          <w:sz w:val="24"/>
          <w:highlight w:val="none"/>
        </w:rPr>
      </w:pPr>
      <w:r>
        <w:rPr>
          <w:rFonts w:hAnsi="宋体"/>
          <w:sz w:val="24"/>
          <w:highlight w:val="none"/>
        </w:rPr>
        <w:t>甲方（</w:t>
      </w:r>
      <w:r>
        <w:rPr>
          <w:rFonts w:hint="eastAsia" w:hAnsi="宋体"/>
          <w:sz w:val="24"/>
          <w:highlight w:val="none"/>
        </w:rPr>
        <w:t>采购单位</w:t>
      </w:r>
      <w:r>
        <w:rPr>
          <w:rFonts w:hAnsi="宋体"/>
          <w:sz w:val="24"/>
          <w:highlight w:val="none"/>
        </w:rPr>
        <w:t>）：</w:t>
      </w:r>
    </w:p>
    <w:p>
      <w:pPr>
        <w:pStyle w:val="22"/>
        <w:snapToGrid w:val="0"/>
        <w:spacing w:before="120" w:after="120" w:line="336" w:lineRule="auto"/>
        <w:rPr>
          <w:rFonts w:hint="eastAsia" w:hAnsi="宋体"/>
          <w:sz w:val="24"/>
          <w:highlight w:val="none"/>
        </w:rPr>
      </w:pPr>
      <w:r>
        <w:rPr>
          <w:rFonts w:hAnsi="宋体"/>
          <w:sz w:val="24"/>
          <w:highlight w:val="none"/>
        </w:rPr>
        <w:t>乙方（</w:t>
      </w:r>
      <w:r>
        <w:rPr>
          <w:rFonts w:hint="eastAsia" w:hAnsi="宋体"/>
          <w:sz w:val="24"/>
          <w:highlight w:val="none"/>
        </w:rPr>
        <w:t>入围供应商</w:t>
      </w:r>
      <w:r>
        <w:rPr>
          <w:rFonts w:hAnsi="宋体"/>
          <w:sz w:val="24"/>
          <w:highlight w:val="none"/>
        </w:rPr>
        <w:t>）：</w:t>
      </w:r>
    </w:p>
    <w:p>
      <w:pPr>
        <w:spacing w:line="336" w:lineRule="auto"/>
        <w:ind w:firstLine="540"/>
        <w:rPr>
          <w:rFonts w:hint="eastAsia" w:hAnsi="宋体"/>
          <w:sz w:val="24"/>
          <w:highlight w:val="none"/>
        </w:rPr>
      </w:pPr>
      <w:r>
        <w:rPr>
          <w:rFonts w:hint="eastAsia" w:hAnsi="宋体"/>
          <w:sz w:val="24"/>
          <w:highlight w:val="none"/>
        </w:rPr>
        <w:t>乙双方根据</w:t>
      </w:r>
      <w:r>
        <w:rPr>
          <w:rFonts w:hint="eastAsia" w:hAnsi="宋体"/>
          <w:sz w:val="24"/>
          <w:highlight w:val="none"/>
          <w:u w:val="single"/>
        </w:rPr>
        <w:t xml:space="preserve"> </w:t>
      </w:r>
      <w:r>
        <w:rPr>
          <w:rFonts w:hint="eastAsia" w:ascii="宋体" w:hAnsi="宋体"/>
          <w:sz w:val="24"/>
          <w:szCs w:val="20"/>
          <w:highlight w:val="none"/>
          <w:u w:val="single"/>
        </w:rPr>
        <w:t>桐庐农商银行营业网点及办公场所装修设计服务单位入围项目</w:t>
      </w:r>
      <w:r>
        <w:rPr>
          <w:rFonts w:hint="eastAsia" w:hAnsi="宋体"/>
          <w:sz w:val="24"/>
          <w:highlight w:val="none"/>
          <w:u w:val="single"/>
        </w:rPr>
        <w:t xml:space="preserve"> </w:t>
      </w:r>
      <w:r>
        <w:rPr>
          <w:rFonts w:hint="eastAsia" w:hAnsi="宋体"/>
          <w:sz w:val="24"/>
          <w:highlight w:val="none"/>
        </w:rPr>
        <w:t>招标的结果，签署本合同。</w:t>
      </w:r>
    </w:p>
    <w:p>
      <w:pPr>
        <w:widowControl/>
        <w:numPr>
          <w:ilvl w:val="0"/>
          <w:numId w:val="8"/>
        </w:numPr>
        <w:spacing w:line="336" w:lineRule="auto"/>
        <w:ind w:firstLine="542"/>
        <w:rPr>
          <w:rFonts w:hint="eastAsia" w:ascii="宋体" w:hAnsi="宋体" w:cs="宋体"/>
          <w:b/>
          <w:bCs/>
          <w:sz w:val="24"/>
          <w:highlight w:val="none"/>
        </w:rPr>
      </w:pPr>
      <w:r>
        <w:rPr>
          <w:rFonts w:hint="eastAsia" w:ascii="宋体" w:hAnsi="宋体" w:cs="宋体"/>
          <w:b/>
          <w:bCs/>
          <w:sz w:val="24"/>
          <w:highlight w:val="none"/>
        </w:rPr>
        <w:t>采购内容</w:t>
      </w:r>
    </w:p>
    <w:p>
      <w:pPr>
        <w:spacing w:line="336" w:lineRule="auto"/>
        <w:ind w:firstLine="540"/>
        <w:rPr>
          <w:rFonts w:hint="eastAsia" w:ascii="宋体" w:hAnsi="宋体" w:cs="宋体"/>
          <w:sz w:val="24"/>
          <w:highlight w:val="none"/>
        </w:rPr>
      </w:pPr>
      <w:r>
        <w:rPr>
          <w:rFonts w:hint="eastAsia" w:ascii="宋体" w:hAnsi="宋体" w:cs="宋体"/>
          <w:sz w:val="24"/>
          <w:highlight w:val="none"/>
        </w:rPr>
        <w:t>桐庐农商银行营业网点及办公场所装修设计服务单位入围项目。</w:t>
      </w:r>
    </w:p>
    <w:p>
      <w:pPr>
        <w:spacing w:line="336" w:lineRule="auto"/>
        <w:ind w:firstLine="542"/>
        <w:rPr>
          <w:rFonts w:hint="eastAsia" w:ascii="宋体" w:hAnsi="宋体" w:cs="宋体"/>
          <w:b/>
          <w:bCs/>
          <w:sz w:val="24"/>
          <w:highlight w:val="none"/>
        </w:rPr>
      </w:pPr>
      <w:r>
        <w:rPr>
          <w:rFonts w:hint="eastAsia" w:ascii="宋体" w:hAnsi="宋体" w:cs="宋体"/>
          <w:b/>
          <w:bCs/>
          <w:sz w:val="24"/>
          <w:highlight w:val="none"/>
        </w:rPr>
        <w:t>二、合同金额</w:t>
      </w:r>
    </w:p>
    <w:p>
      <w:pPr>
        <w:spacing w:line="336" w:lineRule="auto"/>
        <w:ind w:firstLine="540"/>
        <w:rPr>
          <w:rFonts w:hint="eastAsia" w:ascii="宋体" w:hAnsi="宋体" w:cs="宋体"/>
          <w:sz w:val="24"/>
          <w:highlight w:val="none"/>
        </w:rPr>
      </w:pPr>
      <w:r>
        <w:rPr>
          <w:rFonts w:hint="eastAsia" w:ascii="宋体" w:hAnsi="宋体" w:cs="宋体"/>
          <w:sz w:val="24"/>
          <w:highlight w:val="none"/>
        </w:rPr>
        <w:t>项目设计费按《工程勘察设计收费管理规定》）计价格【2002】10号文的</w:t>
      </w:r>
      <w:r>
        <w:rPr>
          <w:rFonts w:hint="eastAsia" w:ascii="宋体" w:hAnsi="宋体" w:cs="宋体"/>
          <w:sz w:val="24"/>
          <w:highlight w:val="none"/>
          <w:u w:val="single"/>
        </w:rPr>
        <w:t xml:space="preserve">    </w:t>
      </w:r>
      <w:r>
        <w:rPr>
          <w:rFonts w:hint="eastAsia" w:ascii="宋体" w:hAnsi="宋体" w:cs="宋体"/>
          <w:sz w:val="24"/>
          <w:highlight w:val="none"/>
        </w:rPr>
        <w:t xml:space="preserve">%计取。    </w:t>
      </w:r>
    </w:p>
    <w:p>
      <w:pPr>
        <w:widowControl/>
        <w:spacing w:line="336" w:lineRule="auto"/>
        <w:ind w:firstLine="542"/>
        <w:rPr>
          <w:rFonts w:hint="eastAsia" w:ascii="宋体" w:hAnsi="宋体" w:cs="宋体"/>
          <w:b/>
          <w:bCs/>
          <w:color w:val="auto"/>
          <w:sz w:val="24"/>
          <w:highlight w:val="none"/>
        </w:rPr>
      </w:pPr>
      <w:r>
        <w:rPr>
          <w:rFonts w:hint="eastAsia" w:ascii="宋体" w:hAnsi="宋体" w:cs="宋体"/>
          <w:b/>
          <w:bCs/>
          <w:color w:val="auto"/>
          <w:sz w:val="24"/>
          <w:highlight w:val="none"/>
        </w:rPr>
        <w:t>三、服务期限</w:t>
      </w:r>
    </w:p>
    <w:p>
      <w:pPr>
        <w:spacing w:line="336" w:lineRule="auto"/>
        <w:ind w:firstLine="540"/>
        <w:rPr>
          <w:rFonts w:hint="eastAsia" w:ascii="宋体" w:hAnsi="宋体" w:cs="宋体"/>
          <w:sz w:val="24"/>
          <w:highlight w:val="none"/>
        </w:rPr>
      </w:pPr>
      <w:r>
        <w:rPr>
          <w:rFonts w:hint="eastAsia" w:ascii="宋体" w:hAnsi="宋体" w:cs="宋体"/>
          <w:sz w:val="24"/>
          <w:highlight w:val="none"/>
        </w:rPr>
        <w:t>三年。</w:t>
      </w:r>
    </w:p>
    <w:p>
      <w:pPr>
        <w:spacing w:line="336" w:lineRule="auto"/>
        <w:ind w:firstLine="542"/>
        <w:rPr>
          <w:rFonts w:hint="eastAsia" w:ascii="宋体" w:hAnsi="宋体" w:cs="宋体"/>
          <w:b/>
          <w:bCs/>
          <w:sz w:val="24"/>
          <w:highlight w:val="none"/>
        </w:rPr>
      </w:pPr>
      <w:r>
        <w:rPr>
          <w:rFonts w:hint="eastAsia" w:ascii="宋体" w:hAnsi="宋体" w:cs="宋体"/>
          <w:b/>
          <w:bCs/>
          <w:sz w:val="24"/>
          <w:highlight w:val="none"/>
        </w:rPr>
        <w:t>四、知识产权</w:t>
      </w:r>
      <w:bookmarkStart w:id="98" w:name="_GoBack"/>
      <w:bookmarkEnd w:id="98"/>
    </w:p>
    <w:p>
      <w:pPr>
        <w:spacing w:line="336" w:lineRule="auto"/>
        <w:ind w:firstLine="540"/>
        <w:rPr>
          <w:rFonts w:hint="eastAsia" w:ascii="宋体" w:hAnsi="宋体" w:cs="宋体"/>
          <w:sz w:val="24"/>
          <w:highlight w:val="none"/>
        </w:rPr>
      </w:pPr>
      <w:r>
        <w:rPr>
          <w:rFonts w:hint="eastAsia" w:ascii="宋体" w:hAnsi="宋体" w:cs="宋体"/>
          <w:sz w:val="24"/>
          <w:highlight w:val="none"/>
        </w:rPr>
        <w:t>乙方应保证提供服务过程中不会侵犯任何第三方的知识产权。</w:t>
      </w:r>
    </w:p>
    <w:p>
      <w:pPr>
        <w:spacing w:line="336" w:lineRule="auto"/>
        <w:ind w:firstLine="542"/>
        <w:rPr>
          <w:rFonts w:hint="eastAsia" w:ascii="宋体" w:hAnsi="宋体" w:cs="宋体"/>
          <w:b/>
          <w:bCs/>
          <w:sz w:val="24"/>
          <w:highlight w:val="none"/>
        </w:rPr>
      </w:pPr>
      <w:r>
        <w:rPr>
          <w:rFonts w:hint="eastAsia" w:ascii="宋体" w:hAnsi="宋体" w:cs="宋体"/>
          <w:b/>
          <w:bCs/>
          <w:sz w:val="24"/>
          <w:highlight w:val="none"/>
        </w:rPr>
        <w:t>五、履约保证金</w:t>
      </w:r>
    </w:p>
    <w:p>
      <w:pPr>
        <w:spacing w:line="336" w:lineRule="auto"/>
        <w:ind w:firstLine="540"/>
        <w:rPr>
          <w:rFonts w:hint="eastAsia" w:ascii="宋体" w:hAnsi="宋体" w:cs="宋体"/>
          <w:sz w:val="24"/>
          <w:highlight w:val="none"/>
        </w:rPr>
      </w:pPr>
      <w:r>
        <w:rPr>
          <w:rFonts w:hint="eastAsia" w:ascii="宋体" w:hAnsi="宋体" w:cs="宋体"/>
          <w:sz w:val="24"/>
          <w:highlight w:val="none"/>
        </w:rPr>
        <w:t>乙方交纳人民币</w:t>
      </w:r>
      <w:r>
        <w:rPr>
          <w:rFonts w:hint="eastAsia" w:ascii="宋体" w:hAnsi="宋体" w:cs="宋体"/>
          <w:sz w:val="24"/>
          <w:highlight w:val="none"/>
          <w:u w:val="single"/>
        </w:rPr>
        <w:t>10000</w:t>
      </w:r>
      <w:r>
        <w:rPr>
          <w:rFonts w:hint="eastAsia" w:ascii="宋体" w:hAnsi="宋体" w:cs="宋体"/>
          <w:sz w:val="24"/>
          <w:highlight w:val="none"/>
        </w:rPr>
        <w:t>元作为本合同的履约保证金。</w:t>
      </w:r>
    </w:p>
    <w:p>
      <w:pPr>
        <w:spacing w:line="336" w:lineRule="auto"/>
        <w:ind w:firstLine="542"/>
        <w:rPr>
          <w:rFonts w:hint="eastAsia" w:ascii="宋体" w:hAnsi="宋体" w:cs="宋体"/>
          <w:b/>
          <w:bCs/>
          <w:sz w:val="24"/>
          <w:highlight w:val="none"/>
        </w:rPr>
      </w:pPr>
      <w:r>
        <w:rPr>
          <w:rFonts w:hint="eastAsia" w:ascii="宋体" w:hAnsi="宋体" w:cs="宋体"/>
          <w:b/>
          <w:bCs/>
          <w:sz w:val="24"/>
          <w:highlight w:val="none"/>
        </w:rPr>
        <w:t>六、转包或分包</w:t>
      </w:r>
    </w:p>
    <w:p>
      <w:pPr>
        <w:spacing w:line="336" w:lineRule="auto"/>
        <w:ind w:firstLine="540"/>
        <w:rPr>
          <w:rFonts w:hint="eastAsia" w:ascii="宋体" w:hAnsi="宋体" w:cs="宋体"/>
          <w:sz w:val="24"/>
          <w:highlight w:val="none"/>
        </w:rPr>
      </w:pPr>
      <w:r>
        <w:rPr>
          <w:rFonts w:hint="eastAsia" w:ascii="宋体" w:hAnsi="宋体" w:cs="宋体"/>
          <w:sz w:val="24"/>
          <w:highlight w:val="none"/>
        </w:rPr>
        <w:t>1.本合同范围的服务，应由乙方直接供应，不得转让他人供应；</w:t>
      </w:r>
    </w:p>
    <w:p>
      <w:pPr>
        <w:spacing w:line="336" w:lineRule="auto"/>
        <w:ind w:firstLine="540"/>
        <w:rPr>
          <w:rFonts w:hint="eastAsia" w:ascii="宋体" w:hAnsi="宋体" w:cs="宋体"/>
          <w:sz w:val="24"/>
          <w:highlight w:val="none"/>
        </w:rPr>
      </w:pPr>
      <w:r>
        <w:rPr>
          <w:rFonts w:hint="eastAsia" w:ascii="宋体" w:hAnsi="宋体" w:cs="宋体"/>
          <w:sz w:val="24"/>
          <w:highlight w:val="none"/>
        </w:rPr>
        <w:t>2.除非得到甲方的书面同意，乙方不得将本合同范围的服务全部或部分分包给他人供应；</w:t>
      </w:r>
    </w:p>
    <w:p>
      <w:pPr>
        <w:spacing w:line="336" w:lineRule="auto"/>
        <w:ind w:firstLine="540"/>
        <w:rPr>
          <w:rFonts w:hint="eastAsia" w:ascii="宋体" w:hAnsi="宋体" w:cs="宋体"/>
          <w:sz w:val="24"/>
          <w:highlight w:val="none"/>
        </w:rPr>
      </w:pPr>
      <w:r>
        <w:rPr>
          <w:rFonts w:hint="eastAsia" w:ascii="宋体" w:hAnsi="宋体" w:cs="宋体"/>
          <w:color w:val="000000"/>
          <w:sz w:val="24"/>
          <w:highlight w:val="none"/>
        </w:rPr>
        <w:t>3.如有转让和未经甲方同意的分包行为，甲方有权解除合同，没收履约保证金并</w:t>
      </w:r>
      <w:r>
        <w:rPr>
          <w:rFonts w:hint="eastAsia" w:ascii="宋体" w:hAnsi="宋体" w:cs="宋体"/>
          <w:sz w:val="24"/>
          <w:highlight w:val="none"/>
        </w:rPr>
        <w:t>追究乙方的违约责任。</w:t>
      </w:r>
    </w:p>
    <w:p>
      <w:pPr>
        <w:spacing w:line="336" w:lineRule="auto"/>
        <w:ind w:firstLine="542"/>
        <w:rPr>
          <w:rFonts w:hint="eastAsia" w:ascii="宋体" w:hAnsi="宋体" w:cs="宋体"/>
          <w:b/>
          <w:bCs/>
          <w:sz w:val="24"/>
          <w:highlight w:val="none"/>
        </w:rPr>
      </w:pPr>
      <w:r>
        <w:rPr>
          <w:rFonts w:hint="eastAsia" w:ascii="宋体" w:hAnsi="宋体" w:cs="宋体"/>
          <w:b/>
          <w:bCs/>
          <w:sz w:val="24"/>
          <w:highlight w:val="none"/>
        </w:rPr>
        <w:t>七、合同履行时间、履行方式及履行地点</w:t>
      </w:r>
    </w:p>
    <w:p>
      <w:pPr>
        <w:spacing w:line="336" w:lineRule="auto"/>
        <w:ind w:firstLine="540"/>
        <w:rPr>
          <w:rFonts w:hint="eastAsia" w:ascii="宋体" w:hAnsi="宋体" w:cs="宋体"/>
          <w:sz w:val="24"/>
          <w:highlight w:val="none"/>
        </w:rPr>
      </w:pPr>
      <w:r>
        <w:rPr>
          <w:rFonts w:hint="eastAsia" w:ascii="宋体" w:hAnsi="宋体" w:cs="宋体"/>
          <w:sz w:val="24"/>
          <w:highlight w:val="none"/>
        </w:rPr>
        <w:t>1.履行时间：根据甲方安排</w:t>
      </w:r>
    </w:p>
    <w:p>
      <w:pPr>
        <w:spacing w:line="336" w:lineRule="auto"/>
        <w:ind w:firstLine="540"/>
        <w:rPr>
          <w:rFonts w:hint="eastAsia" w:ascii="宋体" w:hAnsi="宋体" w:cs="宋体"/>
          <w:sz w:val="24"/>
          <w:highlight w:val="none"/>
        </w:rPr>
      </w:pPr>
      <w:r>
        <w:rPr>
          <w:rFonts w:hint="eastAsia" w:ascii="宋体" w:hAnsi="宋体" w:cs="宋体"/>
          <w:sz w:val="24"/>
          <w:highlight w:val="none"/>
        </w:rPr>
        <w:t>2.履行方式：根据甲方安排</w:t>
      </w:r>
    </w:p>
    <w:p>
      <w:pPr>
        <w:spacing w:line="336" w:lineRule="auto"/>
        <w:ind w:firstLine="540"/>
        <w:rPr>
          <w:rFonts w:hint="eastAsia" w:ascii="宋体" w:hAnsi="宋体" w:cs="宋体"/>
          <w:sz w:val="24"/>
          <w:highlight w:val="none"/>
        </w:rPr>
      </w:pPr>
      <w:r>
        <w:rPr>
          <w:rFonts w:hint="eastAsia" w:ascii="宋体" w:hAnsi="宋体" w:cs="宋体"/>
          <w:sz w:val="24"/>
          <w:highlight w:val="none"/>
        </w:rPr>
        <w:t>3.履行地点：根据甲方安排</w:t>
      </w:r>
    </w:p>
    <w:p>
      <w:pPr>
        <w:spacing w:line="336" w:lineRule="auto"/>
        <w:ind w:firstLine="542"/>
        <w:rPr>
          <w:rFonts w:hint="eastAsia" w:ascii="宋体" w:hAnsi="宋体" w:cs="宋体"/>
          <w:b/>
          <w:bCs/>
          <w:sz w:val="24"/>
          <w:highlight w:val="none"/>
        </w:rPr>
      </w:pPr>
      <w:r>
        <w:rPr>
          <w:rFonts w:hint="eastAsia" w:ascii="宋体" w:hAnsi="宋体" w:cs="宋体"/>
          <w:b/>
          <w:bCs/>
          <w:sz w:val="24"/>
          <w:highlight w:val="none"/>
        </w:rPr>
        <w:t>八、质保期：</w:t>
      </w:r>
      <w:r>
        <w:rPr>
          <w:rFonts w:hint="eastAsia" w:ascii="宋体" w:hAnsi="宋体" w:cs="宋体"/>
          <w:bCs/>
          <w:sz w:val="24"/>
          <w:highlight w:val="none"/>
          <w:u w:val="single"/>
        </w:rPr>
        <w:t xml:space="preserve">   /   </w:t>
      </w:r>
      <w:r>
        <w:rPr>
          <w:rFonts w:hint="eastAsia" w:ascii="宋体" w:hAnsi="宋体" w:cs="宋体"/>
          <w:b/>
          <w:bCs/>
          <w:sz w:val="24"/>
          <w:highlight w:val="none"/>
        </w:rPr>
        <w:t>。</w:t>
      </w:r>
    </w:p>
    <w:p>
      <w:pPr>
        <w:spacing w:line="336" w:lineRule="auto"/>
        <w:ind w:firstLine="542"/>
        <w:rPr>
          <w:rFonts w:hint="eastAsia" w:ascii="宋体" w:hAnsi="宋体" w:cs="宋体"/>
          <w:b/>
          <w:bCs/>
          <w:sz w:val="24"/>
          <w:highlight w:val="none"/>
        </w:rPr>
      </w:pPr>
      <w:r>
        <w:rPr>
          <w:rFonts w:hint="eastAsia" w:ascii="宋体" w:hAnsi="宋体" w:cs="宋体"/>
          <w:b/>
          <w:bCs/>
          <w:sz w:val="24"/>
          <w:highlight w:val="none"/>
        </w:rPr>
        <w:t>九、款项支付</w:t>
      </w:r>
    </w:p>
    <w:p>
      <w:pPr>
        <w:spacing w:line="336" w:lineRule="auto"/>
        <w:ind w:firstLine="540"/>
        <w:rPr>
          <w:rFonts w:hint="eastAsia" w:ascii="宋体" w:hAnsi="宋体" w:cs="宋体"/>
          <w:color w:val="000000"/>
          <w:sz w:val="24"/>
          <w:highlight w:val="none"/>
        </w:rPr>
      </w:pPr>
      <w:r>
        <w:rPr>
          <w:rFonts w:hint="eastAsia" w:ascii="宋体" w:hAnsi="宋体" w:cs="宋体"/>
          <w:color w:val="000000"/>
          <w:sz w:val="24"/>
          <w:highlight w:val="none"/>
        </w:rPr>
        <w:t>第一阶段: 合同签订后7个工作日内支付合同价款的10%（预付款）；</w:t>
      </w:r>
    </w:p>
    <w:p>
      <w:pPr>
        <w:spacing w:line="336" w:lineRule="auto"/>
        <w:ind w:firstLine="540"/>
        <w:rPr>
          <w:rFonts w:hint="eastAsia" w:ascii="宋体" w:hAnsi="宋体" w:cs="宋体"/>
          <w:color w:val="000000"/>
          <w:sz w:val="24"/>
          <w:highlight w:val="none"/>
        </w:rPr>
      </w:pPr>
      <w:r>
        <w:rPr>
          <w:rFonts w:hint="eastAsia" w:ascii="宋体" w:hAnsi="宋体" w:cs="宋体"/>
          <w:color w:val="000000"/>
          <w:sz w:val="24"/>
          <w:highlight w:val="none"/>
        </w:rPr>
        <w:t>第二阶段：方案设计阶段完成支付至总费用的40%；</w:t>
      </w:r>
    </w:p>
    <w:p>
      <w:pPr>
        <w:spacing w:line="336" w:lineRule="auto"/>
        <w:ind w:firstLine="540"/>
        <w:rPr>
          <w:rFonts w:hint="eastAsia" w:ascii="宋体" w:hAnsi="宋体" w:cs="宋体"/>
          <w:color w:val="000000"/>
          <w:sz w:val="24"/>
          <w:highlight w:val="none"/>
        </w:rPr>
      </w:pPr>
      <w:r>
        <w:rPr>
          <w:rFonts w:hint="eastAsia" w:ascii="宋体" w:hAnsi="宋体" w:cs="宋体"/>
          <w:color w:val="000000"/>
          <w:sz w:val="24"/>
          <w:highlight w:val="none"/>
        </w:rPr>
        <w:t>第三阶段：施工图阶段完成支付至最终设计费的60%。</w:t>
      </w:r>
    </w:p>
    <w:p>
      <w:pPr>
        <w:spacing w:line="336" w:lineRule="auto"/>
        <w:ind w:firstLine="540"/>
        <w:rPr>
          <w:rFonts w:hint="eastAsia" w:ascii="宋体" w:hAnsi="宋体" w:cs="宋体"/>
          <w:color w:val="000000"/>
          <w:sz w:val="24"/>
          <w:highlight w:val="none"/>
        </w:rPr>
      </w:pPr>
      <w:r>
        <w:rPr>
          <w:rFonts w:hint="eastAsia" w:ascii="宋体" w:hAnsi="宋体" w:cs="宋体"/>
          <w:color w:val="000000"/>
          <w:sz w:val="24"/>
          <w:highlight w:val="none"/>
        </w:rPr>
        <w:t>第四阶段：竣工完成后并经采购人确认合格后付清余款。</w:t>
      </w:r>
    </w:p>
    <w:p>
      <w:pPr>
        <w:spacing w:line="336" w:lineRule="auto"/>
        <w:ind w:firstLine="542"/>
        <w:rPr>
          <w:rFonts w:hint="eastAsia" w:ascii="宋体" w:hAnsi="宋体" w:cs="宋体"/>
          <w:b/>
          <w:bCs/>
          <w:sz w:val="24"/>
          <w:highlight w:val="none"/>
        </w:rPr>
      </w:pPr>
      <w:r>
        <w:rPr>
          <w:rFonts w:hint="eastAsia" w:ascii="宋体" w:hAnsi="宋体" w:cs="宋体"/>
          <w:b/>
          <w:bCs/>
          <w:sz w:val="24"/>
          <w:highlight w:val="none"/>
        </w:rPr>
        <w:t>十、税费</w:t>
      </w:r>
    </w:p>
    <w:p>
      <w:pPr>
        <w:spacing w:line="336" w:lineRule="auto"/>
        <w:ind w:firstLine="540"/>
        <w:rPr>
          <w:rFonts w:hint="eastAsia" w:ascii="宋体" w:hAnsi="宋体" w:cs="宋体"/>
          <w:sz w:val="24"/>
          <w:highlight w:val="none"/>
        </w:rPr>
      </w:pPr>
      <w:r>
        <w:rPr>
          <w:rFonts w:hint="eastAsia" w:ascii="宋体" w:hAnsi="宋体" w:cs="宋体"/>
          <w:sz w:val="24"/>
          <w:highlight w:val="none"/>
        </w:rPr>
        <w:t>本合同执行中相关的一切税费均由乙方负担。</w:t>
      </w:r>
    </w:p>
    <w:p>
      <w:pPr>
        <w:spacing w:line="336" w:lineRule="auto"/>
        <w:ind w:firstLine="542"/>
        <w:rPr>
          <w:rFonts w:hint="eastAsia" w:ascii="宋体" w:hAnsi="宋体" w:cs="宋体"/>
          <w:b/>
          <w:bCs/>
          <w:sz w:val="24"/>
          <w:highlight w:val="none"/>
        </w:rPr>
      </w:pPr>
      <w:r>
        <w:rPr>
          <w:rFonts w:hint="eastAsia" w:ascii="宋体" w:hAnsi="宋体" w:cs="宋体"/>
          <w:b/>
          <w:bCs/>
          <w:sz w:val="24"/>
          <w:highlight w:val="none"/>
          <w:lang w:val="zh-CN"/>
        </w:rPr>
        <w:t>十一、甲方的责任与义务</w:t>
      </w:r>
    </w:p>
    <w:p>
      <w:pPr>
        <w:spacing w:line="336" w:lineRule="auto"/>
        <w:ind w:firstLine="540"/>
        <w:rPr>
          <w:rFonts w:hint="eastAsia" w:ascii="宋体" w:hAnsi="宋体" w:cs="宋体"/>
          <w:sz w:val="24"/>
          <w:highlight w:val="none"/>
        </w:rPr>
      </w:pPr>
      <w:r>
        <w:rPr>
          <w:rFonts w:hint="eastAsia" w:ascii="宋体" w:hAnsi="宋体" w:cs="宋体"/>
          <w:sz w:val="24"/>
          <w:highlight w:val="none"/>
        </w:rPr>
        <w:t>1.甲方应当主要负责为乙方工作提供良好的外部条件。</w:t>
      </w:r>
    </w:p>
    <w:p>
      <w:pPr>
        <w:spacing w:line="336" w:lineRule="auto"/>
        <w:ind w:firstLine="540"/>
        <w:rPr>
          <w:rFonts w:hint="eastAsia" w:ascii="宋体" w:hAnsi="宋体" w:cs="宋体"/>
          <w:sz w:val="24"/>
          <w:highlight w:val="none"/>
        </w:rPr>
      </w:pPr>
      <w:r>
        <w:rPr>
          <w:rFonts w:hint="eastAsia" w:ascii="宋体" w:hAnsi="宋体" w:cs="宋体"/>
          <w:sz w:val="24"/>
          <w:highlight w:val="none"/>
        </w:rPr>
        <w:t>2.甲方应当按双方约定的内容和时间，向乙方提供与项目有关的资料。</w:t>
      </w:r>
    </w:p>
    <w:p>
      <w:pPr>
        <w:spacing w:line="336" w:lineRule="auto"/>
        <w:ind w:firstLine="540"/>
        <w:rPr>
          <w:rFonts w:hint="eastAsia" w:ascii="宋体" w:hAnsi="宋体" w:cs="宋体"/>
          <w:sz w:val="24"/>
          <w:highlight w:val="none"/>
        </w:rPr>
      </w:pPr>
      <w:r>
        <w:rPr>
          <w:rFonts w:hint="eastAsia" w:ascii="宋体" w:hAnsi="宋体" w:cs="宋体"/>
          <w:sz w:val="24"/>
          <w:highlight w:val="none"/>
        </w:rPr>
        <w:t>3.甲方应授权一名熟悉本项目情况、能迅速做出决定的项目代表，负责与乙方联系。更换代表，要提前通知乙方。</w:t>
      </w:r>
    </w:p>
    <w:p>
      <w:pPr>
        <w:spacing w:line="336" w:lineRule="auto"/>
        <w:ind w:firstLine="540"/>
        <w:rPr>
          <w:rFonts w:hint="eastAsia" w:ascii="宋体" w:hAnsi="宋体" w:cs="宋体"/>
          <w:b/>
          <w:bCs/>
          <w:sz w:val="24"/>
          <w:highlight w:val="none"/>
        </w:rPr>
      </w:pPr>
      <w:r>
        <w:rPr>
          <w:rFonts w:hint="eastAsia" w:ascii="宋体" w:hAnsi="宋体" w:cs="宋体"/>
          <w:color w:val="000000"/>
          <w:sz w:val="24"/>
          <w:highlight w:val="none"/>
        </w:rPr>
        <w:t>4.甲方</w:t>
      </w:r>
      <w:r>
        <w:rPr>
          <w:rFonts w:hint="eastAsia" w:ascii="宋体" w:hAnsi="宋体" w:cs="宋体"/>
          <w:sz w:val="24"/>
          <w:highlight w:val="none"/>
        </w:rPr>
        <w:t>有与乙方订立补充合同的签订权。</w:t>
      </w:r>
    </w:p>
    <w:p>
      <w:pPr>
        <w:spacing w:line="336" w:lineRule="auto"/>
        <w:ind w:firstLine="542"/>
        <w:rPr>
          <w:rFonts w:hint="eastAsia" w:ascii="宋体" w:hAnsi="宋体" w:cs="宋体"/>
          <w:b/>
          <w:bCs/>
          <w:sz w:val="24"/>
          <w:highlight w:val="none"/>
        </w:rPr>
      </w:pPr>
      <w:r>
        <w:rPr>
          <w:rFonts w:hint="eastAsia" w:ascii="宋体" w:hAnsi="宋体" w:cs="宋体"/>
          <w:b/>
          <w:bCs/>
          <w:sz w:val="24"/>
          <w:highlight w:val="none"/>
          <w:lang w:val="zh-CN"/>
        </w:rPr>
        <w:t>十二、乙方的责任与义务</w:t>
      </w:r>
    </w:p>
    <w:p>
      <w:pPr>
        <w:spacing w:line="336" w:lineRule="auto"/>
        <w:ind w:firstLine="540"/>
        <w:rPr>
          <w:rFonts w:hint="eastAsia" w:ascii="宋体" w:hAnsi="宋体" w:cs="宋体"/>
          <w:sz w:val="24"/>
          <w:highlight w:val="none"/>
        </w:rPr>
      </w:pPr>
      <w:r>
        <w:rPr>
          <w:rFonts w:hint="eastAsia" w:ascii="宋体" w:hAnsi="宋体" w:cs="宋体"/>
          <w:sz w:val="24"/>
          <w:highlight w:val="none"/>
        </w:rPr>
        <w:t>1.根据投标文件的承诺向甲方委派项目组人员。</w:t>
      </w:r>
    </w:p>
    <w:p>
      <w:pPr>
        <w:spacing w:line="336" w:lineRule="auto"/>
        <w:ind w:firstLine="540"/>
        <w:rPr>
          <w:rFonts w:hint="eastAsia" w:ascii="宋体" w:hAnsi="宋体" w:cs="宋体"/>
          <w:sz w:val="24"/>
          <w:highlight w:val="none"/>
        </w:rPr>
      </w:pPr>
      <w:r>
        <w:rPr>
          <w:rFonts w:hint="eastAsia" w:ascii="宋体" w:hAnsi="宋体" w:cs="宋体"/>
          <w:sz w:val="24"/>
          <w:highlight w:val="none"/>
        </w:rPr>
        <w:t>2.在履行本合同义务的期间，应运用合理的技能，认真、勤奋的工作。</w:t>
      </w:r>
    </w:p>
    <w:p>
      <w:pPr>
        <w:spacing w:line="336" w:lineRule="auto"/>
        <w:ind w:firstLine="540"/>
        <w:rPr>
          <w:rFonts w:hint="eastAsia" w:ascii="宋体" w:hAnsi="宋体" w:cs="宋体"/>
          <w:sz w:val="24"/>
          <w:highlight w:val="none"/>
        </w:rPr>
      </w:pPr>
      <w:r>
        <w:rPr>
          <w:rFonts w:hint="eastAsia" w:ascii="宋体" w:hAnsi="宋体" w:cs="宋体"/>
          <w:sz w:val="24"/>
          <w:highlight w:val="none"/>
        </w:rPr>
        <w:t>3.在本合同期内或合同终止后，未征得有关方同意，不得泄漏与本项目、本合同有关的技术、资料等，不得以任何形式侵害甲方的知识产权。</w:t>
      </w:r>
    </w:p>
    <w:p>
      <w:pPr>
        <w:spacing w:line="336" w:lineRule="auto"/>
        <w:ind w:firstLine="540"/>
        <w:rPr>
          <w:rFonts w:hint="eastAsia" w:ascii="宋体" w:hAnsi="宋体" w:cs="宋体"/>
          <w:sz w:val="24"/>
          <w:highlight w:val="none"/>
        </w:rPr>
      </w:pPr>
      <w:r>
        <w:rPr>
          <w:rFonts w:hint="eastAsia" w:ascii="宋体" w:hAnsi="宋体" w:cs="宋体"/>
          <w:sz w:val="24"/>
          <w:highlight w:val="none"/>
        </w:rPr>
        <w:t>4.负责处理好与相关项目实施单位的协调工作。</w:t>
      </w:r>
    </w:p>
    <w:p>
      <w:pPr>
        <w:spacing w:line="336" w:lineRule="auto"/>
        <w:ind w:firstLine="542"/>
        <w:rPr>
          <w:rFonts w:hint="eastAsia" w:ascii="宋体" w:hAnsi="宋体" w:cs="宋体"/>
          <w:b/>
          <w:bCs/>
          <w:sz w:val="24"/>
          <w:highlight w:val="none"/>
        </w:rPr>
      </w:pPr>
      <w:r>
        <w:rPr>
          <w:rFonts w:hint="eastAsia" w:ascii="宋体" w:hAnsi="宋体" w:cs="宋体"/>
          <w:b/>
          <w:bCs/>
          <w:sz w:val="24"/>
          <w:highlight w:val="none"/>
        </w:rPr>
        <w:t>十三、违约责任</w:t>
      </w:r>
    </w:p>
    <w:p>
      <w:pPr>
        <w:spacing w:line="336" w:lineRule="auto"/>
        <w:ind w:firstLine="540"/>
        <w:rPr>
          <w:rFonts w:hint="eastAsia" w:ascii="宋体" w:hAnsi="宋体" w:cs="宋体"/>
          <w:sz w:val="24"/>
          <w:highlight w:val="none"/>
        </w:rPr>
      </w:pPr>
      <w:r>
        <w:rPr>
          <w:rFonts w:hint="eastAsia" w:ascii="宋体" w:hAnsi="宋体" w:cs="宋体"/>
          <w:sz w:val="24"/>
          <w:highlight w:val="none"/>
        </w:rPr>
        <w:t>1.甲方无正当理由拒收接受服务的，甲方向乙方偿付合同款项百分之五作为违约金。</w:t>
      </w:r>
    </w:p>
    <w:p>
      <w:pPr>
        <w:spacing w:line="336" w:lineRule="auto"/>
        <w:ind w:firstLine="540"/>
        <w:rPr>
          <w:rFonts w:hint="eastAsia" w:ascii="宋体" w:hAnsi="宋体" w:cs="宋体"/>
          <w:sz w:val="24"/>
          <w:highlight w:val="none"/>
        </w:rPr>
      </w:pPr>
      <w:r>
        <w:rPr>
          <w:rFonts w:hint="eastAsia" w:ascii="宋体" w:hAnsi="宋体" w:cs="宋体"/>
          <w:sz w:val="24"/>
          <w:highlight w:val="none"/>
        </w:rPr>
        <w:t>2．甲方无故逾期验收和办理款项支付手续的,甲方应按逾期付款总额每日万分之五向乙方支付违约金。</w:t>
      </w:r>
    </w:p>
    <w:p>
      <w:pPr>
        <w:spacing w:line="336" w:lineRule="auto"/>
        <w:ind w:firstLine="540"/>
        <w:rPr>
          <w:rFonts w:hint="eastAsia" w:ascii="宋体" w:hAnsi="宋体" w:cs="宋体"/>
          <w:sz w:val="24"/>
          <w:highlight w:val="none"/>
        </w:rPr>
      </w:pPr>
      <w:r>
        <w:rPr>
          <w:rFonts w:hint="eastAsia" w:ascii="宋体" w:hAnsi="宋体" w:cs="宋体"/>
          <w:sz w:val="24"/>
          <w:highlight w:val="none"/>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spacing w:line="336" w:lineRule="auto"/>
        <w:ind w:firstLine="542"/>
        <w:rPr>
          <w:rFonts w:hint="eastAsia" w:hAnsi="宋体"/>
          <w:b/>
          <w:sz w:val="24"/>
          <w:highlight w:val="none"/>
        </w:rPr>
      </w:pPr>
      <w:r>
        <w:rPr>
          <w:rFonts w:hAnsi="宋体"/>
          <w:b/>
          <w:sz w:val="24"/>
          <w:highlight w:val="none"/>
        </w:rPr>
        <w:t>十</w:t>
      </w:r>
      <w:r>
        <w:rPr>
          <w:rFonts w:hint="eastAsia" w:hAnsi="宋体"/>
          <w:b/>
          <w:sz w:val="24"/>
          <w:highlight w:val="none"/>
        </w:rPr>
        <w:t>四</w:t>
      </w:r>
      <w:r>
        <w:rPr>
          <w:rFonts w:hAnsi="宋体"/>
          <w:b/>
          <w:sz w:val="24"/>
          <w:highlight w:val="none"/>
        </w:rPr>
        <w:t>、不可抗力事件处理</w:t>
      </w:r>
    </w:p>
    <w:p>
      <w:pPr>
        <w:spacing w:line="336" w:lineRule="auto"/>
        <w:ind w:firstLine="540"/>
        <w:rPr>
          <w:rFonts w:hint="eastAsia" w:ascii="宋体" w:hAnsi="宋体" w:cs="宋体"/>
          <w:sz w:val="24"/>
          <w:highlight w:val="none"/>
        </w:rPr>
      </w:pPr>
      <w:r>
        <w:rPr>
          <w:rFonts w:hint="eastAsia" w:ascii="宋体" w:hAnsi="宋体" w:cs="宋体"/>
          <w:sz w:val="24"/>
          <w:highlight w:val="none"/>
        </w:rPr>
        <w:t>1.在合同有效期内，任何一方因不可抗力事件导致不能履行合同，则合同履行期可延长，其延长期与不可抗力影响期相同。</w:t>
      </w:r>
    </w:p>
    <w:p>
      <w:pPr>
        <w:spacing w:line="336" w:lineRule="auto"/>
        <w:ind w:firstLine="540"/>
        <w:rPr>
          <w:rFonts w:hint="eastAsia" w:ascii="宋体" w:hAnsi="宋体" w:cs="宋体"/>
          <w:color w:val="000000"/>
          <w:sz w:val="24"/>
          <w:highlight w:val="none"/>
        </w:rPr>
      </w:pPr>
      <w:r>
        <w:rPr>
          <w:rFonts w:hint="eastAsia" w:ascii="宋体" w:hAnsi="宋体" w:cs="宋体"/>
          <w:color w:val="000000"/>
          <w:sz w:val="24"/>
          <w:highlight w:val="none"/>
        </w:rPr>
        <w:t>2.不可抗力事件发生后，应立即通知对方，并寄送有关权威机构出具的证明。</w:t>
      </w:r>
    </w:p>
    <w:p>
      <w:pPr>
        <w:spacing w:line="336" w:lineRule="auto"/>
        <w:ind w:firstLine="540"/>
        <w:rPr>
          <w:rFonts w:hint="eastAsia" w:ascii="宋体" w:hAnsi="宋体" w:cs="宋体"/>
          <w:sz w:val="24"/>
          <w:highlight w:val="none"/>
        </w:rPr>
      </w:pPr>
      <w:r>
        <w:rPr>
          <w:rFonts w:hint="eastAsia" w:ascii="宋体" w:hAnsi="宋体" w:cs="宋体"/>
          <w:sz w:val="24"/>
          <w:highlight w:val="none"/>
        </w:rPr>
        <w:t>3.不可抗力事件延续120天以上，双方应通过友好协商，确定是否继续履行合同。</w:t>
      </w:r>
    </w:p>
    <w:p>
      <w:pPr>
        <w:spacing w:line="336" w:lineRule="auto"/>
        <w:ind w:firstLine="542"/>
        <w:rPr>
          <w:rFonts w:hint="eastAsia" w:hAnsi="宋体"/>
          <w:b/>
          <w:sz w:val="24"/>
          <w:highlight w:val="none"/>
        </w:rPr>
      </w:pPr>
      <w:r>
        <w:rPr>
          <w:rFonts w:ascii="宋体" w:hAnsi="宋体" w:cs="宋体"/>
          <w:b/>
          <w:bCs/>
          <w:sz w:val="24"/>
          <w:highlight w:val="none"/>
        </w:rPr>
        <w:t>十</w:t>
      </w:r>
      <w:r>
        <w:rPr>
          <w:rFonts w:hint="eastAsia" w:ascii="宋体" w:hAnsi="宋体" w:cs="宋体"/>
          <w:b/>
          <w:bCs/>
          <w:sz w:val="24"/>
          <w:highlight w:val="none"/>
        </w:rPr>
        <w:t>五</w:t>
      </w:r>
      <w:r>
        <w:rPr>
          <w:rFonts w:hAnsi="宋体"/>
          <w:b/>
          <w:sz w:val="24"/>
          <w:highlight w:val="none"/>
        </w:rPr>
        <w:t>、诉讼</w:t>
      </w:r>
    </w:p>
    <w:p>
      <w:pPr>
        <w:spacing w:line="336" w:lineRule="auto"/>
        <w:ind w:firstLine="540"/>
        <w:rPr>
          <w:rFonts w:hint="eastAsia" w:hAnsi="宋体"/>
          <w:sz w:val="24"/>
          <w:highlight w:val="none"/>
        </w:rPr>
      </w:pPr>
      <w:r>
        <w:rPr>
          <w:rFonts w:hAnsi="宋体"/>
          <w:sz w:val="24"/>
          <w:highlight w:val="none"/>
        </w:rPr>
        <w:t>双方在执行合同中所发生的一切争议，应通过协商解决。如协商不成，</w:t>
      </w:r>
      <w:r>
        <w:rPr>
          <w:rFonts w:hint="eastAsia" w:hAnsi="宋体"/>
          <w:sz w:val="24"/>
          <w:highlight w:val="none"/>
        </w:rPr>
        <w:t>可向甲方所在地经济仲裁机构提请仲裁或向人民法院提起诉讼。</w:t>
      </w:r>
    </w:p>
    <w:p>
      <w:pPr>
        <w:spacing w:line="336" w:lineRule="auto"/>
        <w:ind w:firstLine="542"/>
        <w:rPr>
          <w:rFonts w:hint="eastAsia" w:hAnsi="宋体"/>
          <w:b/>
          <w:sz w:val="24"/>
          <w:highlight w:val="none"/>
        </w:rPr>
      </w:pPr>
      <w:r>
        <w:rPr>
          <w:rFonts w:hAnsi="宋体"/>
          <w:b/>
          <w:sz w:val="24"/>
          <w:highlight w:val="none"/>
        </w:rPr>
        <w:t>十</w:t>
      </w:r>
      <w:r>
        <w:rPr>
          <w:rFonts w:hint="eastAsia" w:hAnsi="宋体"/>
          <w:b/>
          <w:sz w:val="24"/>
          <w:highlight w:val="none"/>
        </w:rPr>
        <w:t>六</w:t>
      </w:r>
      <w:r>
        <w:rPr>
          <w:rFonts w:hAnsi="宋体"/>
          <w:b/>
          <w:sz w:val="24"/>
          <w:highlight w:val="none"/>
        </w:rPr>
        <w:t>、合同生效及其它</w:t>
      </w:r>
    </w:p>
    <w:p>
      <w:pPr>
        <w:spacing w:line="336" w:lineRule="auto"/>
        <w:ind w:firstLine="540"/>
        <w:rPr>
          <w:rFonts w:hint="eastAsia" w:hAnsi="宋体"/>
          <w:sz w:val="24"/>
          <w:highlight w:val="none"/>
        </w:rPr>
      </w:pPr>
      <w:r>
        <w:rPr>
          <w:rFonts w:hint="eastAsia" w:hAnsi="宋体"/>
          <w:sz w:val="24"/>
          <w:highlight w:val="none"/>
        </w:rPr>
        <w:t>1.补充条款：</w:t>
      </w:r>
    </w:p>
    <w:p>
      <w:pPr>
        <w:spacing w:line="336" w:lineRule="auto"/>
        <w:ind w:firstLine="540"/>
        <w:rPr>
          <w:rFonts w:hint="eastAsia" w:hAnsi="宋体"/>
          <w:sz w:val="24"/>
          <w:highlight w:val="none"/>
        </w:rPr>
      </w:pPr>
      <w:r>
        <w:rPr>
          <w:rFonts w:hint="eastAsia" w:hAnsi="宋体"/>
          <w:sz w:val="24"/>
          <w:highlight w:val="none"/>
        </w:rPr>
        <w:t>（1）在设计服务过程中，乙方需根据业主要求完成设计任务，乙方若因服务不到位被甲方书面通报三次，甲方有权终止项目合同。</w:t>
      </w:r>
    </w:p>
    <w:p>
      <w:pPr>
        <w:spacing w:line="336" w:lineRule="auto"/>
        <w:ind w:firstLine="540"/>
        <w:rPr>
          <w:rFonts w:hint="eastAsia" w:hAnsi="宋体"/>
          <w:sz w:val="24"/>
          <w:highlight w:val="none"/>
        </w:rPr>
      </w:pPr>
      <w:r>
        <w:rPr>
          <w:rFonts w:hint="eastAsia" w:hAnsi="宋体"/>
          <w:sz w:val="24"/>
          <w:highlight w:val="none"/>
        </w:rPr>
        <w:t>（2）在设计过程中，乙方设计人员须亲临现场进行实地仔细考察。在设计过程中，建设单位要求改变设计的，乙方须及时给予变更。</w:t>
      </w:r>
    </w:p>
    <w:p>
      <w:pPr>
        <w:spacing w:line="336" w:lineRule="auto"/>
        <w:ind w:firstLine="540"/>
        <w:rPr>
          <w:rFonts w:hint="eastAsia" w:hAnsi="宋体"/>
          <w:sz w:val="24"/>
          <w:highlight w:val="none"/>
        </w:rPr>
      </w:pPr>
      <w:r>
        <w:rPr>
          <w:rFonts w:hint="eastAsia" w:hAnsi="宋体"/>
          <w:sz w:val="24"/>
          <w:highlight w:val="none"/>
        </w:rPr>
        <w:t>（3）乙方保证配备专业设计人员对本项目进行全过程跟踪服务，及时解决施工过程中遇到的设计方面的问题，发现问题时及时处理。在接到建设单位通知后，乙方做到按建设单位要求时间到达现场，否则每发生一次，乙方无条件向建设单位支付3000元人民币违约金，并同意该违约金从设计费中扣除。</w:t>
      </w:r>
    </w:p>
    <w:p>
      <w:pPr>
        <w:spacing w:line="336" w:lineRule="auto"/>
        <w:ind w:firstLine="540"/>
        <w:rPr>
          <w:rFonts w:hint="eastAsia" w:hAnsi="宋体"/>
          <w:sz w:val="24"/>
          <w:highlight w:val="none"/>
        </w:rPr>
      </w:pPr>
      <w:r>
        <w:rPr>
          <w:rFonts w:hint="eastAsia" w:hAnsi="宋体"/>
          <w:sz w:val="24"/>
          <w:highlight w:val="none"/>
        </w:rPr>
        <w:t>（4）在施工过程中，乙方应耐心对施工单位、监理单位和甲方的现场技术人员等进行技术交底；建设单位要求乙方设计人员到现场处理与设计有关的技术问题时，乙方做到及时到位、及时处理。</w:t>
      </w:r>
    </w:p>
    <w:p>
      <w:pPr>
        <w:spacing w:line="336" w:lineRule="auto"/>
        <w:ind w:firstLine="540"/>
        <w:rPr>
          <w:rFonts w:hint="eastAsia" w:hAnsi="宋体"/>
          <w:sz w:val="24"/>
          <w:highlight w:val="none"/>
        </w:rPr>
      </w:pPr>
      <w:r>
        <w:rPr>
          <w:rFonts w:hint="eastAsia" w:hAnsi="宋体"/>
          <w:sz w:val="24"/>
          <w:highlight w:val="none"/>
        </w:rPr>
        <w:t>（5）在涉及工程施工设计变更时，乙方恪守职业道德，在确保工程质量的前提下，做到不损害建设单位的利益。</w:t>
      </w:r>
    </w:p>
    <w:p>
      <w:pPr>
        <w:spacing w:line="336" w:lineRule="auto"/>
        <w:ind w:firstLine="540"/>
        <w:rPr>
          <w:rFonts w:hint="eastAsia" w:hAnsi="宋体"/>
          <w:sz w:val="24"/>
          <w:highlight w:val="none"/>
        </w:rPr>
      </w:pPr>
      <w:r>
        <w:rPr>
          <w:rFonts w:hint="eastAsia" w:hAnsi="宋体"/>
          <w:sz w:val="24"/>
          <w:highlight w:val="none"/>
        </w:rPr>
        <w:t>2.合同经双方法定代表人或授权代表签字并加盖单位公章后生效。</w:t>
      </w:r>
    </w:p>
    <w:p>
      <w:pPr>
        <w:spacing w:line="336" w:lineRule="auto"/>
        <w:ind w:firstLine="540"/>
        <w:rPr>
          <w:rFonts w:hint="eastAsia" w:hAnsi="宋体"/>
          <w:sz w:val="24"/>
          <w:highlight w:val="none"/>
        </w:rPr>
      </w:pPr>
      <w:r>
        <w:rPr>
          <w:rFonts w:hint="eastAsia" w:hAnsi="宋体"/>
          <w:sz w:val="24"/>
          <w:highlight w:val="none"/>
        </w:rPr>
        <w:t>3.本合同未尽事宜，遵照《民法典》有关条文执行。</w:t>
      </w:r>
    </w:p>
    <w:p>
      <w:pPr>
        <w:spacing w:line="336" w:lineRule="auto"/>
        <w:ind w:firstLine="540"/>
        <w:rPr>
          <w:rFonts w:hint="eastAsia" w:hAnsi="宋体"/>
          <w:sz w:val="24"/>
          <w:highlight w:val="none"/>
        </w:rPr>
      </w:pPr>
      <w:r>
        <w:rPr>
          <w:rFonts w:hint="eastAsia" w:hAnsi="宋体"/>
          <w:sz w:val="24"/>
          <w:highlight w:val="none"/>
        </w:rPr>
        <w:t>4.本合同一式陆份，具有同等法律效力。甲方、乙方各执贰份，代理公司和监管部门各执壹份。</w:t>
      </w:r>
    </w:p>
    <w:p>
      <w:pPr>
        <w:pStyle w:val="22"/>
        <w:snapToGrid w:val="0"/>
        <w:spacing w:before="120" w:after="120" w:line="336" w:lineRule="auto"/>
        <w:ind w:firstLine="240" w:firstLineChars="100"/>
        <w:rPr>
          <w:rFonts w:hint="eastAsia" w:hAnsi="宋体"/>
          <w:sz w:val="24"/>
          <w:highlight w:val="none"/>
        </w:rPr>
      </w:pPr>
      <w:r>
        <w:rPr>
          <w:rFonts w:hint="eastAsia" w:hAnsi="宋体"/>
          <w:sz w:val="24"/>
          <w:highlight w:val="none"/>
        </w:rPr>
        <w:t xml:space="preserve">甲方：                                  乙方： </w:t>
      </w:r>
    </w:p>
    <w:p>
      <w:pPr>
        <w:pStyle w:val="22"/>
        <w:snapToGrid w:val="0"/>
        <w:spacing w:before="120" w:after="120" w:line="336" w:lineRule="auto"/>
        <w:rPr>
          <w:rFonts w:hint="eastAsia" w:hAnsi="宋体"/>
          <w:sz w:val="24"/>
          <w:highlight w:val="none"/>
        </w:rPr>
      </w:pPr>
      <w:r>
        <w:rPr>
          <w:rFonts w:hint="eastAsia" w:hAnsi="宋体"/>
          <w:sz w:val="24"/>
          <w:highlight w:val="none"/>
        </w:rPr>
        <w:t xml:space="preserve">  地址：                                  地址： </w:t>
      </w:r>
    </w:p>
    <w:p>
      <w:pPr>
        <w:pStyle w:val="22"/>
        <w:snapToGrid w:val="0"/>
        <w:spacing w:before="120" w:after="120" w:line="336" w:lineRule="auto"/>
        <w:rPr>
          <w:rFonts w:hint="eastAsia" w:hAnsi="宋体"/>
          <w:sz w:val="24"/>
          <w:highlight w:val="none"/>
        </w:rPr>
      </w:pPr>
      <w:r>
        <w:rPr>
          <w:rFonts w:hint="eastAsia" w:hAnsi="宋体"/>
          <w:sz w:val="24"/>
          <w:highlight w:val="none"/>
        </w:rPr>
        <w:t xml:space="preserve">  法定（授权）代表人：                    法定（授权）代表人：</w:t>
      </w:r>
    </w:p>
    <w:p>
      <w:pPr>
        <w:pStyle w:val="22"/>
        <w:snapToGrid w:val="0"/>
        <w:spacing w:before="120" w:after="120" w:line="336" w:lineRule="auto"/>
        <w:ind w:firstLine="240" w:firstLineChars="100"/>
        <w:rPr>
          <w:highlight w:val="none"/>
        </w:rPr>
      </w:pPr>
      <w:r>
        <w:rPr>
          <w:rFonts w:hint="eastAsia" w:hAnsi="宋体"/>
          <w:sz w:val="24"/>
          <w:highlight w:val="none"/>
        </w:rPr>
        <w:t>签字日期：      年  月   日             签字日期：      年  月   日</w:t>
      </w:r>
    </w:p>
    <w:p>
      <w:pPr>
        <w:pStyle w:val="3"/>
        <w:rPr>
          <w:highlight w:val="none"/>
        </w:rPr>
      </w:pPr>
      <w:r>
        <w:rPr>
          <w:rFonts w:hint="eastAsia"/>
          <w:b w:val="0"/>
          <w:highlight w:val="none"/>
        </w:rPr>
        <w:br w:type="page"/>
      </w:r>
      <w:bookmarkStart w:id="96" w:name="_Toc28757"/>
      <w:r>
        <w:rPr>
          <w:rFonts w:hint="eastAsia"/>
          <w:highlight w:val="none"/>
        </w:rPr>
        <w:t>第六章 投标文件格式</w:t>
      </w:r>
      <w:bookmarkEnd w:id="95"/>
      <w:bookmarkEnd w:id="96"/>
    </w:p>
    <w:p>
      <w:pPr>
        <w:snapToGrid w:val="0"/>
        <w:spacing w:before="156" w:beforeLines="50" w:after="50" w:line="360" w:lineRule="auto"/>
        <w:ind w:firstLine="632"/>
        <w:rPr>
          <w:rFonts w:hint="eastAsia" w:ascii="宋体" w:hAnsi="宋体" w:cs="宋体"/>
          <w:b/>
          <w:sz w:val="24"/>
          <w:highlight w:val="none"/>
        </w:rPr>
      </w:pPr>
      <w:r>
        <w:rPr>
          <w:rFonts w:hint="eastAsia" w:ascii="宋体" w:hAnsi="宋体"/>
          <w:b/>
          <w:sz w:val="28"/>
          <w:szCs w:val="28"/>
          <w:highlight w:val="none"/>
        </w:rPr>
        <w:t>1、</w:t>
      </w:r>
      <w:r>
        <w:rPr>
          <w:rFonts w:hint="eastAsia" w:ascii="宋体" w:hAnsi="宋体" w:cs="宋体"/>
          <w:b/>
          <w:sz w:val="24"/>
          <w:highlight w:val="none"/>
        </w:rPr>
        <w:t>投标文件的外包装封面格式：</w:t>
      </w:r>
    </w:p>
    <w:p>
      <w:pPr>
        <w:snapToGrid w:val="0"/>
        <w:spacing w:before="156" w:beforeLines="50" w:after="50" w:line="360" w:lineRule="auto"/>
        <w:jc w:val="center"/>
        <w:rPr>
          <w:rFonts w:hint="eastAsia" w:ascii="宋体" w:hAnsi="宋体" w:cs="宋体"/>
          <w:bCs/>
          <w:sz w:val="24"/>
          <w:highlight w:val="none"/>
        </w:rPr>
      </w:pPr>
      <w:r>
        <w:rPr>
          <w:rFonts w:hint="eastAsia" w:ascii="宋体" w:hAnsi="宋体" w:cs="宋体"/>
          <w:bCs/>
          <w:sz w:val="24"/>
          <w:highlight w:val="none"/>
        </w:rPr>
        <w:t>×××（供应商名称）</w:t>
      </w:r>
    </w:p>
    <w:p>
      <w:pPr>
        <w:snapToGrid w:val="0"/>
        <w:spacing w:before="156" w:beforeLines="50" w:after="50" w:line="360" w:lineRule="auto"/>
        <w:jc w:val="center"/>
        <w:rPr>
          <w:rFonts w:hint="eastAsia" w:ascii="宋体" w:hAnsi="宋体" w:cs="宋体"/>
          <w:bCs/>
          <w:sz w:val="24"/>
          <w:highlight w:val="none"/>
        </w:rPr>
      </w:pPr>
      <w:r>
        <w:rPr>
          <w:rFonts w:hint="eastAsia" w:ascii="宋体" w:hAnsi="宋体" w:cs="宋体"/>
          <w:bCs/>
          <w:sz w:val="24"/>
          <w:highlight w:val="none"/>
        </w:rPr>
        <w:t>投 标 文 件</w:t>
      </w:r>
    </w:p>
    <w:p>
      <w:pPr>
        <w:snapToGrid w:val="0"/>
        <w:spacing w:before="156" w:beforeLines="50" w:after="50" w:line="360" w:lineRule="auto"/>
        <w:ind w:firstLine="1068" w:firstLineChars="445"/>
        <w:rPr>
          <w:rFonts w:hint="eastAsia" w:ascii="宋体" w:hAnsi="宋体" w:cs="宋体"/>
          <w:bCs/>
          <w:sz w:val="24"/>
          <w:highlight w:val="none"/>
        </w:rPr>
      </w:pPr>
      <w:r>
        <w:rPr>
          <w:rFonts w:hint="eastAsia" w:ascii="宋体" w:hAnsi="宋体" w:cs="宋体"/>
          <w:bCs/>
          <w:sz w:val="24"/>
          <w:highlight w:val="none"/>
        </w:rPr>
        <w:t>项目名称：</w:t>
      </w:r>
    </w:p>
    <w:p>
      <w:pPr>
        <w:snapToGrid w:val="0"/>
        <w:spacing w:before="156" w:beforeLines="50" w:after="50"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 xml:space="preserve">     项目编号：</w:t>
      </w:r>
    </w:p>
    <w:p>
      <w:pPr>
        <w:snapToGrid w:val="0"/>
        <w:spacing w:before="156" w:beforeLines="50" w:after="50" w:line="360" w:lineRule="auto"/>
        <w:ind w:firstLine="1068" w:firstLineChars="445"/>
        <w:rPr>
          <w:rFonts w:hint="eastAsia" w:ascii="宋体" w:hAnsi="宋体" w:cs="宋体"/>
          <w:bCs/>
          <w:sz w:val="24"/>
          <w:highlight w:val="none"/>
        </w:rPr>
      </w:pPr>
      <w:r>
        <w:rPr>
          <w:rFonts w:hint="eastAsia" w:ascii="宋体" w:hAnsi="宋体" w:cs="宋体"/>
          <w:bCs/>
          <w:sz w:val="24"/>
          <w:highlight w:val="none"/>
        </w:rPr>
        <w:t>投标文件名称：（资质文件）（技术商务文件）（报价文件）</w:t>
      </w:r>
    </w:p>
    <w:p>
      <w:pPr>
        <w:snapToGrid w:val="0"/>
        <w:spacing w:before="156" w:beforeLines="50" w:after="50" w:line="360" w:lineRule="auto"/>
        <w:ind w:firstLine="1068" w:firstLineChars="445"/>
        <w:rPr>
          <w:rFonts w:hint="eastAsia" w:ascii="宋体" w:hAnsi="宋体" w:cs="宋体"/>
          <w:bCs/>
          <w:sz w:val="24"/>
          <w:highlight w:val="none"/>
        </w:rPr>
      </w:pPr>
      <w:r>
        <w:rPr>
          <w:rFonts w:hint="eastAsia" w:ascii="宋体" w:hAnsi="宋体" w:cs="宋体"/>
          <w:bCs/>
          <w:sz w:val="24"/>
          <w:highlight w:val="none"/>
        </w:rPr>
        <w:t>投标人名称（盖章）：</w:t>
      </w:r>
    </w:p>
    <w:p>
      <w:pPr>
        <w:snapToGrid w:val="0"/>
        <w:spacing w:before="156" w:beforeLines="50" w:after="50" w:line="360" w:lineRule="auto"/>
        <w:ind w:firstLine="1068" w:firstLineChars="445"/>
        <w:rPr>
          <w:rFonts w:hint="eastAsia" w:ascii="宋体" w:hAnsi="宋体" w:cs="宋体"/>
          <w:bCs/>
          <w:sz w:val="24"/>
          <w:highlight w:val="none"/>
        </w:rPr>
      </w:pPr>
      <w:r>
        <w:rPr>
          <w:rFonts w:hint="eastAsia" w:ascii="宋体" w:hAnsi="宋体" w:cs="宋体"/>
          <w:bCs/>
          <w:sz w:val="24"/>
          <w:highlight w:val="none"/>
        </w:rPr>
        <w:t>投标人地址：</w:t>
      </w:r>
    </w:p>
    <w:p>
      <w:pPr>
        <w:snapToGrid w:val="0"/>
        <w:spacing w:before="156" w:beforeLines="50" w:after="50" w:line="360" w:lineRule="auto"/>
        <w:ind w:firstLine="1068" w:firstLineChars="445"/>
        <w:rPr>
          <w:rFonts w:hint="eastAsia" w:ascii="宋体" w:hAnsi="宋体" w:cs="宋体"/>
          <w:bCs/>
          <w:sz w:val="24"/>
          <w:highlight w:val="none"/>
        </w:rPr>
      </w:pPr>
      <w:r>
        <w:rPr>
          <w:rFonts w:hint="eastAsia" w:ascii="宋体" w:hAnsi="宋体" w:cs="宋体"/>
          <w:bCs/>
          <w:sz w:val="24"/>
          <w:highlight w:val="none"/>
        </w:rPr>
        <w:t>在  年  月  日  时  分之前不得启封</w:t>
      </w:r>
    </w:p>
    <w:p>
      <w:pPr>
        <w:snapToGrid w:val="0"/>
        <w:spacing w:before="156" w:beforeLines="50" w:after="50" w:line="360" w:lineRule="auto"/>
        <w:ind w:firstLine="4080" w:firstLineChars="1700"/>
        <w:rPr>
          <w:rFonts w:hint="eastAsia" w:ascii="宋体" w:hAnsi="宋体" w:cs="宋体"/>
          <w:bCs/>
          <w:sz w:val="24"/>
          <w:highlight w:val="none"/>
        </w:rPr>
      </w:pPr>
    </w:p>
    <w:p>
      <w:pPr>
        <w:snapToGrid w:val="0"/>
        <w:spacing w:before="156" w:beforeLines="50" w:after="50" w:line="360" w:lineRule="auto"/>
        <w:ind w:firstLine="4080" w:firstLineChars="1700"/>
        <w:rPr>
          <w:rFonts w:hint="eastAsia" w:ascii="宋体" w:hAnsi="宋体" w:cs="宋体"/>
          <w:bCs/>
          <w:sz w:val="24"/>
          <w:highlight w:val="none"/>
        </w:rPr>
      </w:pPr>
    </w:p>
    <w:p>
      <w:pPr>
        <w:snapToGrid w:val="0"/>
        <w:spacing w:before="156" w:beforeLines="50" w:after="50" w:line="360" w:lineRule="auto"/>
        <w:ind w:firstLine="4080" w:firstLineChars="1700"/>
        <w:rPr>
          <w:rFonts w:hint="eastAsia" w:ascii="宋体" w:hAnsi="宋体" w:cs="宋体"/>
          <w:bCs/>
          <w:sz w:val="24"/>
          <w:highlight w:val="none"/>
        </w:rPr>
      </w:pPr>
      <w:r>
        <w:rPr>
          <w:rFonts w:hint="eastAsia" w:ascii="宋体" w:hAnsi="宋体" w:cs="宋体"/>
          <w:bCs/>
          <w:sz w:val="24"/>
          <w:highlight w:val="none"/>
        </w:rPr>
        <w:t>法定代表人签字或盖章：</w:t>
      </w:r>
    </w:p>
    <w:p>
      <w:pPr>
        <w:snapToGrid w:val="0"/>
        <w:spacing w:before="156" w:beforeLines="50" w:after="50" w:line="360" w:lineRule="auto"/>
        <w:ind w:firstLine="540"/>
        <w:jc w:val="center"/>
        <w:rPr>
          <w:rFonts w:hint="eastAsia" w:ascii="宋体" w:hAnsi="宋体" w:cs="宋体"/>
          <w:bCs/>
          <w:sz w:val="24"/>
          <w:highlight w:val="none"/>
        </w:rPr>
      </w:pPr>
      <w:r>
        <w:rPr>
          <w:rFonts w:hint="eastAsia" w:ascii="宋体" w:hAnsi="宋体" w:cs="宋体"/>
          <w:bCs/>
          <w:sz w:val="24"/>
          <w:highlight w:val="none"/>
        </w:rPr>
        <w:t xml:space="preserve">                        年  月  日</w:t>
      </w:r>
    </w:p>
    <w:p>
      <w:pPr>
        <w:ind w:firstLine="542"/>
        <w:jc w:val="center"/>
        <w:rPr>
          <w:rFonts w:hint="eastAsia" w:ascii="宋体" w:hAnsi="宋体"/>
          <w:b/>
          <w:sz w:val="24"/>
          <w:highlight w:val="none"/>
        </w:rPr>
      </w:pPr>
    </w:p>
    <w:p>
      <w:pPr>
        <w:ind w:firstLine="542"/>
        <w:jc w:val="center"/>
        <w:rPr>
          <w:rFonts w:hint="eastAsia" w:ascii="宋体" w:hAnsi="宋体"/>
          <w:b/>
          <w:sz w:val="24"/>
          <w:highlight w:val="none"/>
        </w:rPr>
      </w:pPr>
    </w:p>
    <w:p>
      <w:pPr>
        <w:ind w:firstLine="542"/>
        <w:jc w:val="center"/>
        <w:rPr>
          <w:rFonts w:hint="eastAsia" w:ascii="宋体" w:hAnsi="宋体"/>
          <w:b/>
          <w:sz w:val="24"/>
          <w:highlight w:val="none"/>
        </w:rPr>
      </w:pPr>
    </w:p>
    <w:p>
      <w:pPr>
        <w:ind w:firstLine="542"/>
        <w:jc w:val="center"/>
        <w:rPr>
          <w:rFonts w:hint="eastAsia" w:ascii="宋体" w:hAnsi="宋体"/>
          <w:b/>
          <w:sz w:val="24"/>
          <w:highlight w:val="none"/>
        </w:rPr>
      </w:pPr>
    </w:p>
    <w:p>
      <w:pPr>
        <w:ind w:firstLine="542"/>
        <w:jc w:val="center"/>
        <w:rPr>
          <w:rFonts w:hint="eastAsia" w:ascii="宋体" w:hAnsi="宋体"/>
          <w:b/>
          <w:sz w:val="24"/>
          <w:highlight w:val="none"/>
        </w:rPr>
      </w:pPr>
    </w:p>
    <w:p>
      <w:pPr>
        <w:ind w:firstLine="542"/>
        <w:jc w:val="center"/>
        <w:rPr>
          <w:rFonts w:hint="eastAsia" w:ascii="宋体" w:hAnsi="宋体"/>
          <w:b/>
          <w:sz w:val="24"/>
          <w:highlight w:val="none"/>
        </w:rPr>
      </w:pPr>
    </w:p>
    <w:p>
      <w:pPr>
        <w:ind w:firstLine="542"/>
        <w:jc w:val="center"/>
        <w:rPr>
          <w:rFonts w:hint="eastAsia" w:ascii="宋体" w:hAnsi="宋体"/>
          <w:b/>
          <w:sz w:val="24"/>
          <w:highlight w:val="none"/>
        </w:rPr>
      </w:pPr>
    </w:p>
    <w:p>
      <w:pPr>
        <w:ind w:firstLine="542"/>
        <w:jc w:val="center"/>
        <w:rPr>
          <w:rFonts w:hint="eastAsia" w:ascii="宋体" w:hAnsi="宋体"/>
          <w:b/>
          <w:sz w:val="24"/>
          <w:highlight w:val="none"/>
        </w:rPr>
      </w:pPr>
    </w:p>
    <w:p>
      <w:pPr>
        <w:ind w:firstLine="542"/>
        <w:jc w:val="center"/>
        <w:rPr>
          <w:rFonts w:hint="eastAsia" w:ascii="宋体" w:hAnsi="宋体"/>
          <w:b/>
          <w:sz w:val="24"/>
          <w:highlight w:val="none"/>
        </w:rPr>
      </w:pPr>
    </w:p>
    <w:p>
      <w:pPr>
        <w:ind w:firstLine="542"/>
        <w:jc w:val="center"/>
        <w:rPr>
          <w:rFonts w:hint="eastAsia" w:ascii="宋体" w:hAnsi="宋体"/>
          <w:b/>
          <w:sz w:val="24"/>
          <w:highlight w:val="none"/>
        </w:rPr>
      </w:pPr>
    </w:p>
    <w:p>
      <w:pPr>
        <w:ind w:firstLine="542"/>
        <w:jc w:val="center"/>
        <w:rPr>
          <w:rFonts w:hint="eastAsia" w:ascii="宋体" w:hAnsi="宋体"/>
          <w:b/>
          <w:sz w:val="24"/>
          <w:highlight w:val="none"/>
        </w:rPr>
      </w:pPr>
    </w:p>
    <w:p>
      <w:pPr>
        <w:ind w:firstLine="542"/>
        <w:jc w:val="center"/>
        <w:rPr>
          <w:rFonts w:hint="eastAsia" w:ascii="宋体" w:hAnsi="宋体"/>
          <w:b/>
          <w:sz w:val="24"/>
          <w:highlight w:val="none"/>
        </w:rPr>
      </w:pPr>
    </w:p>
    <w:p>
      <w:pPr>
        <w:ind w:firstLine="542"/>
        <w:jc w:val="center"/>
        <w:rPr>
          <w:rFonts w:hint="eastAsia" w:ascii="宋体" w:hAnsi="宋体"/>
          <w:b/>
          <w:sz w:val="24"/>
          <w:highlight w:val="none"/>
        </w:rPr>
      </w:pPr>
    </w:p>
    <w:p>
      <w:pPr>
        <w:ind w:firstLine="542"/>
        <w:jc w:val="center"/>
        <w:rPr>
          <w:rFonts w:hint="eastAsia" w:ascii="宋体" w:hAnsi="宋体"/>
          <w:b/>
          <w:sz w:val="24"/>
          <w:highlight w:val="none"/>
        </w:rPr>
      </w:pPr>
    </w:p>
    <w:p>
      <w:pPr>
        <w:ind w:firstLine="542"/>
        <w:jc w:val="center"/>
        <w:rPr>
          <w:rFonts w:hint="eastAsia" w:ascii="宋体" w:hAnsi="宋体"/>
          <w:b/>
          <w:sz w:val="24"/>
          <w:highlight w:val="none"/>
        </w:rPr>
      </w:pPr>
    </w:p>
    <w:p>
      <w:pPr>
        <w:ind w:firstLine="542"/>
        <w:rPr>
          <w:rFonts w:hint="eastAsia" w:ascii="宋体" w:hAnsi="宋体"/>
          <w:b/>
          <w:sz w:val="24"/>
          <w:highlight w:val="none"/>
        </w:rPr>
      </w:pPr>
    </w:p>
    <w:p>
      <w:pPr>
        <w:snapToGrid w:val="0"/>
        <w:spacing w:before="156" w:beforeLines="50" w:after="50"/>
        <w:ind w:firstLine="675"/>
        <w:jc w:val="right"/>
        <w:rPr>
          <w:rFonts w:hint="eastAsia" w:ascii="宋体" w:hAnsi="宋体"/>
          <w:b/>
          <w:sz w:val="30"/>
          <w:szCs w:val="30"/>
          <w:highlight w:val="none"/>
        </w:rPr>
      </w:pPr>
      <w:r>
        <w:rPr>
          <w:rFonts w:hint="eastAsia" w:ascii="宋体" w:hAnsi="宋体"/>
          <w:sz w:val="30"/>
          <w:szCs w:val="30"/>
          <w:highlight w:val="none"/>
        </w:rPr>
        <w:t>正本或副本</w:t>
      </w:r>
    </w:p>
    <w:p>
      <w:pPr>
        <w:ind w:right="-110" w:firstLine="1350"/>
        <w:jc w:val="center"/>
        <w:rPr>
          <w:rFonts w:hint="eastAsia" w:ascii="宋体" w:hAnsi="宋体"/>
          <w:spacing w:val="40"/>
          <w:sz w:val="52"/>
          <w:szCs w:val="52"/>
          <w:highlight w:val="none"/>
        </w:rPr>
      </w:pPr>
    </w:p>
    <w:p>
      <w:pPr>
        <w:ind w:right="-110"/>
        <w:jc w:val="center"/>
        <w:rPr>
          <w:rFonts w:hint="eastAsia" w:ascii="宋体" w:hAnsi="宋体"/>
          <w:spacing w:val="40"/>
          <w:sz w:val="52"/>
          <w:szCs w:val="52"/>
          <w:highlight w:val="none"/>
        </w:rPr>
      </w:pPr>
      <w:r>
        <w:rPr>
          <w:rFonts w:hint="eastAsia" w:ascii="宋体" w:hAnsi="宋体"/>
          <w:spacing w:val="40"/>
          <w:sz w:val="52"/>
          <w:szCs w:val="52"/>
          <w:highlight w:val="none"/>
        </w:rPr>
        <w:t>项目名称</w:t>
      </w:r>
    </w:p>
    <w:p>
      <w:pPr>
        <w:spacing w:before="312" w:beforeLines="100" w:line="240" w:lineRule="atLeast"/>
        <w:jc w:val="center"/>
        <w:rPr>
          <w:rFonts w:hint="eastAsia" w:ascii="宋体" w:hAnsi="宋体"/>
          <w:sz w:val="36"/>
          <w:szCs w:val="36"/>
          <w:highlight w:val="none"/>
        </w:rPr>
      </w:pPr>
      <w:r>
        <w:rPr>
          <w:rFonts w:hint="eastAsia" w:ascii="宋体" w:hAnsi="宋体"/>
          <w:sz w:val="36"/>
          <w:szCs w:val="36"/>
          <w:highlight w:val="none"/>
        </w:rPr>
        <w:t>项目编号：</w:t>
      </w:r>
    </w:p>
    <w:p>
      <w:pPr>
        <w:spacing w:after="100" w:afterAutospacing="1" w:line="800" w:lineRule="exact"/>
        <w:ind w:right="-108" w:firstLine="2077"/>
        <w:jc w:val="center"/>
        <w:rPr>
          <w:rFonts w:hint="eastAsia" w:ascii="宋体" w:hAnsi="宋体"/>
          <w:b/>
          <w:spacing w:val="40"/>
          <w:sz w:val="84"/>
          <w:szCs w:val="84"/>
          <w:highlight w:val="none"/>
        </w:rPr>
      </w:pPr>
    </w:p>
    <w:p>
      <w:pPr>
        <w:spacing w:after="100" w:afterAutospacing="1" w:line="800" w:lineRule="exact"/>
        <w:ind w:right="-108"/>
        <w:jc w:val="center"/>
        <w:rPr>
          <w:rFonts w:hint="eastAsia" w:ascii="宋体" w:hAnsi="宋体"/>
          <w:b/>
          <w:spacing w:val="40"/>
          <w:sz w:val="72"/>
          <w:szCs w:val="72"/>
          <w:highlight w:val="none"/>
        </w:rPr>
      </w:pPr>
      <w:r>
        <w:rPr>
          <w:rFonts w:hint="eastAsia" w:ascii="宋体" w:hAnsi="宋体"/>
          <w:b/>
          <w:spacing w:val="40"/>
          <w:sz w:val="72"/>
          <w:szCs w:val="72"/>
          <w:highlight w:val="none"/>
        </w:rPr>
        <w:t>资</w:t>
      </w:r>
    </w:p>
    <w:p>
      <w:pPr>
        <w:spacing w:after="100" w:afterAutospacing="1" w:line="800" w:lineRule="exact"/>
        <w:ind w:right="-108"/>
        <w:jc w:val="center"/>
        <w:rPr>
          <w:rFonts w:hint="eastAsia" w:ascii="宋体" w:hAnsi="宋体"/>
          <w:b/>
          <w:spacing w:val="40"/>
          <w:sz w:val="72"/>
          <w:szCs w:val="72"/>
          <w:highlight w:val="none"/>
        </w:rPr>
      </w:pPr>
      <w:r>
        <w:rPr>
          <w:rFonts w:hint="eastAsia" w:ascii="宋体" w:hAnsi="宋体"/>
          <w:b/>
          <w:spacing w:val="40"/>
          <w:sz w:val="72"/>
          <w:szCs w:val="72"/>
          <w:highlight w:val="none"/>
        </w:rPr>
        <w:t>质</w:t>
      </w:r>
    </w:p>
    <w:p>
      <w:pPr>
        <w:spacing w:after="100" w:afterAutospacing="1" w:line="800" w:lineRule="exact"/>
        <w:ind w:right="-108"/>
        <w:jc w:val="center"/>
        <w:rPr>
          <w:rFonts w:hint="eastAsia" w:ascii="宋体" w:hAnsi="宋体"/>
          <w:b/>
          <w:spacing w:val="40"/>
          <w:sz w:val="72"/>
          <w:szCs w:val="72"/>
          <w:highlight w:val="none"/>
        </w:rPr>
      </w:pPr>
      <w:r>
        <w:rPr>
          <w:rFonts w:hint="eastAsia" w:ascii="宋体" w:hAnsi="宋体"/>
          <w:b/>
          <w:spacing w:val="40"/>
          <w:sz w:val="72"/>
          <w:szCs w:val="72"/>
          <w:highlight w:val="none"/>
        </w:rPr>
        <w:t>文</w:t>
      </w:r>
    </w:p>
    <w:p>
      <w:pPr>
        <w:spacing w:after="100" w:afterAutospacing="1" w:line="800" w:lineRule="exact"/>
        <w:ind w:right="-108"/>
        <w:jc w:val="center"/>
        <w:rPr>
          <w:rFonts w:hint="eastAsia" w:ascii="宋体" w:hAnsi="宋体"/>
          <w:b/>
          <w:spacing w:val="40"/>
          <w:sz w:val="84"/>
          <w:szCs w:val="84"/>
          <w:highlight w:val="none"/>
        </w:rPr>
      </w:pPr>
      <w:r>
        <w:rPr>
          <w:rFonts w:hint="eastAsia" w:ascii="宋体" w:hAnsi="宋体"/>
          <w:b/>
          <w:spacing w:val="40"/>
          <w:sz w:val="72"/>
          <w:szCs w:val="72"/>
          <w:highlight w:val="none"/>
        </w:rPr>
        <w:t>件</w:t>
      </w:r>
    </w:p>
    <w:p>
      <w:pPr>
        <w:spacing w:line="600" w:lineRule="exact"/>
        <w:ind w:right="532" w:firstLine="720" w:firstLineChars="200"/>
        <w:rPr>
          <w:rFonts w:hint="eastAsia" w:ascii="宋体" w:hAnsi="宋体"/>
          <w:sz w:val="36"/>
          <w:szCs w:val="36"/>
          <w:highlight w:val="none"/>
        </w:rPr>
      </w:pPr>
    </w:p>
    <w:p>
      <w:pPr>
        <w:spacing w:line="600" w:lineRule="exact"/>
        <w:ind w:right="532" w:firstLine="720" w:firstLineChars="200"/>
        <w:rPr>
          <w:rFonts w:hint="eastAsia" w:ascii="宋体" w:hAnsi="宋体"/>
          <w:sz w:val="36"/>
          <w:szCs w:val="36"/>
          <w:highlight w:val="none"/>
        </w:rPr>
      </w:pPr>
      <w:r>
        <w:rPr>
          <w:rFonts w:hint="eastAsia" w:ascii="宋体" w:hAnsi="宋体"/>
          <w:sz w:val="36"/>
          <w:szCs w:val="36"/>
          <w:highlight w:val="none"/>
        </w:rPr>
        <w:t>投标人全称：</w:t>
      </w:r>
    </w:p>
    <w:p>
      <w:pPr>
        <w:spacing w:line="600" w:lineRule="exact"/>
        <w:ind w:right="532" w:firstLine="720" w:firstLineChars="200"/>
        <w:rPr>
          <w:rFonts w:hint="eastAsia" w:ascii="宋体" w:hAnsi="宋体"/>
          <w:sz w:val="36"/>
          <w:szCs w:val="36"/>
          <w:highlight w:val="none"/>
        </w:rPr>
      </w:pPr>
      <w:r>
        <w:rPr>
          <w:rFonts w:hint="eastAsia" w:ascii="宋体" w:hAnsi="宋体"/>
          <w:sz w:val="36"/>
          <w:szCs w:val="36"/>
          <w:highlight w:val="none"/>
        </w:rPr>
        <w:t>地    址：</w:t>
      </w:r>
    </w:p>
    <w:p>
      <w:pPr>
        <w:spacing w:line="600" w:lineRule="exact"/>
        <w:ind w:right="532" w:firstLine="720" w:firstLineChars="200"/>
        <w:rPr>
          <w:rFonts w:hint="eastAsia" w:ascii="宋体" w:hAnsi="宋体"/>
          <w:b/>
          <w:sz w:val="24"/>
          <w:highlight w:val="none"/>
        </w:rPr>
      </w:pPr>
      <w:r>
        <w:rPr>
          <w:rFonts w:hint="eastAsia" w:ascii="宋体" w:hAnsi="宋体"/>
          <w:sz w:val="36"/>
          <w:szCs w:val="36"/>
          <w:highlight w:val="none"/>
        </w:rPr>
        <w:t>时    间：</w:t>
      </w:r>
    </w:p>
    <w:p>
      <w:pPr>
        <w:widowControl/>
        <w:ind w:firstLine="675"/>
        <w:jc w:val="left"/>
        <w:rPr>
          <w:rFonts w:hint="eastAsia" w:ascii="宋体" w:hAnsi="宋体"/>
          <w:sz w:val="30"/>
          <w:szCs w:val="30"/>
          <w:highlight w:val="none"/>
        </w:rPr>
      </w:pPr>
      <w:r>
        <w:rPr>
          <w:rFonts w:hint="eastAsia" w:ascii="宋体" w:hAnsi="宋体"/>
          <w:sz w:val="30"/>
          <w:szCs w:val="30"/>
          <w:highlight w:val="none"/>
        </w:rPr>
        <w:br w:type="page"/>
      </w:r>
    </w:p>
    <w:p>
      <w:pPr>
        <w:snapToGrid w:val="0"/>
        <w:spacing w:line="360" w:lineRule="auto"/>
        <w:ind w:right="480" w:firstLine="675"/>
        <w:jc w:val="left"/>
        <w:rPr>
          <w:rFonts w:hint="eastAsia" w:ascii="宋体" w:hAnsi="宋体"/>
          <w:b/>
          <w:sz w:val="30"/>
          <w:szCs w:val="30"/>
          <w:highlight w:val="none"/>
        </w:rPr>
      </w:pPr>
      <w:r>
        <w:rPr>
          <w:rFonts w:hint="eastAsia" w:ascii="宋体" w:hAnsi="宋体"/>
          <w:sz w:val="30"/>
          <w:szCs w:val="30"/>
          <w:highlight w:val="none"/>
        </w:rPr>
        <w:t>附件1</w:t>
      </w:r>
      <w:r>
        <w:rPr>
          <w:rFonts w:hint="eastAsia" w:ascii="宋体" w:hAnsi="宋体"/>
          <w:b/>
          <w:sz w:val="30"/>
          <w:szCs w:val="30"/>
          <w:highlight w:val="none"/>
        </w:rPr>
        <w:t>：</w:t>
      </w:r>
    </w:p>
    <w:p>
      <w:pPr>
        <w:snapToGrid w:val="0"/>
        <w:spacing w:line="360" w:lineRule="auto"/>
        <w:ind w:right="480" w:firstLine="542"/>
        <w:jc w:val="center"/>
        <w:rPr>
          <w:rFonts w:hint="eastAsia" w:ascii="宋体" w:hAnsi="宋体" w:cs="宋体"/>
          <w:b/>
          <w:kern w:val="0"/>
          <w:sz w:val="24"/>
          <w:highlight w:val="none"/>
        </w:rPr>
      </w:pPr>
      <w:r>
        <w:rPr>
          <w:rFonts w:hint="eastAsia" w:ascii="宋体" w:hAnsi="宋体" w:cs="宋体"/>
          <w:b/>
          <w:kern w:val="0"/>
          <w:sz w:val="24"/>
          <w:highlight w:val="none"/>
        </w:rPr>
        <w:t>符合参加采购活动应当具备的一般条件的承诺函</w:t>
      </w:r>
    </w:p>
    <w:p>
      <w:pPr>
        <w:snapToGrid w:val="0"/>
        <w:spacing w:line="360" w:lineRule="auto"/>
        <w:rPr>
          <w:rFonts w:hint="eastAsia" w:ascii="宋体" w:hAnsi="宋体" w:cs="宋体"/>
          <w:sz w:val="24"/>
          <w:highlight w:val="none"/>
        </w:rPr>
      </w:pPr>
      <w:r>
        <w:rPr>
          <w:rFonts w:hint="eastAsia" w:ascii="宋体" w:hAnsi="宋体" w:cs="宋体"/>
          <w:sz w:val="24"/>
          <w:highlight w:val="none"/>
        </w:rPr>
        <w:t>（采购人）、（采购代理机构）：</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我方参与（项目名称）【招标编号：（）】采购活动，郑重承诺：</w:t>
      </w:r>
    </w:p>
    <w:p>
      <w:pPr>
        <w:snapToGrid w:val="0"/>
        <w:spacing w:line="360" w:lineRule="auto"/>
        <w:ind w:firstLine="360" w:firstLineChars="150"/>
        <w:rPr>
          <w:rFonts w:hint="eastAsia" w:ascii="宋体" w:hAnsi="宋体" w:cs="宋体"/>
          <w:sz w:val="24"/>
          <w:highlight w:val="none"/>
        </w:rPr>
      </w:pPr>
      <w:r>
        <w:rPr>
          <w:rFonts w:hint="eastAsia" w:ascii="宋体" w:hAnsi="宋体" w:cs="宋体"/>
          <w:sz w:val="24"/>
          <w:highlight w:val="none"/>
        </w:rPr>
        <w:t>（一）具备第二十二条第一款规定的条件：</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1、具有独立承担民事责任的能力；</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2、具有良好的商业信誉和健全的财务会计制度； </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3、具有履行合同所必需的设备和专业技术能力；</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4、有依法缴纳税收和社会保障资金的良好记录；</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5、参加采购活动前三年内，在经营活动中没有重大违法记录；</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单位负责人为同一人或者存在直接控股、管理关系的不同供应商参加同一合同项下的采购活动的；</w:t>
      </w:r>
    </w:p>
    <w:p>
      <w:pPr>
        <w:pStyle w:val="4"/>
        <w:ind w:firstLine="542"/>
        <w:rPr>
          <w:rFonts w:hint="eastAsia" w:ascii="宋体" w:hAnsi="宋体" w:cs="宋体"/>
          <w:sz w:val="24"/>
          <w:highlight w:val="none"/>
        </w:rPr>
      </w:pPr>
    </w:p>
    <w:p>
      <w:pPr>
        <w:ind w:firstLine="473"/>
        <w:rPr>
          <w:highlight w:val="none"/>
        </w:rPr>
      </w:pPr>
    </w:p>
    <w:p>
      <w:pPr>
        <w:pStyle w:val="13"/>
        <w:spacing w:line="560" w:lineRule="exact"/>
        <w:ind w:left="0" w:leftChars="0"/>
        <w:rPr>
          <w:rStyle w:val="145"/>
          <w:rFonts w:hint="eastAsia" w:ascii="宋体" w:hAnsi="宋体" w:cs="宋体"/>
          <w:sz w:val="24"/>
          <w:highlight w:val="none"/>
        </w:rPr>
      </w:pPr>
      <w:r>
        <w:rPr>
          <w:rStyle w:val="145"/>
          <w:rFonts w:hint="eastAsia" w:ascii="宋体" w:hAnsi="宋体" w:cs="宋体"/>
          <w:sz w:val="24"/>
          <w:highlight w:val="none"/>
        </w:rPr>
        <w:t>投标人：(公章)</w:t>
      </w:r>
    </w:p>
    <w:p>
      <w:pPr>
        <w:pStyle w:val="13"/>
        <w:spacing w:line="560" w:lineRule="exact"/>
        <w:ind w:left="0" w:leftChars="0"/>
        <w:rPr>
          <w:snapToGrid w:val="0"/>
          <w:highlight w:val="none"/>
        </w:rPr>
      </w:pPr>
      <w:r>
        <w:rPr>
          <w:rStyle w:val="145"/>
          <w:rFonts w:hint="eastAsia" w:ascii="宋体" w:hAnsi="宋体" w:cs="宋体"/>
          <w:sz w:val="24"/>
          <w:highlight w:val="none"/>
        </w:rPr>
        <w:t>日期：</w:t>
      </w:r>
      <w:r>
        <w:rPr>
          <w:rFonts w:hint="eastAsia" w:ascii="宋体" w:hAnsi="宋体" w:cs="宋体"/>
          <w:snapToGrid w:val="0"/>
          <w:sz w:val="24"/>
          <w:highlight w:val="none"/>
          <w:u w:val="single"/>
        </w:rPr>
        <w:t xml:space="preserve">      </w:t>
      </w:r>
      <w:r>
        <w:rPr>
          <w:rFonts w:hint="eastAsia" w:ascii="宋体" w:hAnsi="宋体" w:cs="宋体"/>
          <w:snapToGrid w:val="0"/>
          <w:sz w:val="24"/>
          <w:highlight w:val="none"/>
        </w:rPr>
        <w:t>年</w:t>
      </w:r>
      <w:r>
        <w:rPr>
          <w:rFonts w:hint="eastAsia" w:ascii="宋体" w:hAnsi="宋体" w:cs="宋体"/>
          <w:snapToGrid w:val="0"/>
          <w:sz w:val="24"/>
          <w:highlight w:val="none"/>
          <w:u w:val="single"/>
        </w:rPr>
        <w:t xml:space="preserve">    </w:t>
      </w:r>
      <w:r>
        <w:rPr>
          <w:rStyle w:val="145"/>
          <w:rFonts w:hint="eastAsia" w:ascii="宋体" w:hAnsi="宋体" w:cs="宋体"/>
          <w:sz w:val="24"/>
          <w:highlight w:val="none"/>
        </w:rPr>
        <w:t>月</w:t>
      </w:r>
      <w:r>
        <w:rPr>
          <w:rFonts w:hint="eastAsia" w:ascii="宋体" w:hAnsi="宋体" w:cs="宋体"/>
          <w:snapToGrid w:val="0"/>
          <w:sz w:val="24"/>
          <w:highlight w:val="none"/>
          <w:u w:val="single"/>
        </w:rPr>
        <w:t xml:space="preserve">     </w:t>
      </w:r>
      <w:r>
        <w:rPr>
          <w:rStyle w:val="145"/>
          <w:rFonts w:hint="eastAsia" w:ascii="宋体" w:hAnsi="宋体" w:cs="宋体"/>
          <w:sz w:val="24"/>
          <w:highlight w:val="none"/>
        </w:rPr>
        <w:t>日</w:t>
      </w:r>
    </w:p>
    <w:p>
      <w:pPr>
        <w:snapToGrid w:val="0"/>
        <w:spacing w:before="50" w:after="156" w:afterLines="50"/>
        <w:ind w:firstLine="675"/>
        <w:jc w:val="left"/>
        <w:rPr>
          <w:rFonts w:hint="eastAsia" w:ascii="宋体" w:hAnsi="宋体"/>
          <w:sz w:val="30"/>
          <w:szCs w:val="30"/>
          <w:highlight w:val="none"/>
        </w:rPr>
      </w:pPr>
    </w:p>
    <w:p>
      <w:pPr>
        <w:snapToGrid w:val="0"/>
        <w:spacing w:before="50" w:after="156" w:afterLines="50"/>
        <w:ind w:firstLine="675"/>
        <w:jc w:val="left"/>
        <w:rPr>
          <w:rFonts w:hint="eastAsia" w:ascii="宋体" w:hAnsi="宋体"/>
          <w:sz w:val="30"/>
          <w:szCs w:val="30"/>
          <w:highlight w:val="none"/>
        </w:rPr>
      </w:pPr>
    </w:p>
    <w:p>
      <w:pPr>
        <w:snapToGrid w:val="0"/>
        <w:spacing w:before="50" w:after="156" w:afterLines="50"/>
        <w:ind w:firstLine="675"/>
        <w:jc w:val="left"/>
        <w:rPr>
          <w:rFonts w:hint="eastAsia" w:ascii="宋体" w:hAnsi="宋体"/>
          <w:sz w:val="30"/>
          <w:szCs w:val="30"/>
          <w:highlight w:val="none"/>
        </w:rPr>
      </w:pPr>
    </w:p>
    <w:p>
      <w:pPr>
        <w:snapToGrid w:val="0"/>
        <w:spacing w:before="50" w:after="156" w:afterLines="50"/>
        <w:ind w:firstLine="675"/>
        <w:jc w:val="left"/>
        <w:rPr>
          <w:rFonts w:hint="eastAsia" w:ascii="宋体" w:hAnsi="宋体"/>
          <w:sz w:val="30"/>
          <w:szCs w:val="30"/>
          <w:highlight w:val="none"/>
        </w:rPr>
      </w:pPr>
    </w:p>
    <w:p>
      <w:pPr>
        <w:snapToGrid w:val="0"/>
        <w:spacing w:before="156" w:beforeLines="50" w:after="50" w:line="460" w:lineRule="exact"/>
        <w:ind w:firstLine="675"/>
        <w:rPr>
          <w:rFonts w:hint="eastAsia" w:ascii="宋体" w:hAnsi="宋体"/>
          <w:sz w:val="30"/>
          <w:szCs w:val="30"/>
          <w:highlight w:val="none"/>
        </w:rPr>
      </w:pPr>
      <w:r>
        <w:rPr>
          <w:rFonts w:hint="eastAsia" w:ascii="宋体" w:hAnsi="宋体"/>
          <w:sz w:val="30"/>
          <w:szCs w:val="30"/>
          <w:highlight w:val="none"/>
        </w:rPr>
        <w:br w:type="page"/>
      </w:r>
      <w:r>
        <w:rPr>
          <w:rFonts w:hint="eastAsia" w:ascii="宋体" w:hAnsi="宋体"/>
          <w:sz w:val="30"/>
          <w:szCs w:val="30"/>
          <w:highlight w:val="none"/>
        </w:rPr>
        <w:t>附件2：</w:t>
      </w:r>
    </w:p>
    <w:p>
      <w:pPr>
        <w:pStyle w:val="13"/>
        <w:spacing w:line="560" w:lineRule="exact"/>
        <w:ind w:firstLine="542"/>
        <w:jc w:val="center"/>
        <w:rPr>
          <w:rFonts w:hint="eastAsia" w:ascii="宋体" w:hAnsi="宋体" w:cs="宋体"/>
          <w:b/>
          <w:bCs/>
          <w:snapToGrid w:val="0"/>
          <w:sz w:val="24"/>
          <w:highlight w:val="none"/>
        </w:rPr>
      </w:pPr>
      <w:r>
        <w:rPr>
          <w:rFonts w:hint="eastAsia" w:ascii="宋体" w:hAnsi="宋体" w:cs="宋体"/>
          <w:b/>
          <w:bCs/>
          <w:snapToGrid w:val="0"/>
          <w:sz w:val="24"/>
          <w:highlight w:val="none"/>
        </w:rPr>
        <w:t>法定代表人资格证明书（如法定代表人投标时提供）</w:t>
      </w:r>
    </w:p>
    <w:p>
      <w:pPr>
        <w:pStyle w:val="13"/>
        <w:spacing w:line="560" w:lineRule="exact"/>
        <w:ind w:firstLine="542"/>
        <w:rPr>
          <w:rFonts w:hint="eastAsia" w:ascii="宋体" w:hAnsi="宋体" w:cs="宋体"/>
          <w:b/>
          <w:bCs/>
          <w:snapToGrid w:val="0"/>
          <w:sz w:val="24"/>
          <w:highlight w:val="none"/>
        </w:rPr>
      </w:pPr>
    </w:p>
    <w:p>
      <w:pPr>
        <w:pStyle w:val="13"/>
        <w:spacing w:line="560" w:lineRule="exact"/>
        <w:ind w:firstLine="480" w:firstLineChars="200"/>
        <w:rPr>
          <w:rFonts w:hint="eastAsia" w:ascii="宋体" w:hAnsi="宋体" w:cs="宋体"/>
          <w:snapToGrid w:val="0"/>
          <w:sz w:val="24"/>
          <w:highlight w:val="none"/>
        </w:rPr>
      </w:pPr>
      <w:r>
        <w:rPr>
          <w:rFonts w:hint="eastAsia" w:ascii="宋体" w:hAnsi="宋体" w:cs="宋体"/>
          <w:snapToGrid w:val="0"/>
          <w:sz w:val="24"/>
          <w:highlight w:val="none"/>
          <w:u w:val="single"/>
        </w:rPr>
        <w:t xml:space="preserve">                   </w:t>
      </w:r>
      <w:r>
        <w:rPr>
          <w:rStyle w:val="145"/>
          <w:rFonts w:hint="eastAsia" w:ascii="宋体" w:hAnsi="宋体" w:cs="宋体"/>
          <w:sz w:val="24"/>
          <w:highlight w:val="none"/>
        </w:rPr>
        <w:t>系</w:t>
      </w:r>
      <w:r>
        <w:rPr>
          <w:rFonts w:hint="eastAsia" w:ascii="宋体" w:hAnsi="宋体" w:cs="宋体"/>
          <w:snapToGrid w:val="0"/>
          <w:sz w:val="24"/>
          <w:highlight w:val="none"/>
          <w:u w:val="single"/>
        </w:rPr>
        <w:t xml:space="preserve">                </w:t>
      </w:r>
      <w:r>
        <w:rPr>
          <w:rStyle w:val="145"/>
          <w:rFonts w:hint="eastAsia" w:ascii="宋体" w:hAnsi="宋体" w:cs="宋体"/>
          <w:sz w:val="24"/>
          <w:highlight w:val="none"/>
        </w:rPr>
        <w:t>的法定代表人。身份证号：</w:t>
      </w:r>
      <w:r>
        <w:rPr>
          <w:rFonts w:hint="eastAsia" w:ascii="宋体" w:hAnsi="宋体" w:cs="宋体"/>
          <w:snapToGrid w:val="0"/>
          <w:sz w:val="24"/>
          <w:highlight w:val="none"/>
          <w:u w:val="single"/>
        </w:rPr>
        <w:t xml:space="preserve">            </w:t>
      </w:r>
      <w:r>
        <w:rPr>
          <w:rFonts w:hint="eastAsia" w:ascii="宋体" w:hAnsi="宋体" w:cs="宋体"/>
          <w:snapToGrid w:val="0"/>
          <w:sz w:val="24"/>
          <w:highlight w:val="none"/>
        </w:rPr>
        <w:t>。</w:t>
      </w:r>
    </w:p>
    <w:p>
      <w:pPr>
        <w:pStyle w:val="13"/>
        <w:spacing w:line="560" w:lineRule="exact"/>
        <w:rPr>
          <w:rStyle w:val="145"/>
          <w:highlight w:val="none"/>
        </w:rPr>
      </w:pPr>
      <w:r>
        <w:rPr>
          <w:rStyle w:val="145"/>
          <w:rFonts w:hint="eastAsia" w:ascii="宋体" w:hAnsi="宋体" w:cs="宋体"/>
          <w:sz w:val="24"/>
          <w:highlight w:val="none"/>
        </w:rPr>
        <w:t>特此证明</w:t>
      </w:r>
    </w:p>
    <w:p>
      <w:pPr>
        <w:pStyle w:val="13"/>
        <w:spacing w:line="560" w:lineRule="exact"/>
        <w:rPr>
          <w:rStyle w:val="145"/>
          <w:rFonts w:hint="eastAsia" w:ascii="宋体" w:hAnsi="宋体" w:cs="宋体"/>
          <w:sz w:val="24"/>
          <w:highlight w:val="none"/>
        </w:rPr>
      </w:pPr>
      <w:r>
        <w:rPr>
          <w:rStyle w:val="145"/>
          <w:rFonts w:hint="eastAsia" w:ascii="宋体" w:hAnsi="宋体" w:cs="宋体"/>
          <w:sz w:val="24"/>
          <w:highlight w:val="none"/>
        </w:rPr>
        <w:t>投标人：(公章)</w:t>
      </w:r>
    </w:p>
    <w:p>
      <w:pPr>
        <w:pStyle w:val="13"/>
        <w:spacing w:line="560" w:lineRule="exact"/>
        <w:rPr>
          <w:snapToGrid w:val="0"/>
          <w:highlight w:val="none"/>
        </w:rPr>
      </w:pPr>
      <w:r>
        <w:rPr>
          <w:rStyle w:val="145"/>
          <w:rFonts w:hint="eastAsia" w:ascii="宋体" w:hAnsi="宋体" w:cs="宋体"/>
          <w:sz w:val="24"/>
          <w:highlight w:val="none"/>
        </w:rPr>
        <w:t>日期：</w:t>
      </w:r>
      <w:r>
        <w:rPr>
          <w:rFonts w:hint="eastAsia" w:ascii="宋体" w:hAnsi="宋体" w:cs="宋体"/>
          <w:snapToGrid w:val="0"/>
          <w:sz w:val="24"/>
          <w:highlight w:val="none"/>
          <w:u w:val="single"/>
        </w:rPr>
        <w:t xml:space="preserve">      </w:t>
      </w:r>
      <w:r>
        <w:rPr>
          <w:rFonts w:hint="eastAsia" w:ascii="宋体" w:hAnsi="宋体" w:cs="宋体"/>
          <w:snapToGrid w:val="0"/>
          <w:sz w:val="24"/>
          <w:highlight w:val="none"/>
        </w:rPr>
        <w:t>年</w:t>
      </w:r>
      <w:r>
        <w:rPr>
          <w:rFonts w:hint="eastAsia" w:ascii="宋体" w:hAnsi="宋体" w:cs="宋体"/>
          <w:snapToGrid w:val="0"/>
          <w:sz w:val="24"/>
          <w:highlight w:val="none"/>
          <w:u w:val="single"/>
        </w:rPr>
        <w:t xml:space="preserve">    </w:t>
      </w:r>
      <w:r>
        <w:rPr>
          <w:rStyle w:val="145"/>
          <w:rFonts w:hint="eastAsia" w:ascii="宋体" w:hAnsi="宋体" w:cs="宋体"/>
          <w:sz w:val="24"/>
          <w:highlight w:val="none"/>
        </w:rPr>
        <w:t>月</w:t>
      </w:r>
      <w:r>
        <w:rPr>
          <w:rFonts w:hint="eastAsia" w:ascii="宋体" w:hAnsi="宋体" w:cs="宋体"/>
          <w:snapToGrid w:val="0"/>
          <w:sz w:val="24"/>
          <w:highlight w:val="none"/>
          <w:u w:val="single"/>
        </w:rPr>
        <w:t xml:space="preserve">     </w:t>
      </w:r>
      <w:r>
        <w:rPr>
          <w:rStyle w:val="145"/>
          <w:rFonts w:hint="eastAsia" w:ascii="宋体" w:hAnsi="宋体" w:cs="宋体"/>
          <w:sz w:val="24"/>
          <w:highlight w:val="none"/>
        </w:rPr>
        <w:t>日</w:t>
      </w:r>
    </w:p>
    <w:p>
      <w:pPr>
        <w:adjustRightInd w:val="0"/>
        <w:spacing w:line="560" w:lineRule="exact"/>
        <w:rPr>
          <w:rFonts w:hint="eastAsia" w:ascii="宋体" w:hAnsi="宋体" w:cs="宋体"/>
          <w:snapToGrid w:val="0"/>
          <w:sz w:val="24"/>
          <w:highlight w:val="none"/>
        </w:rPr>
      </w:pPr>
    </w:p>
    <w:p>
      <w:pPr>
        <w:adjustRightInd w:val="0"/>
        <w:spacing w:line="560" w:lineRule="exact"/>
        <w:ind w:firstLine="482" w:firstLineChars="200"/>
        <w:rPr>
          <w:rStyle w:val="145"/>
          <w:b/>
          <w:highlight w:val="none"/>
        </w:rPr>
      </w:pPr>
      <w:r>
        <w:rPr>
          <w:rFonts w:hint="eastAsia" w:ascii="宋体" w:hAnsi="宋体" w:cs="宋体"/>
          <w:b/>
          <w:sz w:val="24"/>
          <w:highlight w:val="none"/>
        </w:rPr>
        <w:t>附：法定代表人身份证复印件（正反面）</w:t>
      </w:r>
    </w:p>
    <w:p>
      <w:pPr>
        <w:spacing w:line="560" w:lineRule="exact"/>
        <w:ind w:firstLine="542"/>
        <w:jc w:val="center"/>
        <w:rPr>
          <w:rStyle w:val="145"/>
          <w:rFonts w:hint="eastAsia" w:ascii="宋体" w:hAnsi="宋体" w:cs="宋体"/>
          <w:b/>
          <w:sz w:val="24"/>
          <w:highlight w:val="none"/>
        </w:rPr>
      </w:pPr>
    </w:p>
    <w:p>
      <w:pPr>
        <w:spacing w:line="560" w:lineRule="exact"/>
        <w:ind w:firstLine="542"/>
        <w:jc w:val="center"/>
        <w:rPr>
          <w:rStyle w:val="145"/>
          <w:rFonts w:hint="eastAsia" w:ascii="宋体" w:hAnsi="宋体" w:cs="宋体"/>
          <w:b/>
          <w:sz w:val="24"/>
          <w:highlight w:val="none"/>
        </w:rPr>
      </w:pPr>
    </w:p>
    <w:p>
      <w:pPr>
        <w:spacing w:line="560" w:lineRule="exact"/>
        <w:ind w:firstLine="542"/>
        <w:jc w:val="center"/>
        <w:rPr>
          <w:rStyle w:val="145"/>
          <w:rFonts w:hint="eastAsia" w:ascii="宋体" w:hAnsi="宋体" w:cs="宋体"/>
          <w:b/>
          <w:sz w:val="24"/>
          <w:highlight w:val="none"/>
        </w:rPr>
      </w:pPr>
    </w:p>
    <w:p>
      <w:pPr>
        <w:spacing w:line="560" w:lineRule="exact"/>
        <w:ind w:firstLine="542"/>
        <w:jc w:val="center"/>
        <w:rPr>
          <w:rStyle w:val="145"/>
          <w:rFonts w:hint="eastAsia" w:ascii="宋体" w:hAnsi="宋体" w:cs="宋体"/>
          <w:b/>
          <w:sz w:val="24"/>
          <w:highlight w:val="none"/>
        </w:rPr>
      </w:pPr>
    </w:p>
    <w:p>
      <w:pPr>
        <w:spacing w:line="560" w:lineRule="exact"/>
        <w:ind w:firstLine="542"/>
        <w:jc w:val="center"/>
        <w:rPr>
          <w:rStyle w:val="145"/>
          <w:rFonts w:hint="eastAsia" w:ascii="宋体" w:hAnsi="宋体" w:cs="宋体"/>
          <w:b/>
          <w:sz w:val="24"/>
          <w:highlight w:val="none"/>
        </w:rPr>
      </w:pPr>
    </w:p>
    <w:p>
      <w:pPr>
        <w:spacing w:line="560" w:lineRule="exact"/>
        <w:ind w:firstLine="542"/>
        <w:jc w:val="center"/>
        <w:rPr>
          <w:rStyle w:val="145"/>
          <w:rFonts w:hint="eastAsia" w:ascii="宋体" w:hAnsi="宋体" w:cs="宋体"/>
          <w:b/>
          <w:sz w:val="24"/>
          <w:highlight w:val="none"/>
        </w:rPr>
      </w:pPr>
    </w:p>
    <w:p>
      <w:pPr>
        <w:spacing w:line="560" w:lineRule="exact"/>
        <w:ind w:firstLine="542"/>
        <w:jc w:val="center"/>
        <w:rPr>
          <w:rStyle w:val="145"/>
          <w:rFonts w:hint="eastAsia" w:ascii="宋体" w:hAnsi="宋体" w:cs="宋体"/>
          <w:b/>
          <w:sz w:val="24"/>
          <w:highlight w:val="none"/>
        </w:rPr>
      </w:pPr>
    </w:p>
    <w:p>
      <w:pPr>
        <w:spacing w:line="560" w:lineRule="exact"/>
        <w:ind w:firstLine="542"/>
        <w:jc w:val="center"/>
        <w:rPr>
          <w:rStyle w:val="145"/>
          <w:rFonts w:hint="eastAsia" w:ascii="宋体" w:hAnsi="宋体" w:cs="宋体"/>
          <w:b/>
          <w:sz w:val="24"/>
          <w:highlight w:val="none"/>
        </w:rPr>
      </w:pPr>
    </w:p>
    <w:p>
      <w:pPr>
        <w:spacing w:line="560" w:lineRule="exact"/>
        <w:ind w:firstLine="542"/>
        <w:jc w:val="center"/>
        <w:rPr>
          <w:rStyle w:val="145"/>
          <w:rFonts w:hint="eastAsia" w:ascii="宋体" w:hAnsi="宋体" w:cs="宋体"/>
          <w:b/>
          <w:sz w:val="24"/>
          <w:highlight w:val="none"/>
        </w:rPr>
      </w:pPr>
    </w:p>
    <w:p>
      <w:pPr>
        <w:spacing w:line="560" w:lineRule="exact"/>
        <w:ind w:firstLine="542"/>
        <w:jc w:val="center"/>
        <w:rPr>
          <w:rStyle w:val="145"/>
          <w:rFonts w:hint="eastAsia" w:ascii="宋体" w:hAnsi="宋体" w:cs="宋体"/>
          <w:b/>
          <w:sz w:val="24"/>
          <w:highlight w:val="none"/>
        </w:rPr>
      </w:pPr>
    </w:p>
    <w:p>
      <w:pPr>
        <w:spacing w:line="560" w:lineRule="exact"/>
        <w:ind w:firstLine="542"/>
        <w:jc w:val="center"/>
        <w:rPr>
          <w:rStyle w:val="145"/>
          <w:rFonts w:hint="eastAsia" w:ascii="宋体" w:hAnsi="宋体" w:cs="宋体"/>
          <w:b/>
          <w:sz w:val="24"/>
          <w:highlight w:val="none"/>
        </w:rPr>
      </w:pPr>
    </w:p>
    <w:p>
      <w:pPr>
        <w:spacing w:line="560" w:lineRule="exact"/>
        <w:ind w:firstLine="542"/>
        <w:jc w:val="center"/>
        <w:rPr>
          <w:rStyle w:val="145"/>
          <w:rFonts w:hint="eastAsia" w:ascii="宋体" w:hAnsi="宋体" w:cs="宋体"/>
          <w:b/>
          <w:sz w:val="24"/>
          <w:highlight w:val="none"/>
        </w:rPr>
      </w:pPr>
    </w:p>
    <w:p>
      <w:pPr>
        <w:spacing w:line="560" w:lineRule="exact"/>
        <w:ind w:firstLine="542"/>
        <w:jc w:val="center"/>
        <w:rPr>
          <w:rStyle w:val="145"/>
          <w:rFonts w:hint="eastAsia" w:ascii="宋体" w:hAnsi="宋体" w:cs="宋体"/>
          <w:b/>
          <w:sz w:val="24"/>
          <w:highlight w:val="none"/>
        </w:rPr>
      </w:pPr>
      <w:r>
        <w:rPr>
          <w:rFonts w:hint="eastAsia" w:ascii="宋体" w:hAnsi="宋体" w:cs="宋体"/>
          <w:b/>
          <w:sz w:val="24"/>
          <w:highlight w:val="none"/>
        </w:rPr>
        <w:br w:type="page"/>
      </w:r>
      <w:r>
        <w:rPr>
          <w:rStyle w:val="145"/>
          <w:rFonts w:hint="eastAsia" w:ascii="宋体" w:hAnsi="宋体" w:cs="宋体"/>
          <w:b/>
          <w:sz w:val="24"/>
          <w:highlight w:val="none"/>
        </w:rPr>
        <w:t>法定代表人授权书</w:t>
      </w:r>
      <w:r>
        <w:rPr>
          <w:rFonts w:hint="eastAsia" w:ascii="宋体" w:hAnsi="宋体" w:cs="宋体"/>
          <w:b/>
          <w:bCs/>
          <w:snapToGrid w:val="0"/>
          <w:sz w:val="24"/>
          <w:highlight w:val="none"/>
        </w:rPr>
        <w:t>（如授权委托人投标时提供）</w:t>
      </w:r>
    </w:p>
    <w:p>
      <w:pPr>
        <w:snapToGrid w:val="0"/>
        <w:spacing w:before="120" w:after="50" w:line="560" w:lineRule="exact"/>
        <w:rPr>
          <w:rStyle w:val="145"/>
          <w:rFonts w:hint="eastAsia" w:ascii="宋体" w:hAnsi="宋体" w:cs="宋体"/>
          <w:b/>
          <w:bCs/>
          <w:sz w:val="24"/>
          <w:highlight w:val="none"/>
        </w:rPr>
      </w:pPr>
      <w:r>
        <w:rPr>
          <w:rStyle w:val="145"/>
          <w:rFonts w:hint="eastAsia" w:ascii="宋体" w:hAnsi="宋体" w:cs="宋体"/>
          <w:bCs/>
          <w:sz w:val="24"/>
          <w:highlight w:val="none"/>
        </w:rPr>
        <w:t>致：</w:t>
      </w:r>
      <w:r>
        <w:rPr>
          <w:rStyle w:val="145"/>
          <w:rFonts w:hint="eastAsia" w:ascii="宋体" w:hAnsi="宋体" w:cs="宋体"/>
          <w:bCs/>
          <w:sz w:val="24"/>
          <w:highlight w:val="none"/>
          <w:u w:val="single"/>
        </w:rPr>
        <w:t xml:space="preserve">            </w:t>
      </w:r>
      <w:r>
        <w:rPr>
          <w:rStyle w:val="145"/>
          <w:rFonts w:hint="eastAsia" w:ascii="宋体" w:hAnsi="宋体" w:cs="宋体"/>
          <w:sz w:val="24"/>
          <w:highlight w:val="none"/>
        </w:rPr>
        <w:t>（</w:t>
      </w:r>
      <w:r>
        <w:rPr>
          <w:rFonts w:hint="eastAsia" w:ascii="宋体" w:hAnsi="宋体" w:cs="宋体"/>
          <w:bCs/>
          <w:sz w:val="24"/>
          <w:highlight w:val="none"/>
        </w:rPr>
        <w:t>采购人、</w:t>
      </w:r>
      <w:r>
        <w:rPr>
          <w:rStyle w:val="145"/>
          <w:rFonts w:hint="eastAsia" w:ascii="宋体" w:hAnsi="宋体" w:cs="宋体"/>
          <w:sz w:val="24"/>
          <w:highlight w:val="none"/>
        </w:rPr>
        <w:t>采购机构名称）</w:t>
      </w:r>
      <w:r>
        <w:rPr>
          <w:rStyle w:val="145"/>
          <w:rFonts w:hint="eastAsia" w:ascii="宋体" w:hAnsi="宋体" w:cs="宋体"/>
          <w:b/>
          <w:bCs/>
          <w:sz w:val="24"/>
          <w:highlight w:val="none"/>
        </w:rPr>
        <w:t xml:space="preserve"> </w:t>
      </w:r>
      <w:r>
        <w:rPr>
          <w:rStyle w:val="145"/>
          <w:rFonts w:hint="eastAsia" w:ascii="宋体" w:hAnsi="宋体" w:cs="宋体"/>
          <w:sz w:val="24"/>
          <w:highlight w:val="none"/>
        </w:rPr>
        <w:t>：</w:t>
      </w:r>
    </w:p>
    <w:p>
      <w:pPr>
        <w:snapToGrid w:val="0"/>
        <w:spacing w:before="120" w:after="50" w:line="560" w:lineRule="exact"/>
        <w:ind w:firstLine="720" w:firstLineChars="300"/>
        <w:rPr>
          <w:rStyle w:val="145"/>
          <w:rFonts w:hint="eastAsia" w:ascii="宋体" w:hAnsi="宋体" w:cs="宋体"/>
          <w:sz w:val="24"/>
          <w:highlight w:val="none"/>
        </w:rPr>
      </w:pPr>
      <w:r>
        <w:rPr>
          <w:rStyle w:val="145"/>
          <w:rFonts w:hint="eastAsia" w:ascii="宋体" w:hAnsi="宋体" w:cs="宋体"/>
          <w:sz w:val="24"/>
          <w:highlight w:val="none"/>
        </w:rPr>
        <w:t>我</w:t>
      </w:r>
      <w:r>
        <w:rPr>
          <w:rStyle w:val="145"/>
          <w:rFonts w:hint="eastAsia" w:ascii="宋体" w:hAnsi="宋体" w:cs="宋体"/>
          <w:sz w:val="24"/>
          <w:highlight w:val="none"/>
          <w:u w:val="single"/>
        </w:rPr>
        <w:t xml:space="preserve">              </w:t>
      </w:r>
      <w:r>
        <w:rPr>
          <w:rStyle w:val="145"/>
          <w:rFonts w:hint="eastAsia" w:ascii="宋体" w:hAnsi="宋体" w:cs="宋体"/>
          <w:sz w:val="24"/>
          <w:highlight w:val="none"/>
        </w:rPr>
        <w:t>（姓名）系</w:t>
      </w:r>
      <w:r>
        <w:rPr>
          <w:rStyle w:val="145"/>
          <w:rFonts w:hint="eastAsia" w:ascii="宋体" w:hAnsi="宋体" w:cs="宋体"/>
          <w:sz w:val="24"/>
          <w:highlight w:val="none"/>
          <w:u w:val="single"/>
        </w:rPr>
        <w:t xml:space="preserve">        </w:t>
      </w:r>
      <w:r>
        <w:rPr>
          <w:rStyle w:val="145"/>
          <w:rFonts w:hint="eastAsia" w:ascii="宋体" w:hAnsi="宋体" w:cs="宋体"/>
          <w:sz w:val="24"/>
          <w:highlight w:val="none"/>
        </w:rPr>
        <w:t xml:space="preserve">（投标人名称）的法定代表人，现授权委托 </w:t>
      </w:r>
      <w:r>
        <w:rPr>
          <w:rStyle w:val="145"/>
          <w:rFonts w:hint="eastAsia" w:ascii="宋体" w:hAnsi="宋体" w:cs="宋体"/>
          <w:sz w:val="24"/>
          <w:highlight w:val="none"/>
          <w:u w:val="single"/>
        </w:rPr>
        <w:t xml:space="preserve">          </w:t>
      </w:r>
      <w:r>
        <w:rPr>
          <w:rStyle w:val="145"/>
          <w:rFonts w:hint="eastAsia" w:ascii="宋体" w:hAnsi="宋体" w:cs="宋体"/>
          <w:sz w:val="24"/>
          <w:highlight w:val="none"/>
        </w:rPr>
        <w:t>（姓名）以我方的名义参加</w:t>
      </w:r>
      <w:r>
        <w:rPr>
          <w:rStyle w:val="145"/>
          <w:rFonts w:hint="eastAsia" w:ascii="宋体" w:hAnsi="宋体" w:cs="宋体"/>
          <w:sz w:val="24"/>
          <w:highlight w:val="none"/>
          <w:u w:val="single"/>
        </w:rPr>
        <w:t xml:space="preserve">              </w:t>
      </w:r>
      <w:r>
        <w:rPr>
          <w:rStyle w:val="145"/>
          <w:rFonts w:hint="eastAsia" w:ascii="宋体" w:hAnsi="宋体" w:cs="宋体"/>
          <w:sz w:val="24"/>
          <w:highlight w:val="none"/>
        </w:rPr>
        <w:t>项目的投标活动，并代表我方全权办理针对上述项目的投标、开标、评标、签约等具体事务和签署相关文件。</w:t>
      </w:r>
    </w:p>
    <w:p>
      <w:pPr>
        <w:snapToGrid w:val="0"/>
        <w:spacing w:before="120" w:after="50" w:line="560" w:lineRule="exact"/>
        <w:rPr>
          <w:rStyle w:val="145"/>
          <w:rFonts w:hint="eastAsia" w:ascii="宋体" w:hAnsi="宋体" w:cs="宋体"/>
          <w:sz w:val="24"/>
          <w:highlight w:val="none"/>
        </w:rPr>
      </w:pPr>
      <w:r>
        <w:rPr>
          <w:rStyle w:val="145"/>
          <w:rFonts w:hint="eastAsia" w:ascii="宋体" w:hAnsi="宋体" w:cs="宋体"/>
          <w:sz w:val="24"/>
          <w:highlight w:val="none"/>
        </w:rPr>
        <w:t xml:space="preserve">    我方对被授权人的签名负全部责任。</w:t>
      </w:r>
    </w:p>
    <w:p>
      <w:pPr>
        <w:snapToGrid w:val="0"/>
        <w:spacing w:before="120" w:after="50" w:line="560" w:lineRule="exact"/>
        <w:ind w:firstLine="540"/>
        <w:rPr>
          <w:rStyle w:val="145"/>
          <w:rFonts w:hint="eastAsia" w:ascii="宋体" w:hAnsi="宋体" w:cs="宋体"/>
          <w:sz w:val="24"/>
          <w:highlight w:val="none"/>
        </w:rPr>
      </w:pPr>
      <w:r>
        <w:rPr>
          <w:rStyle w:val="145"/>
          <w:rFonts w:hint="eastAsia" w:ascii="宋体" w:hAnsi="宋体" w:cs="宋体"/>
          <w:sz w:val="24"/>
          <w:highlight w:val="none"/>
        </w:rPr>
        <w:t>在撤销授权的书面通知以前，本授权书一直有效。被授权人在授权书有效期内签署的所有文件不因授权的撤销而失效。</w:t>
      </w:r>
    </w:p>
    <w:p>
      <w:pPr>
        <w:snapToGrid w:val="0"/>
        <w:spacing w:before="120" w:after="50" w:line="560" w:lineRule="exact"/>
        <w:ind w:firstLine="540"/>
        <w:rPr>
          <w:rStyle w:val="145"/>
          <w:rFonts w:hint="eastAsia" w:ascii="宋体" w:hAnsi="宋体" w:cs="宋体"/>
          <w:sz w:val="24"/>
          <w:highlight w:val="none"/>
        </w:rPr>
      </w:pPr>
      <w:r>
        <w:rPr>
          <w:rStyle w:val="145"/>
          <w:rFonts w:hint="eastAsia" w:ascii="宋体" w:hAnsi="宋体" w:cs="宋体"/>
          <w:sz w:val="24"/>
          <w:highlight w:val="none"/>
        </w:rPr>
        <w:t>被授权人无转委托权，特此委托。</w:t>
      </w:r>
    </w:p>
    <w:p>
      <w:pPr>
        <w:snapToGrid w:val="0"/>
        <w:spacing w:before="120" w:after="50" w:line="560" w:lineRule="exact"/>
        <w:rPr>
          <w:rStyle w:val="145"/>
          <w:rFonts w:hint="eastAsia" w:ascii="宋体" w:hAnsi="宋体" w:cs="宋体"/>
          <w:sz w:val="24"/>
          <w:highlight w:val="none"/>
        </w:rPr>
      </w:pPr>
    </w:p>
    <w:p>
      <w:pPr>
        <w:snapToGrid w:val="0"/>
        <w:spacing w:before="120" w:after="50" w:line="560" w:lineRule="exact"/>
        <w:rPr>
          <w:rStyle w:val="145"/>
          <w:rFonts w:hint="eastAsia" w:ascii="宋体" w:hAnsi="宋体" w:cs="宋体"/>
          <w:sz w:val="24"/>
          <w:highlight w:val="none"/>
          <w:u w:val="single"/>
        </w:rPr>
      </w:pPr>
      <w:r>
        <w:rPr>
          <w:rStyle w:val="145"/>
          <w:rFonts w:hint="eastAsia" w:ascii="宋体" w:hAnsi="宋体" w:cs="宋体"/>
          <w:sz w:val="24"/>
          <w:highlight w:val="none"/>
        </w:rPr>
        <w:t>被授权人签名：</w:t>
      </w:r>
      <w:r>
        <w:rPr>
          <w:rStyle w:val="145"/>
          <w:rFonts w:hint="eastAsia" w:ascii="宋体" w:hAnsi="宋体" w:cs="宋体"/>
          <w:sz w:val="24"/>
          <w:highlight w:val="none"/>
          <w:u w:val="single"/>
        </w:rPr>
        <w:t xml:space="preserve">          </w:t>
      </w:r>
      <w:r>
        <w:rPr>
          <w:rStyle w:val="145"/>
          <w:rFonts w:hint="eastAsia" w:ascii="宋体" w:hAnsi="宋体" w:cs="宋体"/>
          <w:sz w:val="24"/>
          <w:highlight w:val="none"/>
        </w:rPr>
        <w:t xml:space="preserve">                 法定代表人签字或盖章：</w:t>
      </w:r>
      <w:r>
        <w:rPr>
          <w:rStyle w:val="145"/>
          <w:rFonts w:hint="eastAsia" w:ascii="宋体" w:hAnsi="宋体" w:cs="宋体"/>
          <w:sz w:val="24"/>
          <w:highlight w:val="none"/>
          <w:u w:val="single"/>
        </w:rPr>
        <w:t xml:space="preserve">          </w:t>
      </w:r>
    </w:p>
    <w:p>
      <w:pPr>
        <w:snapToGrid w:val="0"/>
        <w:spacing w:before="120" w:after="50" w:line="560" w:lineRule="exact"/>
        <w:ind w:firstLine="960" w:firstLineChars="400"/>
        <w:rPr>
          <w:rStyle w:val="145"/>
          <w:rFonts w:hint="eastAsia" w:ascii="宋体" w:hAnsi="宋体" w:cs="宋体"/>
          <w:sz w:val="24"/>
          <w:highlight w:val="none"/>
        </w:rPr>
      </w:pPr>
      <w:r>
        <w:rPr>
          <w:rStyle w:val="145"/>
          <w:rFonts w:hint="eastAsia" w:ascii="宋体" w:hAnsi="宋体" w:cs="宋体"/>
          <w:sz w:val="24"/>
          <w:highlight w:val="none"/>
        </w:rPr>
        <w:t>职务：</w:t>
      </w:r>
      <w:r>
        <w:rPr>
          <w:rStyle w:val="145"/>
          <w:rFonts w:hint="eastAsia" w:ascii="宋体" w:hAnsi="宋体" w:cs="宋体"/>
          <w:sz w:val="24"/>
          <w:highlight w:val="none"/>
          <w:u w:val="single"/>
        </w:rPr>
        <w:t xml:space="preserve">           </w:t>
      </w:r>
      <w:r>
        <w:rPr>
          <w:rStyle w:val="145"/>
          <w:rFonts w:hint="eastAsia" w:ascii="宋体" w:hAnsi="宋体" w:cs="宋体"/>
          <w:sz w:val="24"/>
          <w:highlight w:val="none"/>
        </w:rPr>
        <w:t xml:space="preserve">                          职务：</w:t>
      </w:r>
      <w:r>
        <w:rPr>
          <w:rStyle w:val="145"/>
          <w:rFonts w:hint="eastAsia" w:ascii="宋体" w:hAnsi="宋体" w:cs="宋体"/>
          <w:sz w:val="24"/>
          <w:highlight w:val="none"/>
          <w:u w:val="single"/>
        </w:rPr>
        <w:t xml:space="preserve">           </w:t>
      </w:r>
    </w:p>
    <w:p>
      <w:pPr>
        <w:adjustRightInd w:val="0"/>
        <w:spacing w:line="560" w:lineRule="exact"/>
        <w:rPr>
          <w:rStyle w:val="145"/>
          <w:rFonts w:hint="eastAsia" w:ascii="宋体" w:hAnsi="宋体" w:cs="宋体"/>
          <w:sz w:val="24"/>
          <w:highlight w:val="none"/>
        </w:rPr>
      </w:pPr>
    </w:p>
    <w:p>
      <w:pPr>
        <w:adjustRightInd w:val="0"/>
        <w:spacing w:line="560" w:lineRule="exact"/>
        <w:rPr>
          <w:rStyle w:val="145"/>
          <w:rFonts w:hint="eastAsia" w:ascii="宋体" w:hAnsi="宋体" w:cs="宋体"/>
          <w:b/>
          <w:sz w:val="24"/>
          <w:highlight w:val="none"/>
        </w:rPr>
      </w:pPr>
      <w:r>
        <w:rPr>
          <w:rStyle w:val="145"/>
          <w:rFonts w:hint="eastAsia" w:ascii="宋体" w:hAnsi="宋体" w:cs="宋体"/>
          <w:sz w:val="24"/>
          <w:highlight w:val="none"/>
        </w:rPr>
        <w:t>被授权人身份证复印件（正反面）</w:t>
      </w:r>
    </w:p>
    <w:p>
      <w:pPr>
        <w:snapToGrid w:val="0"/>
        <w:spacing w:before="120" w:after="50" w:line="560" w:lineRule="exact"/>
        <w:rPr>
          <w:rStyle w:val="145"/>
          <w:rFonts w:hint="eastAsia" w:ascii="宋体" w:hAnsi="宋体" w:cs="宋体"/>
          <w:sz w:val="24"/>
          <w:highlight w:val="none"/>
        </w:rPr>
      </w:pPr>
      <w:r>
        <w:rPr>
          <w:rStyle w:val="145"/>
          <w:rFonts w:hint="eastAsia" w:ascii="宋体" w:hAnsi="宋体" w:cs="宋体"/>
          <w:sz w:val="24"/>
          <w:highlight w:val="none"/>
        </w:rPr>
        <w:t xml:space="preserve">                           </w:t>
      </w:r>
    </w:p>
    <w:p>
      <w:pPr>
        <w:pStyle w:val="13"/>
        <w:spacing w:line="560" w:lineRule="exact"/>
        <w:ind w:left="0" w:leftChars="0"/>
        <w:rPr>
          <w:rStyle w:val="145"/>
          <w:rFonts w:hint="eastAsia" w:ascii="宋体" w:hAnsi="宋体" w:cs="宋体"/>
          <w:sz w:val="24"/>
          <w:highlight w:val="none"/>
        </w:rPr>
      </w:pPr>
      <w:r>
        <w:rPr>
          <w:rStyle w:val="145"/>
          <w:rFonts w:hint="eastAsia" w:ascii="宋体" w:hAnsi="宋体" w:cs="宋体"/>
          <w:sz w:val="24"/>
          <w:highlight w:val="none"/>
        </w:rPr>
        <w:t>投标人：(公章)</w:t>
      </w:r>
    </w:p>
    <w:p>
      <w:pPr>
        <w:pStyle w:val="13"/>
        <w:spacing w:line="560" w:lineRule="exact"/>
        <w:ind w:left="0" w:leftChars="0"/>
        <w:rPr>
          <w:snapToGrid w:val="0"/>
          <w:highlight w:val="none"/>
        </w:rPr>
      </w:pPr>
      <w:r>
        <w:rPr>
          <w:rStyle w:val="145"/>
          <w:rFonts w:hint="eastAsia" w:ascii="宋体" w:hAnsi="宋体" w:cs="宋体"/>
          <w:sz w:val="24"/>
          <w:highlight w:val="none"/>
        </w:rPr>
        <w:t>日期：</w:t>
      </w:r>
      <w:r>
        <w:rPr>
          <w:rFonts w:hint="eastAsia" w:ascii="宋体" w:hAnsi="宋体" w:cs="宋体"/>
          <w:snapToGrid w:val="0"/>
          <w:sz w:val="24"/>
          <w:highlight w:val="none"/>
          <w:u w:val="single"/>
        </w:rPr>
        <w:t xml:space="preserve">      </w:t>
      </w:r>
      <w:r>
        <w:rPr>
          <w:rFonts w:hint="eastAsia" w:ascii="宋体" w:hAnsi="宋体" w:cs="宋体"/>
          <w:snapToGrid w:val="0"/>
          <w:sz w:val="24"/>
          <w:highlight w:val="none"/>
        </w:rPr>
        <w:t>年</w:t>
      </w:r>
      <w:r>
        <w:rPr>
          <w:rFonts w:hint="eastAsia" w:ascii="宋体" w:hAnsi="宋体" w:cs="宋体"/>
          <w:snapToGrid w:val="0"/>
          <w:sz w:val="24"/>
          <w:highlight w:val="none"/>
          <w:u w:val="single"/>
        </w:rPr>
        <w:t xml:space="preserve">    </w:t>
      </w:r>
      <w:r>
        <w:rPr>
          <w:rStyle w:val="145"/>
          <w:rFonts w:hint="eastAsia" w:ascii="宋体" w:hAnsi="宋体" w:cs="宋体"/>
          <w:sz w:val="24"/>
          <w:highlight w:val="none"/>
        </w:rPr>
        <w:t>月</w:t>
      </w:r>
      <w:r>
        <w:rPr>
          <w:rFonts w:hint="eastAsia" w:ascii="宋体" w:hAnsi="宋体" w:cs="宋体"/>
          <w:snapToGrid w:val="0"/>
          <w:sz w:val="24"/>
          <w:highlight w:val="none"/>
          <w:u w:val="single"/>
        </w:rPr>
        <w:t xml:space="preserve">     </w:t>
      </w:r>
      <w:r>
        <w:rPr>
          <w:rStyle w:val="145"/>
          <w:rFonts w:hint="eastAsia" w:ascii="宋体" w:hAnsi="宋体" w:cs="宋体"/>
          <w:sz w:val="24"/>
          <w:highlight w:val="none"/>
        </w:rPr>
        <w:t>日</w:t>
      </w:r>
    </w:p>
    <w:p>
      <w:pPr>
        <w:snapToGrid w:val="0"/>
        <w:spacing w:before="120" w:after="50" w:line="560" w:lineRule="exact"/>
        <w:ind w:firstLine="473"/>
        <w:rPr>
          <w:rStyle w:val="145"/>
          <w:highlight w:val="none"/>
        </w:rPr>
      </w:pPr>
    </w:p>
    <w:p>
      <w:pPr>
        <w:tabs>
          <w:tab w:val="left" w:pos="1029"/>
          <w:tab w:val="center" w:pos="4454"/>
        </w:tabs>
        <w:snapToGrid w:val="0"/>
        <w:spacing w:before="120" w:after="50" w:line="560" w:lineRule="exact"/>
        <w:jc w:val="left"/>
        <w:rPr>
          <w:rStyle w:val="145"/>
          <w:rFonts w:hint="eastAsia" w:ascii="宋体" w:hAnsi="宋体" w:cs="宋体"/>
          <w:sz w:val="24"/>
          <w:highlight w:val="none"/>
        </w:rPr>
      </w:pPr>
      <w:r>
        <w:rPr>
          <w:rStyle w:val="145"/>
          <w:rFonts w:hint="eastAsia" w:ascii="宋体" w:hAnsi="宋体" w:cs="宋体"/>
          <w:sz w:val="24"/>
          <w:highlight w:val="none"/>
        </w:rPr>
        <w:tab/>
      </w:r>
      <w:r>
        <w:rPr>
          <w:rStyle w:val="145"/>
          <w:rFonts w:hint="eastAsia" w:ascii="宋体" w:hAnsi="宋体" w:cs="宋体"/>
          <w:sz w:val="24"/>
          <w:highlight w:val="none"/>
        </w:rPr>
        <w:tab/>
      </w:r>
      <w:r>
        <w:rPr>
          <w:rStyle w:val="145"/>
          <w:rFonts w:hint="eastAsia" w:ascii="宋体" w:hAnsi="宋体" w:cs="宋体"/>
          <w:sz w:val="24"/>
          <w:highlight w:val="none"/>
        </w:rPr>
        <w:t xml:space="preserve">                                   </w:t>
      </w:r>
    </w:p>
    <w:p>
      <w:pPr>
        <w:snapToGrid w:val="0"/>
        <w:spacing w:before="156" w:beforeLines="50" w:after="50"/>
        <w:ind w:firstLine="675"/>
        <w:rPr>
          <w:rFonts w:hint="eastAsia" w:ascii="宋体" w:hAnsi="宋体"/>
          <w:sz w:val="30"/>
          <w:szCs w:val="30"/>
          <w:highlight w:val="none"/>
        </w:rPr>
      </w:pPr>
    </w:p>
    <w:p>
      <w:pPr>
        <w:snapToGrid w:val="0"/>
        <w:spacing w:before="156" w:beforeLines="50" w:after="50"/>
        <w:ind w:firstLine="1506" w:firstLineChars="500"/>
        <w:rPr>
          <w:rFonts w:hint="eastAsia" w:ascii="宋体" w:hAnsi="宋体"/>
          <w:sz w:val="30"/>
          <w:szCs w:val="30"/>
          <w:highlight w:val="none"/>
        </w:rPr>
      </w:pPr>
      <w:r>
        <w:rPr>
          <w:rFonts w:hint="eastAsia" w:ascii="宋体" w:hAnsi="宋体"/>
          <w:b/>
          <w:sz w:val="30"/>
          <w:szCs w:val="30"/>
          <w:highlight w:val="none"/>
        </w:rPr>
        <w:t xml:space="preserve">                                     </w:t>
      </w:r>
      <w:r>
        <w:rPr>
          <w:rFonts w:hint="eastAsia" w:ascii="宋体" w:hAnsi="宋体"/>
          <w:sz w:val="30"/>
          <w:szCs w:val="30"/>
          <w:highlight w:val="none"/>
        </w:rPr>
        <w:t xml:space="preserve"> </w:t>
      </w:r>
    </w:p>
    <w:p>
      <w:pPr>
        <w:snapToGrid w:val="0"/>
        <w:spacing w:before="156" w:beforeLines="50" w:after="50"/>
        <w:ind w:firstLine="1500" w:firstLineChars="500"/>
        <w:jc w:val="right"/>
        <w:rPr>
          <w:rFonts w:hint="eastAsia" w:ascii="宋体" w:hAnsi="宋体"/>
          <w:b/>
          <w:sz w:val="30"/>
          <w:szCs w:val="30"/>
          <w:highlight w:val="none"/>
        </w:rPr>
      </w:pPr>
      <w:r>
        <w:rPr>
          <w:rFonts w:hint="eastAsia" w:ascii="宋体" w:hAnsi="宋体"/>
          <w:sz w:val="30"/>
          <w:szCs w:val="30"/>
          <w:highlight w:val="none"/>
        </w:rPr>
        <w:t>正本或副本</w:t>
      </w:r>
    </w:p>
    <w:p>
      <w:pPr>
        <w:ind w:right="-110"/>
        <w:jc w:val="center"/>
        <w:rPr>
          <w:rFonts w:hint="eastAsia" w:ascii="宋体" w:hAnsi="宋体"/>
          <w:spacing w:val="40"/>
          <w:sz w:val="52"/>
          <w:szCs w:val="52"/>
          <w:highlight w:val="none"/>
        </w:rPr>
      </w:pPr>
      <w:r>
        <w:rPr>
          <w:rFonts w:hint="eastAsia" w:ascii="宋体" w:hAnsi="宋体"/>
          <w:spacing w:val="40"/>
          <w:sz w:val="52"/>
          <w:szCs w:val="52"/>
          <w:highlight w:val="none"/>
        </w:rPr>
        <w:t>项目名称</w:t>
      </w:r>
    </w:p>
    <w:p>
      <w:pPr>
        <w:spacing w:before="312" w:beforeLines="100" w:line="240" w:lineRule="atLeast"/>
        <w:jc w:val="center"/>
        <w:rPr>
          <w:rFonts w:hint="eastAsia" w:ascii="宋体" w:hAnsi="宋体"/>
          <w:sz w:val="36"/>
          <w:szCs w:val="36"/>
          <w:highlight w:val="none"/>
        </w:rPr>
      </w:pPr>
      <w:r>
        <w:rPr>
          <w:rFonts w:hint="eastAsia" w:ascii="宋体" w:hAnsi="宋体"/>
          <w:sz w:val="36"/>
          <w:szCs w:val="36"/>
          <w:highlight w:val="none"/>
        </w:rPr>
        <w:t>项目编号：</w:t>
      </w:r>
    </w:p>
    <w:p>
      <w:pPr>
        <w:spacing w:line="1200" w:lineRule="exact"/>
        <w:ind w:right="-108"/>
        <w:jc w:val="center"/>
        <w:rPr>
          <w:rFonts w:hint="eastAsia" w:ascii="宋体" w:hAnsi="宋体"/>
          <w:b/>
          <w:spacing w:val="40"/>
          <w:sz w:val="84"/>
          <w:szCs w:val="84"/>
          <w:highlight w:val="none"/>
        </w:rPr>
      </w:pPr>
      <w:r>
        <w:rPr>
          <w:rFonts w:hint="eastAsia" w:ascii="宋体" w:hAnsi="宋体"/>
          <w:b/>
          <w:spacing w:val="40"/>
          <w:sz w:val="84"/>
          <w:szCs w:val="84"/>
          <w:highlight w:val="none"/>
        </w:rPr>
        <w:t>技</w:t>
      </w:r>
    </w:p>
    <w:p>
      <w:pPr>
        <w:spacing w:line="1200" w:lineRule="exact"/>
        <w:ind w:right="-108"/>
        <w:jc w:val="center"/>
        <w:rPr>
          <w:rFonts w:hint="eastAsia" w:ascii="宋体" w:hAnsi="宋体"/>
          <w:b/>
          <w:spacing w:val="40"/>
          <w:sz w:val="84"/>
          <w:szCs w:val="84"/>
          <w:highlight w:val="none"/>
        </w:rPr>
      </w:pPr>
      <w:r>
        <w:rPr>
          <w:rFonts w:hint="eastAsia" w:ascii="宋体" w:hAnsi="宋体"/>
          <w:b/>
          <w:spacing w:val="40"/>
          <w:sz w:val="84"/>
          <w:szCs w:val="84"/>
          <w:highlight w:val="none"/>
        </w:rPr>
        <w:t>术</w:t>
      </w:r>
    </w:p>
    <w:p>
      <w:pPr>
        <w:spacing w:line="1200" w:lineRule="exact"/>
        <w:ind w:right="-108"/>
        <w:jc w:val="center"/>
        <w:rPr>
          <w:rFonts w:hint="eastAsia" w:ascii="宋体" w:hAnsi="宋体"/>
          <w:b/>
          <w:spacing w:val="40"/>
          <w:sz w:val="84"/>
          <w:szCs w:val="84"/>
          <w:highlight w:val="none"/>
        </w:rPr>
      </w:pPr>
      <w:r>
        <w:rPr>
          <w:rFonts w:hint="eastAsia" w:ascii="宋体" w:hAnsi="宋体"/>
          <w:b/>
          <w:spacing w:val="40"/>
          <w:sz w:val="84"/>
          <w:szCs w:val="84"/>
          <w:highlight w:val="none"/>
        </w:rPr>
        <w:t>商</w:t>
      </w:r>
    </w:p>
    <w:p>
      <w:pPr>
        <w:spacing w:line="1200" w:lineRule="exact"/>
        <w:ind w:right="-108"/>
        <w:jc w:val="center"/>
        <w:rPr>
          <w:rFonts w:hint="eastAsia" w:ascii="宋体" w:hAnsi="宋体"/>
          <w:b/>
          <w:spacing w:val="40"/>
          <w:sz w:val="84"/>
          <w:szCs w:val="84"/>
          <w:highlight w:val="none"/>
        </w:rPr>
      </w:pPr>
      <w:r>
        <w:rPr>
          <w:rFonts w:hint="eastAsia" w:ascii="宋体" w:hAnsi="宋体"/>
          <w:b/>
          <w:spacing w:val="40"/>
          <w:sz w:val="84"/>
          <w:szCs w:val="84"/>
          <w:highlight w:val="none"/>
        </w:rPr>
        <w:t>务</w:t>
      </w:r>
    </w:p>
    <w:p>
      <w:pPr>
        <w:spacing w:line="1200" w:lineRule="exact"/>
        <w:ind w:right="-108"/>
        <w:jc w:val="center"/>
        <w:rPr>
          <w:rFonts w:hint="eastAsia" w:ascii="宋体" w:hAnsi="宋体"/>
          <w:b/>
          <w:spacing w:val="40"/>
          <w:sz w:val="84"/>
          <w:szCs w:val="84"/>
          <w:highlight w:val="none"/>
        </w:rPr>
      </w:pPr>
      <w:r>
        <w:rPr>
          <w:rFonts w:hint="eastAsia" w:ascii="宋体" w:hAnsi="宋体"/>
          <w:b/>
          <w:spacing w:val="40"/>
          <w:sz w:val="84"/>
          <w:szCs w:val="84"/>
          <w:highlight w:val="none"/>
        </w:rPr>
        <w:t>文</w:t>
      </w:r>
    </w:p>
    <w:p>
      <w:pPr>
        <w:spacing w:line="1200" w:lineRule="exact"/>
        <w:ind w:right="-108"/>
        <w:jc w:val="center"/>
        <w:rPr>
          <w:rFonts w:hint="eastAsia" w:ascii="宋体" w:hAnsi="宋体"/>
          <w:b/>
          <w:spacing w:val="40"/>
          <w:sz w:val="84"/>
          <w:szCs w:val="84"/>
          <w:highlight w:val="none"/>
        </w:rPr>
      </w:pPr>
      <w:r>
        <w:rPr>
          <w:rFonts w:hint="eastAsia" w:ascii="宋体" w:hAnsi="宋体"/>
          <w:b/>
          <w:spacing w:val="40"/>
          <w:sz w:val="84"/>
          <w:szCs w:val="84"/>
          <w:highlight w:val="none"/>
        </w:rPr>
        <w:t>件</w:t>
      </w:r>
    </w:p>
    <w:p>
      <w:pPr>
        <w:spacing w:line="600" w:lineRule="exact"/>
        <w:ind w:right="532" w:firstLine="720" w:firstLineChars="200"/>
        <w:rPr>
          <w:rFonts w:hint="eastAsia" w:ascii="宋体" w:hAnsi="宋体"/>
          <w:sz w:val="36"/>
          <w:szCs w:val="36"/>
          <w:highlight w:val="none"/>
        </w:rPr>
      </w:pPr>
    </w:p>
    <w:p>
      <w:pPr>
        <w:spacing w:line="600" w:lineRule="exact"/>
        <w:ind w:right="532" w:firstLine="720" w:firstLineChars="200"/>
        <w:rPr>
          <w:rFonts w:hint="eastAsia" w:ascii="宋体" w:hAnsi="宋体"/>
          <w:sz w:val="36"/>
          <w:szCs w:val="36"/>
          <w:highlight w:val="none"/>
        </w:rPr>
      </w:pPr>
      <w:r>
        <w:rPr>
          <w:rFonts w:hint="eastAsia" w:ascii="宋体" w:hAnsi="宋体"/>
          <w:sz w:val="36"/>
          <w:szCs w:val="36"/>
          <w:highlight w:val="none"/>
        </w:rPr>
        <w:t>投标人全称：</w:t>
      </w:r>
    </w:p>
    <w:p>
      <w:pPr>
        <w:spacing w:line="600" w:lineRule="exact"/>
        <w:ind w:right="-108" w:firstLine="720" w:firstLineChars="200"/>
        <w:rPr>
          <w:rFonts w:hint="eastAsia" w:ascii="宋体" w:hAnsi="宋体"/>
          <w:sz w:val="36"/>
          <w:szCs w:val="36"/>
          <w:highlight w:val="none"/>
        </w:rPr>
      </w:pPr>
      <w:r>
        <w:rPr>
          <w:rFonts w:hint="eastAsia" w:ascii="宋体" w:hAnsi="宋体"/>
          <w:sz w:val="36"/>
          <w:szCs w:val="36"/>
          <w:highlight w:val="none"/>
        </w:rPr>
        <w:t>地    址：</w:t>
      </w:r>
    </w:p>
    <w:p>
      <w:pPr>
        <w:spacing w:line="600" w:lineRule="exact"/>
        <w:ind w:right="-108" w:firstLine="720" w:firstLineChars="200"/>
        <w:rPr>
          <w:rFonts w:hint="eastAsia" w:ascii="宋体" w:hAnsi="宋体"/>
          <w:sz w:val="36"/>
          <w:szCs w:val="36"/>
          <w:highlight w:val="none"/>
        </w:rPr>
      </w:pPr>
      <w:r>
        <w:rPr>
          <w:rFonts w:hint="eastAsia" w:ascii="宋体" w:hAnsi="宋体"/>
          <w:sz w:val="36"/>
          <w:szCs w:val="36"/>
          <w:highlight w:val="none"/>
        </w:rPr>
        <w:t>时    间：</w:t>
      </w:r>
    </w:p>
    <w:p>
      <w:pPr>
        <w:snapToGrid w:val="0"/>
        <w:spacing w:before="50" w:after="50"/>
        <w:ind w:firstLine="675"/>
        <w:rPr>
          <w:rFonts w:hint="eastAsia" w:ascii="宋体" w:hAnsi="宋体"/>
          <w:sz w:val="30"/>
          <w:szCs w:val="30"/>
          <w:highlight w:val="none"/>
        </w:rPr>
      </w:pPr>
    </w:p>
    <w:p>
      <w:pPr>
        <w:snapToGrid w:val="0"/>
        <w:spacing w:before="50" w:after="50"/>
        <w:ind w:firstLine="675"/>
        <w:rPr>
          <w:rFonts w:hint="eastAsia" w:ascii="宋体" w:hAnsi="宋体"/>
          <w:sz w:val="30"/>
          <w:szCs w:val="30"/>
          <w:highlight w:val="none"/>
        </w:rPr>
      </w:pPr>
    </w:p>
    <w:p>
      <w:pPr>
        <w:snapToGrid w:val="0"/>
        <w:spacing w:before="50" w:after="50"/>
        <w:ind w:firstLine="675"/>
        <w:rPr>
          <w:rFonts w:hint="eastAsia" w:ascii="宋体" w:hAnsi="宋体"/>
          <w:sz w:val="30"/>
          <w:szCs w:val="30"/>
          <w:highlight w:val="none"/>
        </w:rPr>
      </w:pPr>
    </w:p>
    <w:p>
      <w:pPr>
        <w:widowControl/>
        <w:ind w:firstLine="675"/>
        <w:jc w:val="left"/>
        <w:rPr>
          <w:rFonts w:hint="eastAsia" w:ascii="宋体" w:hAnsi="宋体"/>
          <w:sz w:val="30"/>
          <w:szCs w:val="30"/>
          <w:highlight w:val="none"/>
        </w:rPr>
      </w:pPr>
      <w:r>
        <w:rPr>
          <w:rFonts w:hint="eastAsia" w:ascii="宋体" w:hAnsi="宋体"/>
          <w:sz w:val="30"/>
          <w:szCs w:val="30"/>
          <w:highlight w:val="none"/>
        </w:rPr>
        <w:br w:type="page"/>
      </w:r>
    </w:p>
    <w:p>
      <w:pPr>
        <w:snapToGrid w:val="0"/>
        <w:spacing w:before="50" w:after="50"/>
        <w:ind w:firstLine="675"/>
        <w:rPr>
          <w:rFonts w:hint="eastAsia" w:ascii="宋体" w:hAnsi="宋体"/>
          <w:sz w:val="30"/>
          <w:szCs w:val="30"/>
          <w:highlight w:val="none"/>
        </w:rPr>
      </w:pPr>
      <w:r>
        <w:rPr>
          <w:rFonts w:hint="eastAsia" w:ascii="宋体" w:hAnsi="宋体"/>
          <w:sz w:val="30"/>
          <w:szCs w:val="30"/>
          <w:highlight w:val="none"/>
        </w:rPr>
        <w:t>附件3：</w:t>
      </w:r>
    </w:p>
    <w:p>
      <w:pPr>
        <w:snapToGrid w:val="0"/>
        <w:spacing w:before="50" w:after="50"/>
        <w:ind w:firstLine="542"/>
        <w:jc w:val="center"/>
        <w:rPr>
          <w:rFonts w:hint="eastAsia" w:ascii="宋体" w:hAnsi="宋体"/>
          <w:b/>
          <w:sz w:val="24"/>
          <w:highlight w:val="none"/>
        </w:rPr>
      </w:pPr>
      <w:r>
        <w:rPr>
          <w:rFonts w:hint="eastAsia" w:ascii="宋体" w:hAnsi="宋体"/>
          <w:b/>
          <w:sz w:val="24"/>
          <w:highlight w:val="none"/>
        </w:rPr>
        <w:t>评分对应表</w:t>
      </w:r>
    </w:p>
    <w:p>
      <w:pPr>
        <w:pStyle w:val="14"/>
        <w:numPr>
          <w:ilvl w:val="0"/>
          <w:numId w:val="0"/>
        </w:numPr>
        <w:snapToGrid w:val="0"/>
        <w:ind w:left="1843"/>
        <w:rPr>
          <w:rFonts w:hint="eastAsia" w:ascii="宋体" w:hAnsi="宋体"/>
          <w:sz w:val="24"/>
          <w:szCs w:val="24"/>
          <w:highlight w:val="none"/>
          <w:u w:val="single"/>
        </w:rPr>
      </w:pPr>
      <w:r>
        <w:rPr>
          <w:rFonts w:hint="eastAsia" w:ascii="宋体" w:hAnsi="宋体"/>
          <w:sz w:val="24"/>
          <w:szCs w:val="24"/>
          <w:highlight w:val="none"/>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sz w:val="24"/>
                <w:highlight w:val="none"/>
              </w:rPr>
            </w:pPr>
            <w:r>
              <w:rPr>
                <w:rFonts w:hint="eastAsia" w:ascii="宋体" w:hAnsi="宋体"/>
                <w:sz w:val="24"/>
                <w:highlight w:val="none"/>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sz w:val="24"/>
                <w:highlight w:val="none"/>
              </w:rPr>
            </w:pPr>
            <w:r>
              <w:rPr>
                <w:rFonts w:hint="eastAsia" w:ascii="宋体" w:hAnsi="宋体"/>
                <w:sz w:val="24"/>
                <w:highlight w:val="none"/>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宋体" w:hAnsi="宋体"/>
                <w:sz w:val="24"/>
                <w:highlight w:val="none"/>
              </w:rPr>
            </w:pPr>
            <w:r>
              <w:rPr>
                <w:rFonts w:hint="eastAsia" w:ascii="宋体" w:hAnsi="宋体"/>
                <w:sz w:val="24"/>
                <w:highlight w:val="none"/>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sz w:val="24"/>
                <w:highlight w:val="none"/>
              </w:rPr>
            </w:pPr>
            <w:r>
              <w:rPr>
                <w:rFonts w:hint="eastAsia" w:ascii="宋体" w:hAnsi="宋体"/>
                <w:sz w:val="24"/>
                <w:highlight w:val="none"/>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int="eastAsia" w:ascii="宋体" w:hAnsi="宋体"/>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sz w:val="24"/>
                <w:highlight w:val="none"/>
              </w:rPr>
            </w:pPr>
            <w:r>
              <w:rPr>
                <w:rFonts w:hint="eastAsia" w:ascii="宋体" w:hAnsi="宋体"/>
                <w:sz w:val="24"/>
                <w:highlight w:val="none"/>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int="eastAsia" w:ascii="宋体" w:hAnsi="宋体"/>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sz w:val="24"/>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int="eastAsia" w:ascii="宋体" w:hAnsi="宋体"/>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sz w:val="24"/>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int="eastAsia" w:ascii="宋体" w:hAnsi="宋体"/>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sz w:val="24"/>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int="eastAsia" w:ascii="宋体" w:hAnsi="宋体"/>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sz w:val="24"/>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int="eastAsia" w:ascii="宋体" w:hAnsi="宋体"/>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sz w:val="24"/>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int="eastAsia" w:ascii="宋体" w:hAnsi="宋体"/>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sz w:val="24"/>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int="eastAsia" w:ascii="宋体" w:hAnsi="宋体"/>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hint="eastAsia" w:ascii="宋体" w:hAnsi="宋体"/>
                <w:sz w:val="24"/>
                <w:highlight w:val="none"/>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int="eastAsia" w:ascii="宋体" w:hAnsi="宋体"/>
                <w:sz w:val="24"/>
                <w:highlight w:val="none"/>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56" w:beforeLines="50"/>
              <w:rPr>
                <w:rFonts w:hint="eastAsia" w:ascii="宋体" w:hAnsi="宋体"/>
                <w:sz w:val="24"/>
                <w:highlight w:val="none"/>
              </w:rPr>
            </w:pPr>
          </w:p>
        </w:tc>
      </w:tr>
    </w:tbl>
    <w:p>
      <w:pPr>
        <w:snapToGrid w:val="0"/>
        <w:spacing w:before="50" w:after="156" w:afterLines="50"/>
        <w:jc w:val="left"/>
        <w:rPr>
          <w:rFonts w:hint="eastAsia" w:ascii="宋体" w:hAnsi="宋体"/>
          <w:sz w:val="24"/>
          <w:highlight w:val="none"/>
        </w:rPr>
      </w:pPr>
    </w:p>
    <w:p>
      <w:pPr>
        <w:snapToGrid w:val="0"/>
        <w:spacing w:before="50" w:after="156" w:afterLines="50"/>
        <w:jc w:val="left"/>
        <w:rPr>
          <w:rFonts w:hint="eastAsia" w:ascii="宋体" w:hAnsi="宋体"/>
          <w:sz w:val="24"/>
          <w:highlight w:val="none"/>
        </w:rPr>
      </w:pPr>
    </w:p>
    <w:p>
      <w:pPr>
        <w:snapToGrid w:val="0"/>
        <w:spacing w:before="50" w:after="156" w:afterLines="50"/>
        <w:jc w:val="left"/>
        <w:rPr>
          <w:rFonts w:hint="eastAsia" w:ascii="宋体" w:hAnsi="宋体"/>
          <w:sz w:val="24"/>
          <w:highlight w:val="none"/>
        </w:rPr>
      </w:pPr>
      <w:r>
        <w:rPr>
          <w:rFonts w:hint="eastAsia" w:ascii="宋体" w:hAnsi="宋体"/>
          <w:sz w:val="24"/>
          <w:highlight w:val="none"/>
        </w:rPr>
        <w:t>投标人（公章）：</w:t>
      </w:r>
      <w:r>
        <w:rPr>
          <w:rFonts w:hint="eastAsia" w:ascii="宋体" w:hAnsi="宋体"/>
          <w:sz w:val="24"/>
          <w:highlight w:val="none"/>
          <w:u w:val="single"/>
        </w:rPr>
        <w:t xml:space="preserve">           </w:t>
      </w:r>
    </w:p>
    <w:p>
      <w:pPr>
        <w:widowControl/>
        <w:ind w:firstLine="675"/>
        <w:jc w:val="left"/>
        <w:rPr>
          <w:rFonts w:hint="eastAsia" w:ascii="宋体" w:hAnsi="宋体"/>
          <w:sz w:val="30"/>
          <w:szCs w:val="30"/>
          <w:highlight w:val="none"/>
        </w:rPr>
      </w:pPr>
    </w:p>
    <w:p>
      <w:pPr>
        <w:widowControl/>
        <w:ind w:firstLine="675"/>
        <w:jc w:val="left"/>
        <w:rPr>
          <w:rFonts w:hint="eastAsia" w:ascii="宋体" w:hAnsi="宋体"/>
          <w:sz w:val="30"/>
          <w:szCs w:val="30"/>
          <w:highlight w:val="none"/>
        </w:rPr>
      </w:pPr>
    </w:p>
    <w:p>
      <w:pPr>
        <w:widowControl/>
        <w:ind w:firstLine="675"/>
        <w:jc w:val="left"/>
        <w:rPr>
          <w:rFonts w:hint="eastAsia" w:ascii="宋体" w:hAnsi="宋体"/>
          <w:sz w:val="30"/>
          <w:szCs w:val="30"/>
          <w:highlight w:val="none"/>
        </w:rPr>
      </w:pPr>
    </w:p>
    <w:p>
      <w:pPr>
        <w:snapToGrid w:val="0"/>
        <w:spacing w:before="156" w:beforeLines="50" w:after="50"/>
        <w:ind w:firstLine="675"/>
        <w:rPr>
          <w:rFonts w:hint="eastAsia" w:ascii="宋体" w:hAnsi="宋体"/>
          <w:sz w:val="30"/>
          <w:szCs w:val="30"/>
          <w:highlight w:val="none"/>
        </w:rPr>
      </w:pPr>
    </w:p>
    <w:p>
      <w:pPr>
        <w:snapToGrid w:val="0"/>
        <w:spacing w:before="156" w:beforeLines="50" w:after="50"/>
        <w:ind w:firstLine="675"/>
        <w:rPr>
          <w:rFonts w:hint="eastAsia" w:ascii="宋体" w:hAnsi="宋体"/>
          <w:sz w:val="30"/>
          <w:szCs w:val="30"/>
          <w:highlight w:val="none"/>
        </w:rPr>
      </w:pPr>
    </w:p>
    <w:p>
      <w:pPr>
        <w:snapToGrid w:val="0"/>
        <w:spacing w:before="50" w:after="156" w:afterLines="50"/>
        <w:ind w:firstLine="675"/>
        <w:jc w:val="left"/>
        <w:rPr>
          <w:rFonts w:hint="eastAsia" w:ascii="宋体" w:hAnsi="宋体"/>
          <w:sz w:val="30"/>
          <w:szCs w:val="30"/>
          <w:highlight w:val="none"/>
        </w:rPr>
      </w:pPr>
    </w:p>
    <w:p>
      <w:pPr>
        <w:snapToGrid w:val="0"/>
        <w:spacing w:before="156" w:beforeLines="50" w:after="50"/>
        <w:ind w:firstLine="675"/>
        <w:rPr>
          <w:rFonts w:hint="eastAsia" w:ascii="宋体" w:hAnsi="宋体"/>
          <w:sz w:val="30"/>
          <w:szCs w:val="30"/>
          <w:highlight w:val="none"/>
        </w:rPr>
      </w:pPr>
      <w:r>
        <w:rPr>
          <w:rFonts w:hint="eastAsia" w:ascii="宋体" w:hAnsi="宋体"/>
          <w:sz w:val="30"/>
          <w:szCs w:val="30"/>
          <w:highlight w:val="none"/>
        </w:rPr>
        <w:t xml:space="preserve">           </w:t>
      </w:r>
      <w:r>
        <w:rPr>
          <w:rFonts w:hint="eastAsia" w:ascii="宋体" w:hAnsi="宋体"/>
          <w:b/>
          <w:sz w:val="30"/>
          <w:szCs w:val="30"/>
          <w:highlight w:val="none"/>
        </w:rPr>
        <w:t xml:space="preserve">                                    </w:t>
      </w:r>
      <w:r>
        <w:rPr>
          <w:rFonts w:hint="eastAsia" w:ascii="宋体" w:hAnsi="宋体"/>
          <w:sz w:val="30"/>
          <w:szCs w:val="30"/>
          <w:highlight w:val="none"/>
        </w:rPr>
        <w:t xml:space="preserve"> </w:t>
      </w:r>
    </w:p>
    <w:p>
      <w:pPr>
        <w:snapToGrid w:val="0"/>
        <w:spacing w:before="156" w:beforeLines="50" w:after="50"/>
        <w:ind w:firstLine="675"/>
        <w:jc w:val="right"/>
        <w:rPr>
          <w:rFonts w:hint="eastAsia" w:ascii="宋体" w:hAnsi="宋体"/>
          <w:b/>
          <w:sz w:val="30"/>
          <w:szCs w:val="30"/>
          <w:highlight w:val="none"/>
        </w:rPr>
      </w:pPr>
      <w:r>
        <w:rPr>
          <w:rFonts w:hint="eastAsia" w:ascii="宋体" w:hAnsi="宋体"/>
          <w:sz w:val="30"/>
          <w:szCs w:val="30"/>
          <w:highlight w:val="none"/>
        </w:rPr>
        <w:t>正本或副本</w:t>
      </w:r>
    </w:p>
    <w:p>
      <w:pPr>
        <w:ind w:right="-110"/>
        <w:jc w:val="center"/>
        <w:rPr>
          <w:rFonts w:hint="eastAsia" w:ascii="宋体" w:hAnsi="宋体"/>
          <w:spacing w:val="40"/>
          <w:sz w:val="52"/>
          <w:szCs w:val="52"/>
          <w:highlight w:val="none"/>
        </w:rPr>
      </w:pPr>
      <w:r>
        <w:rPr>
          <w:rFonts w:hint="eastAsia" w:ascii="宋体" w:hAnsi="宋体"/>
          <w:spacing w:val="40"/>
          <w:sz w:val="52"/>
          <w:szCs w:val="52"/>
          <w:highlight w:val="none"/>
        </w:rPr>
        <w:t>项目名称</w:t>
      </w:r>
    </w:p>
    <w:p>
      <w:pPr>
        <w:spacing w:before="312" w:beforeLines="100" w:line="240" w:lineRule="atLeast"/>
        <w:ind w:firstLine="810"/>
        <w:jc w:val="center"/>
        <w:rPr>
          <w:rFonts w:hint="eastAsia" w:ascii="宋体" w:hAnsi="宋体"/>
          <w:sz w:val="36"/>
          <w:szCs w:val="36"/>
          <w:highlight w:val="none"/>
        </w:rPr>
      </w:pPr>
      <w:r>
        <w:rPr>
          <w:rFonts w:hint="eastAsia" w:ascii="宋体" w:hAnsi="宋体"/>
          <w:sz w:val="36"/>
          <w:szCs w:val="36"/>
          <w:highlight w:val="none"/>
        </w:rPr>
        <w:t xml:space="preserve">项目编号： </w:t>
      </w:r>
    </w:p>
    <w:p>
      <w:pPr>
        <w:spacing w:after="100" w:afterAutospacing="1" w:line="800" w:lineRule="exact"/>
        <w:ind w:right="-108" w:firstLine="2077"/>
        <w:jc w:val="center"/>
        <w:rPr>
          <w:rFonts w:hint="eastAsia" w:ascii="宋体" w:hAnsi="宋体"/>
          <w:b/>
          <w:spacing w:val="40"/>
          <w:sz w:val="84"/>
          <w:szCs w:val="84"/>
          <w:highlight w:val="none"/>
        </w:rPr>
      </w:pPr>
    </w:p>
    <w:p>
      <w:pPr>
        <w:spacing w:after="100" w:afterAutospacing="1"/>
        <w:ind w:right="-108"/>
        <w:jc w:val="center"/>
        <w:rPr>
          <w:rFonts w:hint="eastAsia" w:ascii="宋体" w:hAnsi="宋体"/>
          <w:b/>
          <w:spacing w:val="40"/>
          <w:sz w:val="84"/>
          <w:szCs w:val="84"/>
          <w:highlight w:val="none"/>
        </w:rPr>
      </w:pPr>
      <w:r>
        <w:rPr>
          <w:rFonts w:hint="eastAsia" w:ascii="宋体" w:hAnsi="宋体"/>
          <w:b/>
          <w:spacing w:val="40"/>
          <w:sz w:val="84"/>
          <w:szCs w:val="84"/>
          <w:highlight w:val="none"/>
        </w:rPr>
        <w:t>报</w:t>
      </w:r>
    </w:p>
    <w:p>
      <w:pPr>
        <w:spacing w:after="100" w:afterAutospacing="1"/>
        <w:ind w:right="-108"/>
        <w:jc w:val="center"/>
        <w:rPr>
          <w:rFonts w:hint="eastAsia" w:ascii="宋体" w:hAnsi="宋体"/>
          <w:b/>
          <w:spacing w:val="40"/>
          <w:sz w:val="84"/>
          <w:szCs w:val="84"/>
          <w:highlight w:val="none"/>
        </w:rPr>
      </w:pPr>
      <w:r>
        <w:rPr>
          <w:rFonts w:hint="eastAsia" w:ascii="宋体" w:hAnsi="宋体"/>
          <w:b/>
          <w:spacing w:val="40"/>
          <w:sz w:val="84"/>
          <w:szCs w:val="84"/>
          <w:highlight w:val="none"/>
        </w:rPr>
        <w:t>价</w:t>
      </w:r>
    </w:p>
    <w:p>
      <w:pPr>
        <w:spacing w:after="100" w:afterAutospacing="1"/>
        <w:ind w:right="-108"/>
        <w:jc w:val="center"/>
        <w:rPr>
          <w:rFonts w:hint="eastAsia" w:ascii="宋体" w:hAnsi="宋体"/>
          <w:b/>
          <w:spacing w:val="40"/>
          <w:sz w:val="84"/>
          <w:szCs w:val="84"/>
          <w:highlight w:val="none"/>
        </w:rPr>
      </w:pPr>
      <w:r>
        <w:rPr>
          <w:rFonts w:hint="eastAsia" w:ascii="宋体" w:hAnsi="宋体"/>
          <w:b/>
          <w:spacing w:val="40"/>
          <w:sz w:val="84"/>
          <w:szCs w:val="84"/>
          <w:highlight w:val="none"/>
        </w:rPr>
        <w:t>文</w:t>
      </w:r>
    </w:p>
    <w:p>
      <w:pPr>
        <w:spacing w:after="100" w:afterAutospacing="1"/>
        <w:ind w:right="-108"/>
        <w:jc w:val="center"/>
        <w:rPr>
          <w:rFonts w:hint="eastAsia" w:ascii="宋体" w:hAnsi="宋体"/>
          <w:b/>
          <w:spacing w:val="40"/>
          <w:sz w:val="84"/>
          <w:szCs w:val="84"/>
          <w:highlight w:val="none"/>
        </w:rPr>
      </w:pPr>
      <w:r>
        <w:rPr>
          <w:rFonts w:hint="eastAsia" w:ascii="宋体" w:hAnsi="宋体"/>
          <w:b/>
          <w:spacing w:val="40"/>
          <w:sz w:val="84"/>
          <w:szCs w:val="84"/>
          <w:highlight w:val="none"/>
        </w:rPr>
        <w:t>件</w:t>
      </w:r>
    </w:p>
    <w:p>
      <w:pPr>
        <w:spacing w:line="500" w:lineRule="exact"/>
        <w:ind w:right="532" w:firstLine="810"/>
        <w:jc w:val="center"/>
        <w:rPr>
          <w:rFonts w:hint="eastAsia" w:ascii="宋体" w:hAnsi="宋体"/>
          <w:sz w:val="36"/>
          <w:szCs w:val="36"/>
          <w:highlight w:val="none"/>
        </w:rPr>
      </w:pPr>
    </w:p>
    <w:p>
      <w:pPr>
        <w:spacing w:line="500" w:lineRule="exact"/>
        <w:ind w:right="532" w:firstLine="720" w:firstLineChars="200"/>
        <w:rPr>
          <w:rFonts w:hint="eastAsia" w:ascii="宋体" w:hAnsi="宋体"/>
          <w:sz w:val="36"/>
          <w:szCs w:val="36"/>
          <w:highlight w:val="none"/>
        </w:rPr>
      </w:pPr>
      <w:r>
        <w:rPr>
          <w:rFonts w:hint="eastAsia" w:ascii="宋体" w:hAnsi="宋体"/>
          <w:sz w:val="36"/>
          <w:szCs w:val="36"/>
          <w:highlight w:val="none"/>
        </w:rPr>
        <w:t>投标人全称：</w:t>
      </w:r>
    </w:p>
    <w:p>
      <w:pPr>
        <w:wordWrap w:val="0"/>
        <w:spacing w:line="500" w:lineRule="exact"/>
        <w:ind w:right="-108" w:firstLine="720" w:firstLineChars="200"/>
        <w:rPr>
          <w:rFonts w:hint="eastAsia" w:ascii="宋体" w:hAnsi="宋体"/>
          <w:sz w:val="36"/>
          <w:szCs w:val="36"/>
          <w:highlight w:val="none"/>
        </w:rPr>
      </w:pPr>
      <w:r>
        <w:rPr>
          <w:rFonts w:hint="eastAsia" w:ascii="宋体" w:hAnsi="宋体"/>
          <w:sz w:val="36"/>
          <w:szCs w:val="36"/>
          <w:highlight w:val="none"/>
        </w:rPr>
        <w:t>地    址：</w:t>
      </w:r>
    </w:p>
    <w:p>
      <w:pPr>
        <w:wordWrap w:val="0"/>
        <w:spacing w:line="500" w:lineRule="exact"/>
        <w:ind w:right="-108" w:firstLine="720" w:firstLineChars="200"/>
        <w:rPr>
          <w:rFonts w:hint="eastAsia" w:ascii="宋体" w:hAnsi="宋体"/>
          <w:sz w:val="36"/>
          <w:szCs w:val="36"/>
          <w:highlight w:val="none"/>
        </w:rPr>
      </w:pPr>
      <w:r>
        <w:rPr>
          <w:rFonts w:hint="eastAsia" w:ascii="宋体" w:hAnsi="宋体"/>
          <w:sz w:val="36"/>
          <w:szCs w:val="36"/>
          <w:highlight w:val="none"/>
        </w:rPr>
        <w:t>时    间：</w:t>
      </w:r>
    </w:p>
    <w:p>
      <w:pPr>
        <w:spacing w:line="700" w:lineRule="exact"/>
        <w:ind w:firstLine="542"/>
        <w:rPr>
          <w:rFonts w:hint="eastAsia" w:ascii="宋体" w:hAnsi="宋体"/>
          <w:b/>
          <w:sz w:val="24"/>
          <w:highlight w:val="none"/>
        </w:rPr>
      </w:pPr>
    </w:p>
    <w:p>
      <w:pPr>
        <w:spacing w:line="700" w:lineRule="exact"/>
        <w:ind w:firstLine="542"/>
        <w:rPr>
          <w:rFonts w:hint="eastAsia" w:ascii="宋体" w:hAnsi="宋体"/>
          <w:b/>
          <w:sz w:val="24"/>
          <w:highlight w:val="none"/>
        </w:rPr>
      </w:pPr>
    </w:p>
    <w:p>
      <w:pPr>
        <w:spacing w:line="700" w:lineRule="exact"/>
        <w:ind w:firstLine="675"/>
        <w:rPr>
          <w:rFonts w:hint="eastAsia" w:ascii="宋体" w:hAnsi="宋体"/>
          <w:sz w:val="30"/>
          <w:szCs w:val="30"/>
          <w:highlight w:val="none"/>
        </w:rPr>
      </w:pPr>
    </w:p>
    <w:p>
      <w:pPr>
        <w:spacing w:line="700" w:lineRule="exact"/>
        <w:ind w:firstLine="675"/>
        <w:rPr>
          <w:rFonts w:hint="eastAsia" w:ascii="宋体" w:hAnsi="宋体"/>
          <w:b/>
          <w:sz w:val="30"/>
          <w:szCs w:val="30"/>
          <w:highlight w:val="none"/>
        </w:rPr>
      </w:pPr>
      <w:r>
        <w:rPr>
          <w:rFonts w:hint="eastAsia" w:ascii="宋体" w:hAnsi="宋体"/>
          <w:sz w:val="30"/>
          <w:szCs w:val="30"/>
          <w:highlight w:val="none"/>
        </w:rPr>
        <w:t>附件4</w:t>
      </w:r>
      <w:r>
        <w:rPr>
          <w:rFonts w:hint="eastAsia" w:ascii="宋体" w:hAnsi="宋体"/>
          <w:b/>
          <w:sz w:val="30"/>
          <w:szCs w:val="30"/>
          <w:highlight w:val="none"/>
        </w:rPr>
        <w:t xml:space="preserve">： </w:t>
      </w:r>
    </w:p>
    <w:p>
      <w:pPr>
        <w:spacing w:line="700" w:lineRule="exact"/>
        <w:ind w:firstLine="542"/>
        <w:jc w:val="center"/>
        <w:rPr>
          <w:rFonts w:hint="eastAsia" w:ascii="宋体" w:hAnsi="宋体"/>
          <w:b/>
          <w:bCs/>
          <w:sz w:val="24"/>
          <w:highlight w:val="none"/>
        </w:rPr>
      </w:pPr>
      <w:r>
        <w:rPr>
          <w:rFonts w:hint="eastAsia" w:ascii="宋体" w:hAnsi="宋体"/>
          <w:b/>
          <w:sz w:val="24"/>
          <w:highlight w:val="none"/>
        </w:rPr>
        <w:t>投 标 函</w:t>
      </w:r>
    </w:p>
    <w:p>
      <w:pPr>
        <w:snapToGrid w:val="0"/>
        <w:spacing w:line="360" w:lineRule="auto"/>
        <w:rPr>
          <w:rFonts w:hint="eastAsia" w:ascii="宋体" w:hAnsi="宋体"/>
          <w:sz w:val="24"/>
          <w:highlight w:val="none"/>
        </w:rPr>
      </w:pPr>
      <w:r>
        <w:rPr>
          <w:rFonts w:hint="eastAsia" w:ascii="宋体" w:hAnsi="宋体"/>
          <w:sz w:val="24"/>
          <w:highlight w:val="none"/>
        </w:rPr>
        <w:t>（采购人）、（采购代理机构）：</w:t>
      </w:r>
    </w:p>
    <w:p>
      <w:pPr>
        <w:snapToGrid w:val="0"/>
        <w:spacing w:line="360" w:lineRule="auto"/>
        <w:ind w:firstLine="540"/>
        <w:rPr>
          <w:rFonts w:hint="eastAsia" w:ascii="宋体" w:hAnsi="宋体"/>
          <w:sz w:val="24"/>
          <w:highlight w:val="none"/>
        </w:rPr>
      </w:pPr>
      <w:r>
        <w:rPr>
          <w:rFonts w:hint="eastAsia" w:ascii="宋体" w:hAnsi="宋体"/>
          <w:sz w:val="24"/>
          <w:highlight w:val="none"/>
        </w:rPr>
        <w:t>根据贵方招标文件的要求，正式授权下述签字人</w:t>
      </w:r>
      <w:r>
        <w:rPr>
          <w:rFonts w:hint="eastAsia" w:ascii="宋体" w:hAnsi="宋体"/>
          <w:sz w:val="24"/>
          <w:highlight w:val="none"/>
          <w:u w:val="single"/>
        </w:rPr>
        <w:t xml:space="preserve"> (姓名) </w:t>
      </w:r>
      <w:r>
        <w:rPr>
          <w:rFonts w:hint="eastAsia" w:ascii="宋体" w:hAnsi="宋体"/>
          <w:sz w:val="24"/>
          <w:highlight w:val="none"/>
        </w:rPr>
        <w:t xml:space="preserve">代表投标人 </w:t>
      </w:r>
      <w:r>
        <w:rPr>
          <w:rFonts w:hint="eastAsia" w:ascii="宋体" w:hAnsi="宋体"/>
          <w:sz w:val="24"/>
          <w:highlight w:val="none"/>
          <w:u w:val="single"/>
        </w:rPr>
        <w:t xml:space="preserve">（投标人名称） </w:t>
      </w:r>
      <w:r>
        <w:rPr>
          <w:rFonts w:hint="eastAsia" w:ascii="宋体" w:hAnsi="宋体"/>
          <w:sz w:val="24"/>
          <w:highlight w:val="none"/>
        </w:rPr>
        <w:t>，提交下述文件。据此函，签字人兹宣布同意如下：</w:t>
      </w:r>
    </w:p>
    <w:p>
      <w:pPr>
        <w:snapToGrid w:val="0"/>
        <w:spacing w:line="360" w:lineRule="auto"/>
        <w:ind w:firstLine="540"/>
        <w:rPr>
          <w:rFonts w:hint="eastAsia" w:ascii="宋体" w:hAnsi="宋体"/>
          <w:sz w:val="24"/>
          <w:highlight w:val="none"/>
        </w:rPr>
      </w:pPr>
      <w:r>
        <w:rPr>
          <w:rFonts w:hint="eastAsia" w:ascii="宋体" w:hAnsi="宋体"/>
          <w:sz w:val="24"/>
          <w:highlight w:val="none"/>
        </w:rPr>
        <w:t>1.我方已仔细研究了______________(项目名称) 的招标文件的全部内容，愿意以承诺以下内容：</w:t>
      </w:r>
    </w:p>
    <w:p>
      <w:pPr>
        <w:snapToGrid w:val="0"/>
        <w:spacing w:line="360" w:lineRule="auto"/>
        <w:ind w:firstLine="540"/>
        <w:rPr>
          <w:rFonts w:hint="eastAsia" w:ascii="宋体" w:hAnsi="宋体"/>
          <w:sz w:val="24"/>
          <w:highlight w:val="none"/>
        </w:rPr>
      </w:pPr>
      <w:r>
        <w:rPr>
          <w:rFonts w:hint="eastAsia" w:ascii="宋体" w:hAnsi="宋体"/>
          <w:sz w:val="24"/>
          <w:highlight w:val="none"/>
        </w:rPr>
        <w:t>本项目投标折扣率为：</w:t>
      </w:r>
      <w:r>
        <w:rPr>
          <w:rFonts w:hint="eastAsia" w:ascii="宋体" w:hAnsi="宋体"/>
          <w:sz w:val="24"/>
          <w:highlight w:val="none"/>
          <w:u w:val="single"/>
        </w:rPr>
        <w:t xml:space="preserve">         </w:t>
      </w:r>
      <w:r>
        <w:rPr>
          <w:rFonts w:hint="eastAsia" w:ascii="宋体" w:hAnsi="宋体"/>
          <w:sz w:val="24"/>
          <w:highlight w:val="none"/>
        </w:rPr>
        <w:t>，</w:t>
      </w:r>
      <w:r>
        <w:rPr>
          <w:rFonts w:hint="eastAsia" w:ascii="宋体" w:hAnsi="宋体" w:cs="宋体"/>
          <w:b/>
          <w:sz w:val="24"/>
          <w:highlight w:val="none"/>
        </w:rPr>
        <w:t>质量目标：</w:t>
      </w:r>
      <w:r>
        <w:rPr>
          <w:rFonts w:hint="eastAsia" w:ascii="宋体" w:hAnsi="宋体" w:cs="宋体"/>
          <w:b/>
          <w:sz w:val="24"/>
          <w:highlight w:val="none"/>
          <w:u w:val="single"/>
        </w:rPr>
        <w:t>符合国家和行业验收合格的标准。</w:t>
      </w:r>
    </w:p>
    <w:p>
      <w:pPr>
        <w:snapToGrid w:val="0"/>
        <w:spacing w:line="360" w:lineRule="auto"/>
        <w:ind w:firstLine="540"/>
        <w:rPr>
          <w:rFonts w:hint="eastAsia" w:ascii="宋体" w:hAnsi="宋体"/>
          <w:sz w:val="24"/>
          <w:highlight w:val="none"/>
        </w:rPr>
      </w:pPr>
      <w:r>
        <w:rPr>
          <w:rFonts w:hint="eastAsia" w:ascii="宋体" w:hAnsi="宋体"/>
          <w:sz w:val="24"/>
          <w:highlight w:val="none"/>
        </w:rPr>
        <w:t>2.我方在投标之前已经与贵方进行了充分的沟通，完全理解并接受招标文件的各项规定和要求，对招标文件的合理性、合法性不再有异议。（包括修改文件）</w:t>
      </w:r>
    </w:p>
    <w:p>
      <w:pPr>
        <w:snapToGrid w:val="0"/>
        <w:spacing w:line="360" w:lineRule="auto"/>
        <w:ind w:firstLine="540"/>
        <w:rPr>
          <w:rFonts w:hint="eastAsia" w:ascii="宋体" w:hAnsi="宋体"/>
          <w:kern w:val="0"/>
          <w:sz w:val="24"/>
          <w:highlight w:val="none"/>
        </w:rPr>
      </w:pPr>
      <w:r>
        <w:rPr>
          <w:rFonts w:hint="eastAsia" w:ascii="宋体" w:hAnsi="宋体"/>
          <w:sz w:val="24"/>
          <w:highlight w:val="none"/>
        </w:rPr>
        <w:t>3.我方承诺在投标有效期内（从开标之日起90天），其投标文件中的所有内容对我方具有约束力。</w:t>
      </w:r>
    </w:p>
    <w:p>
      <w:pPr>
        <w:snapToGrid w:val="0"/>
        <w:spacing w:line="360" w:lineRule="auto"/>
        <w:ind w:firstLine="540"/>
        <w:rPr>
          <w:rFonts w:hint="eastAsia" w:ascii="宋体" w:hAnsi="宋体"/>
          <w:sz w:val="24"/>
          <w:highlight w:val="none"/>
        </w:rPr>
      </w:pPr>
      <w:r>
        <w:rPr>
          <w:rFonts w:hint="eastAsia" w:ascii="宋体" w:hAnsi="宋体"/>
          <w:sz w:val="24"/>
          <w:highlight w:val="none"/>
        </w:rPr>
        <w:t>4.如我方中标，我方承诺：</w:t>
      </w:r>
    </w:p>
    <w:p>
      <w:pPr>
        <w:snapToGrid w:val="0"/>
        <w:spacing w:line="360" w:lineRule="auto"/>
        <w:ind w:firstLine="540"/>
        <w:rPr>
          <w:rFonts w:hint="eastAsia" w:ascii="宋体" w:hAnsi="宋体"/>
          <w:sz w:val="24"/>
          <w:highlight w:val="none"/>
        </w:rPr>
      </w:pPr>
      <w:r>
        <w:rPr>
          <w:rFonts w:hint="eastAsia" w:ascii="宋体" w:hAnsi="宋体"/>
          <w:sz w:val="24"/>
          <w:highlight w:val="none"/>
        </w:rPr>
        <w:t>A.投标有效期内不撤销投标文件；强行撤销的，承诺按采购预算金额的 2%赔偿对采购组织机构造成损失；</w:t>
      </w:r>
    </w:p>
    <w:p>
      <w:pPr>
        <w:spacing w:line="360" w:lineRule="auto"/>
        <w:ind w:firstLine="540"/>
        <w:jc w:val="left"/>
        <w:rPr>
          <w:rFonts w:hint="eastAsia" w:ascii="宋体" w:hAnsi="宋体"/>
          <w:sz w:val="24"/>
          <w:highlight w:val="none"/>
        </w:rPr>
      </w:pPr>
      <w:r>
        <w:rPr>
          <w:rFonts w:hint="eastAsia" w:ascii="宋体" w:hAnsi="宋体"/>
          <w:sz w:val="24"/>
          <w:highlight w:val="none"/>
        </w:rPr>
        <w:t>b.中标或者成交后，按招标文件规定与采购人签订合同。拒绝签订合同的，承诺按采购预算金额的2%对采购人进行赔偿；赔偿金额不足以弥补采购人损失的，承诺继续承担超过部分的损失。</w:t>
      </w:r>
    </w:p>
    <w:p>
      <w:pPr>
        <w:spacing w:line="360" w:lineRule="auto"/>
        <w:ind w:firstLine="540"/>
        <w:jc w:val="left"/>
        <w:rPr>
          <w:rFonts w:hint="eastAsia" w:ascii="宋体" w:hAnsi="宋体"/>
          <w:sz w:val="24"/>
          <w:highlight w:val="none"/>
        </w:rPr>
      </w:pPr>
      <w:r>
        <w:rPr>
          <w:rFonts w:hint="eastAsia" w:ascii="宋体" w:hAnsi="宋体"/>
          <w:sz w:val="24"/>
          <w:highlight w:val="none"/>
        </w:rPr>
        <w:t>c.中标或者成交后，按招标文件规定的采购代理服务费标准，承诺在签订合同前向采购代理机构支付采购代理服务费。</w:t>
      </w:r>
    </w:p>
    <w:p>
      <w:pPr>
        <w:spacing w:line="360" w:lineRule="auto"/>
        <w:ind w:firstLine="540"/>
        <w:jc w:val="left"/>
        <w:rPr>
          <w:rFonts w:hint="eastAsia" w:ascii="宋体" w:hAnsi="宋体"/>
          <w:sz w:val="24"/>
          <w:highlight w:val="none"/>
        </w:rPr>
      </w:pPr>
      <w:r>
        <w:rPr>
          <w:rFonts w:hint="eastAsia" w:ascii="宋体" w:hAnsi="宋体"/>
          <w:sz w:val="24"/>
          <w:highlight w:val="none"/>
        </w:rPr>
        <w:t>5.我方在此声明，所递交的投标文件及有关资料内容完整、真实和准确。</w:t>
      </w:r>
    </w:p>
    <w:p>
      <w:pPr>
        <w:spacing w:line="360" w:lineRule="auto"/>
        <w:ind w:firstLine="540"/>
        <w:jc w:val="left"/>
        <w:rPr>
          <w:rFonts w:hint="eastAsia" w:ascii="宋体" w:hAnsi="宋体"/>
          <w:sz w:val="24"/>
          <w:highlight w:val="none"/>
        </w:rPr>
      </w:pPr>
      <w:r>
        <w:rPr>
          <w:rFonts w:hint="eastAsia" w:ascii="宋体" w:hAnsi="宋体"/>
          <w:sz w:val="24"/>
          <w:highlight w:val="none"/>
        </w:rPr>
        <w:t>6.我方理解贵方不一定接受最低报价的投标人，且对招标文件中规定的付款方式无异议。</w:t>
      </w:r>
    </w:p>
    <w:p>
      <w:pPr>
        <w:snapToGrid w:val="0"/>
        <w:spacing w:line="360" w:lineRule="auto"/>
        <w:ind w:left="2940" w:leftChars="257" w:hanging="2400" w:hangingChars="1000"/>
        <w:rPr>
          <w:rFonts w:hint="eastAsia" w:ascii="宋体" w:hAnsi="宋体"/>
          <w:sz w:val="24"/>
          <w:highlight w:val="none"/>
        </w:rPr>
      </w:pPr>
      <w:r>
        <w:rPr>
          <w:rFonts w:hint="eastAsia" w:ascii="宋体" w:hAnsi="宋体"/>
          <w:sz w:val="24"/>
          <w:highlight w:val="none"/>
        </w:rPr>
        <w:t xml:space="preserve">7.___________________________（投标人认为需要的其他补充说明）。                    </w:t>
      </w:r>
    </w:p>
    <w:p>
      <w:pPr>
        <w:snapToGrid w:val="0"/>
        <w:spacing w:line="360" w:lineRule="auto"/>
        <w:ind w:left="2934" w:leftChars="1397"/>
        <w:rPr>
          <w:rFonts w:hint="eastAsia" w:ascii="宋体" w:hAnsi="宋体"/>
          <w:bCs/>
          <w:sz w:val="24"/>
          <w:highlight w:val="none"/>
        </w:rPr>
      </w:pPr>
      <w:r>
        <w:rPr>
          <w:rFonts w:hint="eastAsia" w:ascii="宋体" w:hAnsi="宋体"/>
          <w:bCs/>
          <w:sz w:val="24"/>
          <w:highlight w:val="none"/>
        </w:rPr>
        <w:t>投标人：</w:t>
      </w:r>
      <w:r>
        <w:rPr>
          <w:rFonts w:hint="eastAsia" w:ascii="宋体" w:hAnsi="宋体"/>
          <w:bCs/>
          <w:sz w:val="24"/>
          <w:highlight w:val="none"/>
          <w:u w:val="single"/>
        </w:rPr>
        <w:t xml:space="preserve">                        </w:t>
      </w:r>
      <w:r>
        <w:rPr>
          <w:rFonts w:hint="eastAsia" w:ascii="宋体" w:hAnsi="宋体"/>
          <w:bCs/>
          <w:sz w:val="24"/>
          <w:highlight w:val="none"/>
        </w:rPr>
        <w:t xml:space="preserve">（盖公章）  </w:t>
      </w:r>
    </w:p>
    <w:p>
      <w:pPr>
        <w:snapToGrid w:val="0"/>
        <w:spacing w:line="360" w:lineRule="auto"/>
        <w:ind w:firstLine="3105" w:firstLineChars="1294"/>
        <w:rPr>
          <w:rFonts w:hint="eastAsia" w:ascii="宋体" w:hAnsi="宋体"/>
          <w:bCs/>
          <w:sz w:val="24"/>
          <w:highlight w:val="none"/>
          <w:u w:val="single"/>
        </w:rPr>
      </w:pPr>
      <w:r>
        <w:rPr>
          <w:rFonts w:hint="eastAsia" w:ascii="宋体" w:hAnsi="宋体"/>
          <w:bCs/>
          <w:sz w:val="24"/>
          <w:highlight w:val="none"/>
        </w:rPr>
        <w:t>日期：</w:t>
      </w:r>
      <w:r>
        <w:rPr>
          <w:rFonts w:hint="eastAsia" w:ascii="宋体" w:hAnsi="宋体"/>
          <w:bCs/>
          <w:sz w:val="24"/>
          <w:highlight w:val="none"/>
          <w:u w:val="single"/>
        </w:rPr>
        <w:t xml:space="preserve">                                 </w:t>
      </w:r>
    </w:p>
    <w:p>
      <w:pPr>
        <w:spacing w:before="156" w:beforeLines="50" w:after="156" w:afterLines="50" w:line="480" w:lineRule="exact"/>
        <w:ind w:left="105" w:leftChars="50" w:right="105" w:rightChars="50" w:firstLine="632"/>
        <w:jc w:val="left"/>
        <w:rPr>
          <w:rFonts w:hint="eastAsia" w:ascii="宋体" w:hAnsi="宋体"/>
          <w:b/>
          <w:color w:val="000000"/>
          <w:spacing w:val="20"/>
          <w:position w:val="2"/>
          <w:sz w:val="24"/>
          <w:highlight w:val="none"/>
        </w:rPr>
      </w:pPr>
      <w:r>
        <w:rPr>
          <w:rFonts w:hint="eastAsia" w:ascii="宋体" w:hAnsi="宋体"/>
          <w:b/>
          <w:color w:val="000000"/>
          <w:spacing w:val="20"/>
          <w:position w:val="2"/>
          <w:sz w:val="24"/>
          <w:highlight w:val="none"/>
        </w:rPr>
        <w:br w:type="page"/>
      </w:r>
      <w:r>
        <w:rPr>
          <w:rFonts w:hint="eastAsia" w:ascii="宋体" w:hAnsi="宋体"/>
          <w:sz w:val="30"/>
          <w:szCs w:val="30"/>
          <w:highlight w:val="none"/>
        </w:rPr>
        <w:t>附件5</w:t>
      </w:r>
      <w:r>
        <w:rPr>
          <w:rFonts w:hint="eastAsia" w:ascii="宋体" w:hAnsi="宋体"/>
          <w:b/>
          <w:sz w:val="30"/>
          <w:szCs w:val="30"/>
          <w:highlight w:val="none"/>
        </w:rPr>
        <w:t>：</w:t>
      </w:r>
      <w:r>
        <w:rPr>
          <w:rFonts w:hint="eastAsia" w:ascii="宋体" w:hAnsi="宋体"/>
          <w:b/>
          <w:color w:val="000000"/>
          <w:spacing w:val="20"/>
          <w:position w:val="2"/>
          <w:sz w:val="24"/>
          <w:highlight w:val="none"/>
        </w:rPr>
        <w:t xml:space="preserve">                 </w:t>
      </w:r>
    </w:p>
    <w:p>
      <w:pPr>
        <w:spacing w:before="156" w:beforeLines="50" w:after="156" w:afterLines="50" w:line="480" w:lineRule="exact"/>
        <w:ind w:left="105" w:leftChars="50" w:right="105" w:rightChars="50" w:firstLine="632"/>
        <w:jc w:val="center"/>
        <w:rPr>
          <w:rFonts w:hint="eastAsia" w:ascii="宋体" w:hAnsi="宋体" w:cs="宋体"/>
          <w:b/>
          <w:color w:val="000000"/>
          <w:spacing w:val="20"/>
          <w:position w:val="2"/>
          <w:sz w:val="24"/>
          <w:highlight w:val="none"/>
        </w:rPr>
      </w:pPr>
      <w:r>
        <w:rPr>
          <w:rFonts w:hint="eastAsia" w:ascii="宋体" w:hAnsi="宋体" w:cs="宋体"/>
          <w:b/>
          <w:color w:val="000000"/>
          <w:spacing w:val="20"/>
          <w:position w:val="2"/>
          <w:sz w:val="24"/>
          <w:highlight w:val="none"/>
        </w:rPr>
        <w:t>开标一览表</w:t>
      </w:r>
    </w:p>
    <w:bookmarkEnd w:id="92"/>
    <w:p>
      <w:pPr>
        <w:pStyle w:val="122"/>
        <w:widowControl w:val="0"/>
        <w:overflowPunct/>
        <w:autoSpaceDE/>
        <w:adjustRightInd/>
        <w:spacing w:line="360" w:lineRule="auto"/>
        <w:rPr>
          <w:rFonts w:hint="eastAsia" w:ascii="宋体" w:hAnsi="宋体" w:cs="宋体"/>
          <w:bCs/>
          <w:sz w:val="24"/>
          <w:szCs w:val="24"/>
          <w:highlight w:val="none"/>
        </w:rPr>
      </w:pPr>
      <w:bookmarkStart w:id="97" w:name="_Toc194217897"/>
    </w:p>
    <w:tbl>
      <w:tblPr>
        <w:tblStyle w:val="40"/>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2715"/>
        <w:gridCol w:w="4459"/>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cs="宋体"/>
                <w:sz w:val="24"/>
                <w:highlight w:val="none"/>
              </w:rPr>
            </w:pPr>
            <w:r>
              <w:rPr>
                <w:rFonts w:hint="eastAsia" w:ascii="宋体" w:hAnsi="宋体" w:cs="宋体"/>
                <w:sz w:val="24"/>
                <w:highlight w:val="none"/>
              </w:rPr>
              <w:t>序号</w:t>
            </w:r>
          </w:p>
        </w:tc>
        <w:tc>
          <w:tcPr>
            <w:tcW w:w="27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cs="宋体"/>
                <w:sz w:val="24"/>
                <w:highlight w:val="none"/>
              </w:rPr>
            </w:pPr>
            <w:r>
              <w:rPr>
                <w:rFonts w:hint="eastAsia" w:ascii="宋体" w:hAnsi="宋体" w:cs="宋体"/>
                <w:sz w:val="24"/>
                <w:highlight w:val="none"/>
              </w:rPr>
              <w:t>项目名称</w:t>
            </w:r>
          </w:p>
        </w:tc>
        <w:tc>
          <w:tcPr>
            <w:tcW w:w="44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cs="宋体"/>
                <w:sz w:val="24"/>
                <w:highlight w:val="none"/>
              </w:rPr>
            </w:pPr>
            <w:r>
              <w:rPr>
                <w:rFonts w:hint="eastAsia" w:ascii="宋体" w:hAnsi="宋体" w:cs="宋体"/>
                <w:sz w:val="24"/>
                <w:highlight w:val="none"/>
              </w:rPr>
              <w:t>投标折扣率</w:t>
            </w:r>
          </w:p>
        </w:tc>
        <w:tc>
          <w:tcPr>
            <w:tcW w:w="7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cs="宋体"/>
                <w:color w:val="000000"/>
                <w:sz w:val="24"/>
                <w:highlight w:val="none"/>
              </w:rPr>
            </w:pPr>
            <w:r>
              <w:rPr>
                <w:rFonts w:hint="eastAsia" w:ascii="宋体" w:hAnsi="宋体" w:cs="宋体"/>
                <w:color w:val="000000"/>
                <w:kern w:val="0"/>
                <w:sz w:val="24"/>
                <w:highlight w:val="none"/>
                <w:lang w:bidi="ar"/>
              </w:rPr>
              <w:t>1</w:t>
            </w:r>
          </w:p>
        </w:tc>
        <w:tc>
          <w:tcPr>
            <w:tcW w:w="27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cs="宋体"/>
                <w:color w:val="000000"/>
                <w:sz w:val="24"/>
                <w:highlight w:val="none"/>
              </w:rPr>
            </w:pPr>
            <w:r>
              <w:rPr>
                <w:rFonts w:hint="eastAsia" w:ascii="宋体" w:hAnsi="宋体" w:cs="宋体"/>
                <w:sz w:val="24"/>
                <w:highlight w:val="none"/>
              </w:rPr>
              <w:t>桐庐农商银行营业网点及办公场所装修设计服务单位入围项目</w:t>
            </w:r>
          </w:p>
        </w:tc>
        <w:tc>
          <w:tcPr>
            <w:tcW w:w="4459"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折扣率</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w:t>
            </w:r>
          </w:p>
        </w:tc>
        <w:tc>
          <w:tcPr>
            <w:tcW w:w="740" w:type="dxa"/>
            <w:tcBorders>
              <w:top w:val="single" w:color="auto" w:sz="4" w:space="0"/>
              <w:left w:val="single" w:color="auto" w:sz="4" w:space="0"/>
              <w:right w:val="single" w:color="auto" w:sz="4" w:space="0"/>
            </w:tcBorders>
            <w:vAlign w:val="center"/>
          </w:tcPr>
          <w:p>
            <w:pPr>
              <w:widowControl/>
              <w:snapToGrid w:val="0"/>
              <w:spacing w:line="360" w:lineRule="auto"/>
              <w:jc w:val="center"/>
              <w:rPr>
                <w:rFonts w:hint="eastAsia" w:ascii="宋体" w:hAnsi="宋体" w:cs="宋体"/>
                <w:color w:val="000000"/>
                <w:kern w:val="0"/>
                <w:sz w:val="24"/>
                <w:highlight w:val="none"/>
                <w:lang w:bidi="ar"/>
              </w:rPr>
            </w:pPr>
          </w:p>
        </w:tc>
      </w:tr>
    </w:tbl>
    <w:p>
      <w:pPr>
        <w:pStyle w:val="122"/>
        <w:widowControl w:val="0"/>
        <w:overflowPunct/>
        <w:autoSpaceDE/>
        <w:adjustRightInd/>
        <w:spacing w:line="360" w:lineRule="auto"/>
        <w:rPr>
          <w:rFonts w:hint="eastAsia" w:ascii="宋体" w:hAnsi="宋体" w:cs="宋体"/>
          <w:bCs/>
          <w:sz w:val="24"/>
          <w:szCs w:val="24"/>
          <w:highlight w:val="none"/>
        </w:rPr>
      </w:pPr>
    </w:p>
    <w:p>
      <w:pPr>
        <w:pStyle w:val="122"/>
        <w:widowControl w:val="0"/>
        <w:overflowPunct/>
        <w:autoSpaceDE/>
        <w:adjustRightInd/>
        <w:spacing w:line="360" w:lineRule="auto"/>
        <w:rPr>
          <w:rFonts w:hint="eastAsia" w:ascii="宋体" w:hAnsi="宋体" w:cs="宋体"/>
          <w:bCs/>
          <w:sz w:val="24"/>
          <w:szCs w:val="24"/>
          <w:highlight w:val="none"/>
        </w:rPr>
      </w:pPr>
    </w:p>
    <w:p>
      <w:pPr>
        <w:pStyle w:val="122"/>
        <w:widowControl w:val="0"/>
        <w:overflowPunct/>
        <w:autoSpaceDE/>
        <w:adjustRightInd/>
        <w:spacing w:line="360" w:lineRule="auto"/>
        <w:rPr>
          <w:rFonts w:hint="eastAsia" w:ascii="宋体" w:hAnsi="宋体" w:cs="宋体"/>
          <w:bCs/>
          <w:sz w:val="24"/>
          <w:szCs w:val="24"/>
          <w:highlight w:val="none"/>
        </w:rPr>
      </w:pPr>
    </w:p>
    <w:p>
      <w:pPr>
        <w:spacing w:before="156" w:beforeLines="50" w:after="156" w:afterLines="50" w:line="360" w:lineRule="auto"/>
        <w:ind w:right="105" w:rightChars="50" w:firstLine="3074" w:firstLineChars="1098"/>
        <w:rPr>
          <w:rFonts w:hint="eastAsia" w:ascii="宋体" w:hAnsi="宋体" w:cs="宋体"/>
          <w:bCs/>
          <w:spacing w:val="20"/>
          <w:position w:val="2"/>
          <w:sz w:val="24"/>
          <w:highlight w:val="none"/>
        </w:rPr>
      </w:pPr>
      <w:r>
        <w:rPr>
          <w:rFonts w:hint="eastAsia" w:ascii="宋体" w:hAnsi="宋体" w:cs="宋体"/>
          <w:bCs/>
          <w:spacing w:val="20"/>
          <w:position w:val="2"/>
          <w:sz w:val="24"/>
          <w:highlight w:val="none"/>
        </w:rPr>
        <w:t>投标人：</w:t>
      </w:r>
      <w:r>
        <w:rPr>
          <w:rFonts w:hint="eastAsia" w:ascii="宋体" w:hAnsi="宋体" w:cs="宋体"/>
          <w:bCs/>
          <w:spacing w:val="20"/>
          <w:position w:val="2"/>
          <w:sz w:val="24"/>
          <w:highlight w:val="none"/>
          <w:u w:val="single"/>
        </w:rPr>
        <w:t xml:space="preserve">                 </w:t>
      </w:r>
      <w:r>
        <w:rPr>
          <w:rFonts w:hint="eastAsia" w:ascii="宋体" w:hAnsi="宋体" w:cs="宋体"/>
          <w:bCs/>
          <w:spacing w:val="20"/>
          <w:position w:val="2"/>
          <w:sz w:val="24"/>
          <w:highlight w:val="none"/>
        </w:rPr>
        <w:t>（盖公章）</w:t>
      </w:r>
    </w:p>
    <w:p>
      <w:pPr>
        <w:spacing w:line="360" w:lineRule="auto"/>
        <w:ind w:firstLine="3110" w:firstLineChars="1296"/>
        <w:rPr>
          <w:rFonts w:hint="eastAsia" w:ascii="宋体" w:hAnsi="宋体" w:cs="宋体"/>
          <w:bCs/>
          <w:sz w:val="24"/>
          <w:highlight w:val="none"/>
        </w:rPr>
      </w:pPr>
      <w:r>
        <w:rPr>
          <w:rFonts w:hint="eastAsia" w:ascii="宋体" w:hAnsi="宋体" w:cs="宋体"/>
          <w:bCs/>
          <w:sz w:val="24"/>
          <w:highlight w:val="none"/>
        </w:rPr>
        <w:t>法定代表人或委托代理人：</w:t>
      </w:r>
      <w:r>
        <w:rPr>
          <w:rFonts w:hint="eastAsia" w:ascii="宋体" w:hAnsi="宋体" w:cs="宋体"/>
          <w:bCs/>
          <w:sz w:val="24"/>
          <w:highlight w:val="none"/>
          <w:u w:val="single"/>
        </w:rPr>
        <w:t xml:space="preserve">       </w:t>
      </w:r>
      <w:r>
        <w:rPr>
          <w:rFonts w:hint="eastAsia" w:ascii="宋体" w:hAnsi="宋体" w:cs="宋体"/>
          <w:bCs/>
          <w:sz w:val="24"/>
          <w:highlight w:val="none"/>
        </w:rPr>
        <w:t>（签字或盖章）</w:t>
      </w:r>
    </w:p>
    <w:p>
      <w:pPr>
        <w:spacing w:before="156" w:beforeLines="50" w:after="156" w:afterLines="50" w:line="360" w:lineRule="auto"/>
        <w:ind w:right="105" w:rightChars="50" w:firstLine="3074" w:firstLineChars="1098"/>
        <w:rPr>
          <w:rFonts w:hint="eastAsia" w:ascii="宋体" w:hAnsi="宋体" w:cs="宋体"/>
          <w:bCs/>
          <w:spacing w:val="20"/>
          <w:position w:val="2"/>
          <w:sz w:val="24"/>
          <w:highlight w:val="none"/>
          <w:u w:val="single"/>
        </w:rPr>
      </w:pPr>
      <w:r>
        <w:rPr>
          <w:rFonts w:hint="eastAsia" w:ascii="宋体" w:hAnsi="宋体" w:cs="宋体"/>
          <w:bCs/>
          <w:spacing w:val="20"/>
          <w:position w:val="2"/>
          <w:sz w:val="24"/>
          <w:highlight w:val="none"/>
        </w:rPr>
        <w:t>日 期：</w:t>
      </w:r>
      <w:r>
        <w:rPr>
          <w:rFonts w:hint="eastAsia" w:ascii="宋体" w:hAnsi="宋体" w:cs="宋体"/>
          <w:bCs/>
          <w:spacing w:val="20"/>
          <w:position w:val="2"/>
          <w:sz w:val="24"/>
          <w:highlight w:val="none"/>
          <w:u w:val="single"/>
        </w:rPr>
        <w:t xml:space="preserve">                       </w:t>
      </w:r>
      <w:bookmarkEnd w:id="93"/>
      <w:bookmarkEnd w:id="97"/>
    </w:p>
    <w:p>
      <w:pPr>
        <w:spacing w:line="360" w:lineRule="auto"/>
        <w:ind w:firstLine="630"/>
        <w:jc w:val="left"/>
        <w:rPr>
          <w:rFonts w:hint="eastAsia" w:ascii="宋体" w:hAnsi="宋体" w:cs="宋体"/>
          <w:b/>
          <w:spacing w:val="6"/>
          <w:sz w:val="32"/>
          <w:szCs w:val="32"/>
          <w:highlight w:val="none"/>
        </w:rPr>
      </w:pPr>
      <w:r>
        <w:rPr>
          <w:rFonts w:hint="eastAsia" w:ascii="宋体" w:hAnsi="宋体" w:cs="宋体"/>
          <w:bCs/>
          <w:spacing w:val="20"/>
          <w:position w:val="2"/>
          <w:sz w:val="24"/>
          <w:highlight w:val="none"/>
          <w:u w:val="single"/>
        </w:rPr>
        <w:br w:type="page"/>
      </w:r>
      <w:r>
        <w:rPr>
          <w:rFonts w:hint="eastAsia" w:ascii="宋体" w:hAnsi="宋体"/>
          <w:sz w:val="30"/>
          <w:szCs w:val="30"/>
          <w:highlight w:val="none"/>
        </w:rPr>
        <w:t>附件6：质疑函范本及制作说明</w:t>
      </w:r>
    </w:p>
    <w:p>
      <w:pPr>
        <w:spacing w:line="360" w:lineRule="auto"/>
        <w:ind w:firstLine="569"/>
        <w:jc w:val="center"/>
        <w:rPr>
          <w:rFonts w:hint="eastAsia" w:ascii="宋体" w:hAnsi="宋体" w:cs="宋体"/>
          <w:b/>
          <w:spacing w:val="6"/>
          <w:sz w:val="24"/>
          <w:highlight w:val="none"/>
        </w:rPr>
      </w:pPr>
      <w:r>
        <w:rPr>
          <w:rFonts w:hint="eastAsia" w:ascii="宋体" w:hAnsi="宋体" w:cs="宋体"/>
          <w:b/>
          <w:spacing w:val="6"/>
          <w:sz w:val="24"/>
          <w:highlight w:val="none"/>
        </w:rPr>
        <w:t>质疑函范本</w:t>
      </w:r>
    </w:p>
    <w:p>
      <w:pPr>
        <w:snapToGrid w:val="0"/>
        <w:spacing w:before="312" w:beforeLines="100" w:line="360" w:lineRule="auto"/>
        <w:rPr>
          <w:rFonts w:hint="eastAsia" w:ascii="宋体" w:hAnsi="宋体" w:cs="宋体"/>
          <w:bCs/>
          <w:sz w:val="24"/>
          <w:highlight w:val="none"/>
        </w:rPr>
      </w:pPr>
      <w:r>
        <w:rPr>
          <w:rFonts w:hint="eastAsia" w:ascii="宋体" w:hAnsi="宋体" w:cs="宋体"/>
          <w:bCs/>
          <w:sz w:val="24"/>
          <w:highlight w:val="none"/>
        </w:rPr>
        <w:t>一、质疑供应商基本信息</w:t>
      </w:r>
    </w:p>
    <w:p>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pPr>
        <w:snapToGrid w:val="0"/>
        <w:spacing w:line="360" w:lineRule="auto"/>
        <w:rPr>
          <w:rFonts w:hint="eastAsia"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hint="eastAsia"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napToGrid w:val="0"/>
        <w:spacing w:line="360" w:lineRule="auto"/>
        <w:rPr>
          <w:rFonts w:hint="eastAsia"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pPr>
        <w:snapToGrid w:val="0"/>
        <w:spacing w:line="360" w:lineRule="auto"/>
        <w:rPr>
          <w:rFonts w:hint="eastAsia"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napToGrid w:val="0"/>
        <w:spacing w:line="360" w:lineRule="auto"/>
        <w:rPr>
          <w:rFonts w:hint="eastAsia"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hint="eastAsia" w:ascii="宋体" w:hAnsi="宋体" w:cs="宋体"/>
          <w:bCs/>
          <w:sz w:val="24"/>
          <w:highlight w:val="none"/>
        </w:rPr>
      </w:pPr>
      <w:r>
        <w:rPr>
          <w:rFonts w:hint="eastAsia" w:ascii="宋体" w:hAnsi="宋体" w:cs="宋体"/>
          <w:bCs/>
          <w:sz w:val="24"/>
          <w:highlight w:val="none"/>
        </w:rPr>
        <w:t>二、质疑项目基本情况</w:t>
      </w:r>
    </w:p>
    <w:p>
      <w:pPr>
        <w:snapToGrid w:val="0"/>
        <w:spacing w:line="360" w:lineRule="auto"/>
        <w:rPr>
          <w:rFonts w:hint="eastAsia"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pPr>
        <w:snapToGrid w:val="0"/>
        <w:spacing w:line="360" w:lineRule="auto"/>
        <w:rPr>
          <w:rFonts w:hint="eastAsia"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napToGrid w:val="0"/>
        <w:spacing w:line="360" w:lineRule="auto"/>
        <w:rPr>
          <w:rFonts w:hint="eastAsia"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pPr>
        <w:snapToGrid w:val="0"/>
        <w:spacing w:line="360" w:lineRule="auto"/>
        <w:rPr>
          <w:rFonts w:hint="eastAsia"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pPr>
        <w:snapToGrid w:val="0"/>
        <w:spacing w:line="360" w:lineRule="auto"/>
        <w:rPr>
          <w:rFonts w:hint="eastAsia" w:ascii="宋体" w:hAnsi="宋体" w:cs="宋体"/>
          <w:bCs/>
          <w:sz w:val="24"/>
          <w:highlight w:val="none"/>
        </w:rPr>
      </w:pPr>
      <w:r>
        <w:rPr>
          <w:rFonts w:hint="eastAsia" w:ascii="宋体" w:hAnsi="宋体" w:cs="宋体"/>
          <w:bCs/>
          <w:sz w:val="24"/>
          <w:highlight w:val="none"/>
        </w:rPr>
        <w:t>三、质疑事项具体内容</w:t>
      </w:r>
    </w:p>
    <w:p>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pPr>
        <w:snapToGrid w:val="0"/>
        <w:spacing w:line="360" w:lineRule="auto"/>
        <w:rPr>
          <w:rFonts w:hint="eastAsia"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napToGrid w:val="0"/>
        <w:spacing w:line="360" w:lineRule="auto"/>
        <w:rPr>
          <w:rFonts w:hint="eastAsia" w:ascii="宋体" w:hAnsi="宋体" w:cs="宋体"/>
          <w:sz w:val="24"/>
          <w:highlight w:val="none"/>
        </w:rPr>
      </w:pPr>
      <w:r>
        <w:rPr>
          <w:rFonts w:hint="eastAsia" w:ascii="宋体" w:hAnsi="宋体" w:cs="宋体"/>
          <w:sz w:val="24"/>
          <w:highlight w:val="none"/>
          <w:u w:val="dotted"/>
        </w:rPr>
        <w:t xml:space="preserve">                                                       </w:t>
      </w:r>
    </w:p>
    <w:p>
      <w:pPr>
        <w:snapToGrid w:val="0"/>
        <w:spacing w:line="360" w:lineRule="auto"/>
        <w:rPr>
          <w:rFonts w:hint="eastAsia"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napToGrid w:val="0"/>
        <w:spacing w:line="360" w:lineRule="auto"/>
        <w:rPr>
          <w:rFonts w:hint="eastAsia" w:ascii="宋体" w:hAnsi="宋体" w:cs="宋体"/>
          <w:sz w:val="24"/>
          <w:highlight w:val="none"/>
          <w:u w:val="dotted"/>
        </w:rPr>
      </w:pPr>
      <w:r>
        <w:rPr>
          <w:rFonts w:hint="eastAsia" w:ascii="宋体" w:hAnsi="宋体" w:cs="宋体"/>
          <w:sz w:val="24"/>
          <w:highlight w:val="none"/>
          <w:u w:val="dotted"/>
        </w:rPr>
        <w:t xml:space="preserve">                                                     </w:t>
      </w:r>
    </w:p>
    <w:p>
      <w:pPr>
        <w:snapToGrid w:val="0"/>
        <w:spacing w:line="360" w:lineRule="auto"/>
        <w:rPr>
          <w:rFonts w:hint="eastAsia" w:ascii="宋体" w:hAnsi="宋体" w:cs="宋体"/>
          <w:sz w:val="24"/>
          <w:highlight w:val="none"/>
          <w:u w:val="dotted"/>
        </w:rPr>
      </w:pPr>
      <w:r>
        <w:rPr>
          <w:rFonts w:hint="eastAsia" w:ascii="宋体" w:hAnsi="宋体" w:cs="宋体"/>
          <w:sz w:val="24"/>
          <w:highlight w:val="none"/>
        </w:rPr>
        <w:t>质疑事项2</w:t>
      </w:r>
    </w:p>
    <w:p>
      <w:pPr>
        <w:snapToGrid w:val="0"/>
        <w:spacing w:line="360" w:lineRule="auto"/>
        <w:rPr>
          <w:rFonts w:hint="eastAsia" w:ascii="宋体" w:hAnsi="宋体" w:cs="宋体"/>
          <w:sz w:val="24"/>
          <w:highlight w:val="none"/>
        </w:rPr>
      </w:pPr>
      <w:r>
        <w:rPr>
          <w:rFonts w:hint="eastAsia" w:ascii="宋体" w:hAnsi="宋体" w:cs="宋体"/>
          <w:sz w:val="24"/>
          <w:highlight w:val="none"/>
        </w:rPr>
        <w:t>……</w:t>
      </w:r>
    </w:p>
    <w:p>
      <w:pPr>
        <w:snapToGrid w:val="0"/>
        <w:spacing w:line="360" w:lineRule="auto"/>
        <w:rPr>
          <w:rFonts w:hint="eastAsia" w:ascii="宋体" w:hAnsi="宋体" w:cs="宋体"/>
          <w:bCs/>
          <w:sz w:val="24"/>
          <w:highlight w:val="none"/>
        </w:rPr>
      </w:pPr>
      <w:r>
        <w:rPr>
          <w:rFonts w:hint="eastAsia" w:ascii="宋体" w:hAnsi="宋体" w:cs="宋体"/>
          <w:bCs/>
          <w:sz w:val="24"/>
          <w:highlight w:val="none"/>
        </w:rPr>
        <w:t>四、与质疑事项相关的质疑请求</w:t>
      </w:r>
    </w:p>
    <w:p>
      <w:pPr>
        <w:snapToGrid w:val="0"/>
        <w:spacing w:line="360" w:lineRule="auto"/>
        <w:rPr>
          <w:rFonts w:hint="eastAsia"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pPr>
        <w:spacing w:line="360" w:lineRule="auto"/>
        <w:rPr>
          <w:rFonts w:hint="eastAsia"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hint="eastAsia" w:ascii="宋体" w:hAnsi="宋体" w:cs="宋体"/>
          <w:sz w:val="24"/>
          <w:highlight w:val="none"/>
        </w:rPr>
      </w:pPr>
      <w:r>
        <w:rPr>
          <w:rFonts w:hint="eastAsia" w:ascii="宋体" w:hAnsi="宋体" w:cs="宋体"/>
          <w:sz w:val="24"/>
          <w:highlight w:val="none"/>
        </w:rPr>
        <w:t xml:space="preserve">日期：    </w:t>
      </w:r>
    </w:p>
    <w:p>
      <w:pPr>
        <w:spacing w:line="360" w:lineRule="auto"/>
        <w:ind w:firstLine="542"/>
        <w:jc w:val="center"/>
        <w:rPr>
          <w:rFonts w:hint="eastAsia" w:ascii="宋体" w:hAnsi="宋体" w:cs="宋体"/>
          <w:b/>
          <w:bCs/>
          <w:sz w:val="24"/>
          <w:highlight w:val="none"/>
        </w:rPr>
      </w:pPr>
    </w:p>
    <w:p>
      <w:pPr>
        <w:spacing w:line="360" w:lineRule="auto"/>
        <w:ind w:firstLine="542"/>
        <w:rPr>
          <w:rFonts w:hint="eastAsia" w:ascii="宋体" w:hAnsi="宋体" w:cs="宋体"/>
          <w:b/>
          <w:sz w:val="24"/>
          <w:highlight w:val="none"/>
        </w:rPr>
      </w:pPr>
    </w:p>
    <w:p>
      <w:pPr>
        <w:spacing w:line="360" w:lineRule="auto"/>
        <w:ind w:firstLine="542"/>
        <w:rPr>
          <w:rFonts w:hint="eastAsia" w:ascii="宋体" w:hAnsi="宋体" w:cs="宋体"/>
          <w:b/>
          <w:sz w:val="24"/>
          <w:highlight w:val="none"/>
        </w:rPr>
      </w:pPr>
    </w:p>
    <w:p>
      <w:pPr>
        <w:spacing w:line="360" w:lineRule="auto"/>
        <w:ind w:firstLine="542"/>
        <w:rPr>
          <w:rFonts w:hint="eastAsia" w:ascii="宋体" w:hAnsi="宋体" w:cs="宋体"/>
          <w:b/>
          <w:sz w:val="24"/>
          <w:highlight w:val="none"/>
        </w:rPr>
      </w:pPr>
      <w:r>
        <w:rPr>
          <w:rFonts w:hint="eastAsia" w:ascii="宋体" w:hAnsi="宋体" w:cs="宋体"/>
          <w:b/>
          <w:sz w:val="24"/>
          <w:highlight w:val="none"/>
        </w:rPr>
        <w:t>质疑函制作说明：</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5.质疑函的质疑请求应与质疑事项相关。</w:t>
      </w:r>
    </w:p>
    <w:p>
      <w:pPr>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ind w:firstLine="2301" w:firstLineChars="1096"/>
        <w:rPr>
          <w:highlight w:val="none"/>
        </w:rPr>
      </w:pPr>
    </w:p>
    <w:p>
      <w:pPr>
        <w:ind w:firstLine="473"/>
        <w:rPr>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
    <w:altName w:val="Times New Roman"/>
    <w:panose1 w:val="00000000000000000000"/>
    <w:charset w:val="00"/>
    <w:family w:val="roman"/>
    <w:pitch w:val="default"/>
    <w:sig w:usb0="00000000" w:usb1="00000000" w:usb2="00000000" w:usb3="00000000" w:csb0="00040001" w:csb1="00000000"/>
  </w:font>
  <w:font w:name="Comic Sans MS">
    <w:panose1 w:val="030F0702030302020204"/>
    <w:charset w:val="00"/>
    <w:family w:val="script"/>
    <w:pitch w:val="default"/>
    <w:sig w:usb0="00000287" w:usb1="00000013" w:usb2="00000000" w:usb3="00000000" w:csb0="2000009F" w:csb1="00000000"/>
  </w:font>
  <w:font w:name="Tahoma">
    <w:panose1 w:val="020B0604030504040204"/>
    <w:charset w:val="00"/>
    <w:family w:val="swiss"/>
    <w:pitch w:val="default"/>
    <w:sig w:usb0="E1002EFF" w:usb1="C000605B" w:usb2="00000029" w:usb3="00000000" w:csb0="200101FF" w:csb1="20280000"/>
  </w:font>
  <w:font w:name="Optima">
    <w:altName w:val="Segoe Print"/>
    <w:panose1 w:val="00000000000000000000"/>
    <w:charset w:val="00"/>
    <w:family w:val="swiss"/>
    <w:pitch w:val="default"/>
    <w:sig w:usb0="00000000" w:usb1="00000000" w:usb2="00000000" w:usb3="00000000" w:csb0="00000093" w:csb1="00000000"/>
  </w:font>
  <w:font w:name="Arial Black">
    <w:panose1 w:val="020B0A04020102020204"/>
    <w:charset w:val="00"/>
    <w:family w:val="swiss"/>
    <w:pitch w:val="default"/>
    <w:sig w:usb0="A00002AF" w:usb1="400078FB" w:usb2="00000000" w:usb3="00000000" w:csb0="6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53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535"/>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53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15C89"/>
    <w:multiLevelType w:val="singleLevel"/>
    <w:tmpl w:val="8D215C89"/>
    <w:lvl w:ilvl="0" w:tentative="0">
      <w:start w:val="1"/>
      <w:numFmt w:val="chineseCounting"/>
      <w:suff w:val="nothing"/>
      <w:lvlText w:val="%1、"/>
      <w:lvlJc w:val="left"/>
      <w:rPr>
        <w:rFonts w:hint="eastAsia"/>
      </w:rPr>
    </w:lvl>
  </w:abstractNum>
  <w:abstractNum w:abstractNumId="1">
    <w:nsid w:val="FFFFFF88"/>
    <w:multiLevelType w:val="singleLevel"/>
    <w:tmpl w:val="FFFFFF88"/>
    <w:lvl w:ilvl="0" w:tentative="0">
      <w:start w:val="1"/>
      <w:numFmt w:val="decimal"/>
      <w:pStyle w:val="9"/>
      <w:lvlText w:val="%1."/>
      <w:lvlJc w:val="left"/>
      <w:pPr>
        <w:tabs>
          <w:tab w:val="left" w:pos="360"/>
        </w:tabs>
        <w:ind w:left="360" w:hanging="360"/>
      </w:pPr>
    </w:lvl>
  </w:abstractNum>
  <w:abstractNum w:abstractNumId="2">
    <w:nsid w:val="051D54B3"/>
    <w:multiLevelType w:val="singleLevel"/>
    <w:tmpl w:val="051D54B3"/>
    <w:lvl w:ilvl="0" w:tentative="0">
      <w:start w:val="1"/>
      <w:numFmt w:val="chineseCounting"/>
      <w:suff w:val="nothing"/>
      <w:lvlText w:val="%1、"/>
      <w:lvlJc w:val="left"/>
      <w:pPr>
        <w:ind w:left="0" w:firstLine="0"/>
      </w:pPr>
    </w:lvl>
  </w:abstractNum>
  <w:abstractNum w:abstractNumId="3">
    <w:nsid w:val="1EF2E01B"/>
    <w:multiLevelType w:val="singleLevel"/>
    <w:tmpl w:val="1EF2E01B"/>
    <w:lvl w:ilvl="0" w:tentative="0">
      <w:start w:val="1"/>
      <w:numFmt w:val="decimal"/>
      <w:lvlText w:val="%1."/>
      <w:lvlJc w:val="left"/>
      <w:pPr>
        <w:tabs>
          <w:tab w:val="left" w:pos="312"/>
        </w:tabs>
        <w:ind w:left="0" w:firstLine="0"/>
      </w:pPr>
    </w:lvl>
  </w:abstractNum>
  <w:abstractNum w:abstractNumId="4">
    <w:nsid w:val="208A7ABE"/>
    <w:multiLevelType w:val="multilevel"/>
    <w:tmpl w:val="208A7ABE"/>
    <w:lvl w:ilvl="0" w:tentative="0">
      <w:start w:val="1"/>
      <w:numFmt w:val="decimal"/>
      <w:pStyle w:val="121"/>
      <w:lvlText w:val="表%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B363D98"/>
    <w:multiLevelType w:val="multilevel"/>
    <w:tmpl w:val="3B363D98"/>
    <w:lvl w:ilvl="0" w:tentative="0">
      <w:start w:val="1"/>
      <w:numFmt w:val="decimal"/>
      <w:pStyle w:val="14"/>
      <w:lvlText w:val="图%1."/>
      <w:lvlJc w:val="left"/>
      <w:pPr>
        <w:ind w:left="2263" w:hanging="420"/>
      </w:p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6">
    <w:nsid w:val="479B5BBA"/>
    <w:multiLevelType w:val="multilevel"/>
    <w:tmpl w:val="479B5BBA"/>
    <w:lvl w:ilvl="0" w:tentative="0">
      <w:start w:val="1"/>
      <w:numFmt w:val="chineseCountingThousand"/>
      <w:suff w:val="space"/>
      <w:lvlText w:val="第 %1 章"/>
      <w:lvlJc w:val="left"/>
      <w:pPr>
        <w:ind w:left="0" w:firstLine="0"/>
      </w:pPr>
      <w:rPr>
        <w:rFonts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decimal"/>
      <w:isLgl/>
      <w:suff w:val="space"/>
      <w:lvlText w:val="%1.%2"/>
      <w:lvlJc w:val="left"/>
      <w:pPr>
        <w:ind w:left="0"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vertAlign w:val="baseline"/>
        <w:lang w:val="en-US"/>
      </w:rPr>
    </w:lvl>
    <w:lvl w:ilvl="2" w:tentative="0">
      <w:start w:val="1"/>
      <w:numFmt w:val="decimal"/>
      <w:isLgl/>
      <w:suff w:val="space"/>
      <w:lvlText w:val="%1.%2.%3"/>
      <w:lvlJc w:val="left"/>
      <w:pPr>
        <w:ind w:left="0" w:firstLine="0"/>
      </w:pPr>
      <w:rPr>
        <w:rFonts w:cs="Times New Roman"/>
        <w:b w:val="0"/>
        <w:bCs w:val="0"/>
        <w:i w:val="0"/>
        <w:iCs w:val="0"/>
        <w:caps w:val="0"/>
        <w:smallCaps w:val="0"/>
        <w:strike w:val="0"/>
        <w:dstrike w:val="0"/>
        <w:vanish w:val="0"/>
        <w:color w:val="000000"/>
        <w:spacing w:val="0"/>
        <w:kern w:val="0"/>
        <w:position w:val="0"/>
        <w:u w:val="none"/>
        <w:vertAlign w:val="baseline"/>
      </w:rPr>
    </w:lvl>
    <w:lvl w:ilvl="3" w:tentative="0">
      <w:start w:val="1"/>
      <w:numFmt w:val="decimal"/>
      <w:isLgl/>
      <w:suff w:val="space"/>
      <w:lvlText w:val="%1.%2.%3.%4"/>
      <w:lvlJc w:val="left"/>
      <w:pPr>
        <w:ind w:left="0" w:firstLine="0"/>
      </w:pPr>
      <w:rPr>
        <w:rFonts w:hint="default" w:ascii="Arial" w:hAnsi="Arial" w:eastAsia="黑体" w:cs="Times New Roman"/>
        <w:b w:val="0"/>
        <w:i w:val="0"/>
        <w:sz w:val="30"/>
      </w:rPr>
    </w:lvl>
    <w:lvl w:ilvl="4" w:tentative="0">
      <w:start w:val="1"/>
      <w:numFmt w:val="decimal"/>
      <w:pStyle w:val="6"/>
      <w:isLgl/>
      <w:suff w:val="space"/>
      <w:lvlText w:val="%1.%2.%3.%4.%5"/>
      <w:lvlJc w:val="left"/>
      <w:pPr>
        <w:ind w:left="0" w:firstLine="0"/>
      </w:pPr>
      <w:rPr>
        <w:rFonts w:hint="default" w:ascii="Arial" w:hAnsi="Arial" w:eastAsia="黑体" w:cs="Times New Roman"/>
        <w:b w:val="0"/>
        <w:i w:val="0"/>
        <w:sz w:val="28"/>
      </w:rPr>
    </w:lvl>
    <w:lvl w:ilvl="5" w:tentative="0">
      <w:start w:val="1"/>
      <w:numFmt w:val="decimal"/>
      <w:isLgl/>
      <w:suff w:val="space"/>
      <w:lvlText w:val="%1.%2.%3.%4.%5.%6"/>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6" w:tentative="0">
      <w:start w:val="1"/>
      <w:numFmt w:val="decimal"/>
      <w:isLgl/>
      <w:suff w:val="space"/>
      <w:lvlText w:val="%1.%2.%3.%4.%5.%6.%7"/>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7" w:tentative="0">
      <w:start w:val="1"/>
      <w:numFmt w:val="decimal"/>
      <w:isLgl/>
      <w:suff w:val="space"/>
      <w:lvlText w:val="%1.%2.%3.%4.%5.%6.%7.%8"/>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rPr>
    </w:lvl>
  </w:abstractNum>
  <w:abstractNum w:abstractNumId="7">
    <w:nsid w:val="4CA75A52"/>
    <w:multiLevelType w:val="multilevel"/>
    <w:tmpl w:val="4CA75A52"/>
    <w:lvl w:ilvl="0" w:tentative="0">
      <w:start w:val="1"/>
      <w:numFmt w:val="decimal"/>
      <w:pStyle w:val="146"/>
      <w:lvlText w:val="%1)"/>
      <w:lvlJc w:val="left"/>
      <w:pPr>
        <w:ind w:left="420" w:firstLine="0"/>
      </w:p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2"/>
    <w:lvlOverride w:ilvl="0">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813CC9"/>
    <w:rsid w:val="00001AB4"/>
    <w:rsid w:val="00005BDC"/>
    <w:rsid w:val="000201FC"/>
    <w:rsid w:val="00040D9E"/>
    <w:rsid w:val="0005792B"/>
    <w:rsid w:val="00065EA5"/>
    <w:rsid w:val="0007157C"/>
    <w:rsid w:val="000840A7"/>
    <w:rsid w:val="00091E1F"/>
    <w:rsid w:val="0009595B"/>
    <w:rsid w:val="000963C4"/>
    <w:rsid w:val="000A4439"/>
    <w:rsid w:val="000B355D"/>
    <w:rsid w:val="000C2F2D"/>
    <w:rsid w:val="000D6933"/>
    <w:rsid w:val="000D693D"/>
    <w:rsid w:val="000E6264"/>
    <w:rsid w:val="000F1545"/>
    <w:rsid w:val="000F4C91"/>
    <w:rsid w:val="000F5B27"/>
    <w:rsid w:val="000F69ED"/>
    <w:rsid w:val="000F7588"/>
    <w:rsid w:val="00111434"/>
    <w:rsid w:val="00112638"/>
    <w:rsid w:val="001402E8"/>
    <w:rsid w:val="00150BA3"/>
    <w:rsid w:val="001533EF"/>
    <w:rsid w:val="001942E0"/>
    <w:rsid w:val="001954F9"/>
    <w:rsid w:val="001B496D"/>
    <w:rsid w:val="001C585F"/>
    <w:rsid w:val="001E6673"/>
    <w:rsid w:val="001F394B"/>
    <w:rsid w:val="001F4057"/>
    <w:rsid w:val="001F5C0D"/>
    <w:rsid w:val="00215DAD"/>
    <w:rsid w:val="00254AED"/>
    <w:rsid w:val="002553C1"/>
    <w:rsid w:val="00260277"/>
    <w:rsid w:val="00286FB1"/>
    <w:rsid w:val="002A4314"/>
    <w:rsid w:val="002C4FCB"/>
    <w:rsid w:val="002D32F0"/>
    <w:rsid w:val="002E09AF"/>
    <w:rsid w:val="002E2988"/>
    <w:rsid w:val="002E52BB"/>
    <w:rsid w:val="003219AE"/>
    <w:rsid w:val="0032398E"/>
    <w:rsid w:val="0032568D"/>
    <w:rsid w:val="00341348"/>
    <w:rsid w:val="00350E0E"/>
    <w:rsid w:val="00387B55"/>
    <w:rsid w:val="003B2FF5"/>
    <w:rsid w:val="003B3F7B"/>
    <w:rsid w:val="003C22AD"/>
    <w:rsid w:val="003C4480"/>
    <w:rsid w:val="003D3B89"/>
    <w:rsid w:val="003D4B65"/>
    <w:rsid w:val="003E17C4"/>
    <w:rsid w:val="003F12BF"/>
    <w:rsid w:val="004024A9"/>
    <w:rsid w:val="00494864"/>
    <w:rsid w:val="00494D99"/>
    <w:rsid w:val="004B7D36"/>
    <w:rsid w:val="004C2C6D"/>
    <w:rsid w:val="004C2D1E"/>
    <w:rsid w:val="004D1B0F"/>
    <w:rsid w:val="004D727B"/>
    <w:rsid w:val="004D7D0E"/>
    <w:rsid w:val="004E642E"/>
    <w:rsid w:val="004F32C0"/>
    <w:rsid w:val="00500DE3"/>
    <w:rsid w:val="0051386B"/>
    <w:rsid w:val="00514E4E"/>
    <w:rsid w:val="005310EA"/>
    <w:rsid w:val="0055127B"/>
    <w:rsid w:val="00575C34"/>
    <w:rsid w:val="005828E7"/>
    <w:rsid w:val="005A04F4"/>
    <w:rsid w:val="005A13FA"/>
    <w:rsid w:val="005A172C"/>
    <w:rsid w:val="005A7DB1"/>
    <w:rsid w:val="005B1A84"/>
    <w:rsid w:val="005B3A7B"/>
    <w:rsid w:val="005B5537"/>
    <w:rsid w:val="005B702F"/>
    <w:rsid w:val="005B73C5"/>
    <w:rsid w:val="005C0E6F"/>
    <w:rsid w:val="005C3C72"/>
    <w:rsid w:val="005C6A95"/>
    <w:rsid w:val="005C76F5"/>
    <w:rsid w:val="005E1BDB"/>
    <w:rsid w:val="005F406C"/>
    <w:rsid w:val="005F5155"/>
    <w:rsid w:val="00612128"/>
    <w:rsid w:val="0061638A"/>
    <w:rsid w:val="0062463E"/>
    <w:rsid w:val="00662FD0"/>
    <w:rsid w:val="00666EFE"/>
    <w:rsid w:val="006735C1"/>
    <w:rsid w:val="006822D8"/>
    <w:rsid w:val="006870A6"/>
    <w:rsid w:val="006A24CD"/>
    <w:rsid w:val="006C7A0C"/>
    <w:rsid w:val="006D3E50"/>
    <w:rsid w:val="006F3BF5"/>
    <w:rsid w:val="006F482D"/>
    <w:rsid w:val="00715CE8"/>
    <w:rsid w:val="00725AA2"/>
    <w:rsid w:val="00726BEA"/>
    <w:rsid w:val="00730F67"/>
    <w:rsid w:val="007750E4"/>
    <w:rsid w:val="00785E4F"/>
    <w:rsid w:val="00794FC0"/>
    <w:rsid w:val="007973FA"/>
    <w:rsid w:val="00797621"/>
    <w:rsid w:val="007A1685"/>
    <w:rsid w:val="007A3117"/>
    <w:rsid w:val="007B66D7"/>
    <w:rsid w:val="007C469C"/>
    <w:rsid w:val="007C50E2"/>
    <w:rsid w:val="007D77AB"/>
    <w:rsid w:val="007F5C52"/>
    <w:rsid w:val="008013BC"/>
    <w:rsid w:val="00813CC9"/>
    <w:rsid w:val="0081792E"/>
    <w:rsid w:val="00825A9C"/>
    <w:rsid w:val="00827121"/>
    <w:rsid w:val="00831E8C"/>
    <w:rsid w:val="00842AB7"/>
    <w:rsid w:val="00853A3F"/>
    <w:rsid w:val="00890E64"/>
    <w:rsid w:val="008B52A2"/>
    <w:rsid w:val="008D1150"/>
    <w:rsid w:val="008D4A4C"/>
    <w:rsid w:val="008E4F39"/>
    <w:rsid w:val="00905825"/>
    <w:rsid w:val="0091560C"/>
    <w:rsid w:val="00935C7D"/>
    <w:rsid w:val="00944EF4"/>
    <w:rsid w:val="00957FB2"/>
    <w:rsid w:val="00967F3B"/>
    <w:rsid w:val="00971EED"/>
    <w:rsid w:val="00976B75"/>
    <w:rsid w:val="00981747"/>
    <w:rsid w:val="00986CD5"/>
    <w:rsid w:val="00990891"/>
    <w:rsid w:val="00994C05"/>
    <w:rsid w:val="00995407"/>
    <w:rsid w:val="009963F8"/>
    <w:rsid w:val="009A50A3"/>
    <w:rsid w:val="009A6808"/>
    <w:rsid w:val="009B3D06"/>
    <w:rsid w:val="009C1B47"/>
    <w:rsid w:val="009D6685"/>
    <w:rsid w:val="009E2199"/>
    <w:rsid w:val="009E68B3"/>
    <w:rsid w:val="009E79E5"/>
    <w:rsid w:val="00A122AC"/>
    <w:rsid w:val="00A13BE5"/>
    <w:rsid w:val="00A41315"/>
    <w:rsid w:val="00A61463"/>
    <w:rsid w:val="00A63B34"/>
    <w:rsid w:val="00AC241C"/>
    <w:rsid w:val="00AE681A"/>
    <w:rsid w:val="00AF0FE6"/>
    <w:rsid w:val="00B041B0"/>
    <w:rsid w:val="00B12AF0"/>
    <w:rsid w:val="00B26888"/>
    <w:rsid w:val="00B3658D"/>
    <w:rsid w:val="00B460AF"/>
    <w:rsid w:val="00B506E3"/>
    <w:rsid w:val="00B66404"/>
    <w:rsid w:val="00B80DCD"/>
    <w:rsid w:val="00BA07A7"/>
    <w:rsid w:val="00BC599E"/>
    <w:rsid w:val="00BC772E"/>
    <w:rsid w:val="00BD23DE"/>
    <w:rsid w:val="00BD39A1"/>
    <w:rsid w:val="00BD7819"/>
    <w:rsid w:val="00BE62D8"/>
    <w:rsid w:val="00BE6A3E"/>
    <w:rsid w:val="00C0043D"/>
    <w:rsid w:val="00C0587E"/>
    <w:rsid w:val="00C27795"/>
    <w:rsid w:val="00C2784A"/>
    <w:rsid w:val="00C34334"/>
    <w:rsid w:val="00C45421"/>
    <w:rsid w:val="00C573B4"/>
    <w:rsid w:val="00C87A73"/>
    <w:rsid w:val="00C926A9"/>
    <w:rsid w:val="00CA345C"/>
    <w:rsid w:val="00CA6739"/>
    <w:rsid w:val="00CE5968"/>
    <w:rsid w:val="00CF2D41"/>
    <w:rsid w:val="00CF4B99"/>
    <w:rsid w:val="00CF4CA7"/>
    <w:rsid w:val="00CF6AD4"/>
    <w:rsid w:val="00D04171"/>
    <w:rsid w:val="00D14796"/>
    <w:rsid w:val="00D23BE5"/>
    <w:rsid w:val="00D37CA3"/>
    <w:rsid w:val="00D5637C"/>
    <w:rsid w:val="00D57ED2"/>
    <w:rsid w:val="00D74C60"/>
    <w:rsid w:val="00D759A6"/>
    <w:rsid w:val="00D759A9"/>
    <w:rsid w:val="00D767F7"/>
    <w:rsid w:val="00D82733"/>
    <w:rsid w:val="00D9513D"/>
    <w:rsid w:val="00DA4BFB"/>
    <w:rsid w:val="00DC10A4"/>
    <w:rsid w:val="00DC2066"/>
    <w:rsid w:val="00DC46E4"/>
    <w:rsid w:val="00DD6384"/>
    <w:rsid w:val="00E00126"/>
    <w:rsid w:val="00E01044"/>
    <w:rsid w:val="00E3206A"/>
    <w:rsid w:val="00E43984"/>
    <w:rsid w:val="00E45BA6"/>
    <w:rsid w:val="00EA7318"/>
    <w:rsid w:val="00EC0429"/>
    <w:rsid w:val="00EF277D"/>
    <w:rsid w:val="00F00AAE"/>
    <w:rsid w:val="00F01F1F"/>
    <w:rsid w:val="00F429CA"/>
    <w:rsid w:val="00F4656F"/>
    <w:rsid w:val="00F573AD"/>
    <w:rsid w:val="00F62E94"/>
    <w:rsid w:val="00F73FDA"/>
    <w:rsid w:val="00F9568C"/>
    <w:rsid w:val="00FA7B8F"/>
    <w:rsid w:val="00FB3099"/>
    <w:rsid w:val="00FE0077"/>
    <w:rsid w:val="00FF7EC8"/>
    <w:rsid w:val="021861DA"/>
    <w:rsid w:val="09B57429"/>
    <w:rsid w:val="0AE13948"/>
    <w:rsid w:val="0B0F03B9"/>
    <w:rsid w:val="0D077DD0"/>
    <w:rsid w:val="0E16243F"/>
    <w:rsid w:val="0ED14B39"/>
    <w:rsid w:val="0FA07592"/>
    <w:rsid w:val="10E572AF"/>
    <w:rsid w:val="1234018E"/>
    <w:rsid w:val="13D6674E"/>
    <w:rsid w:val="146464BB"/>
    <w:rsid w:val="14915E3E"/>
    <w:rsid w:val="14947AFB"/>
    <w:rsid w:val="1A7F6BD2"/>
    <w:rsid w:val="20177862"/>
    <w:rsid w:val="27F95935"/>
    <w:rsid w:val="28343F41"/>
    <w:rsid w:val="2AF02C34"/>
    <w:rsid w:val="2B33316E"/>
    <w:rsid w:val="2CFE25F8"/>
    <w:rsid w:val="2E5C32EB"/>
    <w:rsid w:val="2FDA5BCD"/>
    <w:rsid w:val="37AD6536"/>
    <w:rsid w:val="3B6C521C"/>
    <w:rsid w:val="3CC46A9D"/>
    <w:rsid w:val="40287958"/>
    <w:rsid w:val="41391F47"/>
    <w:rsid w:val="41F736F3"/>
    <w:rsid w:val="42F21FE1"/>
    <w:rsid w:val="4A802994"/>
    <w:rsid w:val="4F615A4A"/>
    <w:rsid w:val="4F9B2C44"/>
    <w:rsid w:val="50EC3FE1"/>
    <w:rsid w:val="50EE52D5"/>
    <w:rsid w:val="512B49F6"/>
    <w:rsid w:val="536F1D83"/>
    <w:rsid w:val="55167F83"/>
    <w:rsid w:val="55DA73FC"/>
    <w:rsid w:val="580C3AB9"/>
    <w:rsid w:val="586456A3"/>
    <w:rsid w:val="5A286265"/>
    <w:rsid w:val="5A49507E"/>
    <w:rsid w:val="5B440BC2"/>
    <w:rsid w:val="5C25514A"/>
    <w:rsid w:val="5CD6087F"/>
    <w:rsid w:val="5D910212"/>
    <w:rsid w:val="5DEA6691"/>
    <w:rsid w:val="5E993BCD"/>
    <w:rsid w:val="60514E4F"/>
    <w:rsid w:val="61427FED"/>
    <w:rsid w:val="62F343B1"/>
    <w:rsid w:val="6349328D"/>
    <w:rsid w:val="658E32C6"/>
    <w:rsid w:val="690D16FE"/>
    <w:rsid w:val="736600CA"/>
    <w:rsid w:val="743B3304"/>
    <w:rsid w:val="75DE52A1"/>
    <w:rsid w:val="76381B18"/>
    <w:rsid w:val="79D375BB"/>
    <w:rsid w:val="7C340071"/>
    <w:rsid w:val="7C8B0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name="List"/>
    <w:lsdException w:uiPriority="99" w:name="List Bullet"/>
    <w:lsdException w:qFormat="1" w:uiPriority="0" w:semiHidden="0" w:name="List Number"/>
    <w:lsdException w:qFormat="1" w:uiPriority="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qFormat="1" w:uiPriority="0" w:name="Body Text First Indent"/>
    <w:lsdException w:qFormat="1" w:uiPriority="0"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0"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0"/>
    <w:pPr>
      <w:keepNext/>
      <w:keepLines/>
      <w:tabs>
        <w:tab w:val="left" w:pos="360"/>
      </w:tabs>
      <w:autoSpaceDE w:val="0"/>
      <w:autoSpaceDN w:val="0"/>
      <w:adjustRightInd w:val="0"/>
      <w:spacing w:before="120" w:after="120" w:line="360" w:lineRule="auto"/>
      <w:jc w:val="center"/>
      <w:outlineLvl w:val="0"/>
    </w:pPr>
    <w:rPr>
      <w:rFonts w:ascii="宋体" w:hAnsi="Arial" w:cs="宋体"/>
      <w:b/>
      <w:color w:val="000000"/>
      <w:kern w:val="44"/>
      <w:sz w:val="24"/>
      <w:szCs w:val="20"/>
    </w:rPr>
  </w:style>
  <w:style w:type="paragraph" w:styleId="4">
    <w:name w:val="heading 2"/>
    <w:basedOn w:val="1"/>
    <w:next w:val="1"/>
    <w:link w:val="49"/>
    <w:semiHidden/>
    <w:unhideWhenUsed/>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50"/>
    <w:autoRedefine/>
    <w:semiHidden/>
    <w:unhideWhenUsed/>
    <w:qFormat/>
    <w:uiPriority w:val="0"/>
    <w:pPr>
      <w:tabs>
        <w:tab w:val="left" w:pos="709"/>
      </w:tabs>
      <w:autoSpaceDE w:val="0"/>
      <w:autoSpaceDN w:val="0"/>
      <w:adjustRightInd w:val="0"/>
      <w:spacing w:line="300" w:lineRule="auto"/>
      <w:ind w:left="709" w:hanging="709"/>
      <w:outlineLvl w:val="2"/>
    </w:pPr>
    <w:rPr>
      <w:rFonts w:ascii="黑体" w:eastAsia="黑体" w:cs="宋体"/>
      <w:b/>
      <w:color w:val="000000"/>
      <w:kern w:val="0"/>
      <w:sz w:val="28"/>
      <w:szCs w:val="20"/>
    </w:rPr>
  </w:style>
  <w:style w:type="paragraph" w:styleId="2">
    <w:name w:val="heading 4"/>
    <w:basedOn w:val="1"/>
    <w:next w:val="1"/>
    <w:link w:val="51"/>
    <w:autoRedefine/>
    <w:semiHidden/>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52"/>
    <w:autoRedefine/>
    <w:semiHidden/>
    <w:unhideWhenUsed/>
    <w:qFormat/>
    <w:uiPriority w:val="0"/>
    <w:pPr>
      <w:keepNext/>
      <w:keepLines/>
      <w:numPr>
        <w:ilvl w:val="4"/>
        <w:numId w:val="1"/>
      </w:numPr>
      <w:snapToGrid w:val="0"/>
      <w:spacing w:beforeLines="50"/>
      <w:jc w:val="left"/>
      <w:outlineLvl w:val="4"/>
    </w:pPr>
    <w:rPr>
      <w:rFonts w:eastAsia="黑体"/>
      <w:bCs/>
      <w:sz w:val="28"/>
      <w:szCs w:val="28"/>
    </w:rPr>
  </w:style>
  <w:style w:type="paragraph" w:styleId="7">
    <w:name w:val="heading 6"/>
    <w:basedOn w:val="1"/>
    <w:next w:val="1"/>
    <w:link w:val="53"/>
    <w:autoRedefine/>
    <w:semiHidden/>
    <w:unhideWhenUsed/>
    <w:qFormat/>
    <w:uiPriority w:val="9"/>
    <w:pPr>
      <w:keepNext/>
      <w:keepLines/>
      <w:spacing w:before="240" w:after="64" w:line="319" w:lineRule="auto"/>
      <w:outlineLvl w:val="5"/>
    </w:pPr>
    <w:rPr>
      <w:rFonts w:ascii="Arial" w:hAnsi="Arial" w:eastAsia="黑体"/>
      <w:b/>
      <w:sz w:val="24"/>
    </w:rPr>
  </w:style>
  <w:style w:type="character" w:default="1" w:styleId="42">
    <w:name w:val="Default Paragraph Font"/>
    <w:semiHidden/>
    <w:unhideWhenUsed/>
    <w:qFormat/>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8">
    <w:name w:val="toc 7"/>
    <w:basedOn w:val="1"/>
    <w:next w:val="1"/>
    <w:autoRedefine/>
    <w:semiHidden/>
    <w:unhideWhenUsed/>
    <w:qFormat/>
    <w:uiPriority w:val="0"/>
    <w:pPr>
      <w:ind w:left="1260"/>
      <w:jc w:val="left"/>
    </w:pPr>
    <w:rPr>
      <w:sz w:val="18"/>
      <w:szCs w:val="18"/>
    </w:rPr>
  </w:style>
  <w:style w:type="paragraph" w:styleId="9">
    <w:name w:val="List Number"/>
    <w:basedOn w:val="1"/>
    <w:next w:val="10"/>
    <w:autoRedefine/>
    <w:unhideWhenUsed/>
    <w:qFormat/>
    <w:uiPriority w:val="0"/>
    <w:pPr>
      <w:widowControl/>
      <w:numPr>
        <w:ilvl w:val="0"/>
        <w:numId w:val="2"/>
      </w:numPr>
      <w:tabs>
        <w:tab w:val="left" w:pos="454"/>
        <w:tab w:val="left" w:pos="720"/>
        <w:tab w:val="clear" w:pos="360"/>
      </w:tabs>
      <w:spacing w:afterLines="50"/>
      <w:ind w:left="814" w:hanging="284"/>
      <w:jc w:val="left"/>
    </w:pPr>
    <w:rPr>
      <w:kern w:val="0"/>
      <w:sz w:val="24"/>
      <w:szCs w:val="20"/>
    </w:rPr>
  </w:style>
  <w:style w:type="paragraph" w:styleId="10">
    <w:name w:val="Balloon Text"/>
    <w:basedOn w:val="1"/>
    <w:next w:val="11"/>
    <w:link w:val="60"/>
    <w:autoRedefine/>
    <w:unhideWhenUsed/>
    <w:qFormat/>
    <w:uiPriority w:val="0"/>
    <w:rPr>
      <w:sz w:val="18"/>
      <w:szCs w:val="18"/>
    </w:rPr>
  </w:style>
  <w:style w:type="paragraph" w:styleId="11">
    <w:name w:val="toc 8"/>
    <w:basedOn w:val="1"/>
    <w:next w:val="1"/>
    <w:autoRedefine/>
    <w:semiHidden/>
    <w:unhideWhenUsed/>
    <w:qFormat/>
    <w:uiPriority w:val="0"/>
    <w:pPr>
      <w:ind w:left="1470"/>
      <w:jc w:val="left"/>
    </w:pPr>
    <w:rPr>
      <w:sz w:val="18"/>
      <w:szCs w:val="18"/>
    </w:rPr>
  </w:style>
  <w:style w:type="paragraph" w:styleId="12">
    <w:name w:val="Normal Indent"/>
    <w:basedOn w:val="1"/>
    <w:next w:val="13"/>
    <w:link w:val="57"/>
    <w:autoRedefine/>
    <w:unhideWhenUsed/>
    <w:qFormat/>
    <w:uiPriority w:val="0"/>
    <w:pPr>
      <w:ind w:firstLine="420" w:firstLineChars="200"/>
    </w:pPr>
    <w:rPr>
      <w:rFonts w:asciiTheme="minorHAnsi" w:hAnsiTheme="minorHAnsi" w:eastAsiaTheme="minorEastAsia" w:cstheme="minorBidi"/>
    </w:rPr>
  </w:style>
  <w:style w:type="paragraph" w:styleId="13">
    <w:name w:val="Body Text Indent"/>
    <w:basedOn w:val="1"/>
    <w:next w:val="1"/>
    <w:link w:val="56"/>
    <w:autoRedefine/>
    <w:semiHidden/>
    <w:unhideWhenUsed/>
    <w:qFormat/>
    <w:uiPriority w:val="0"/>
    <w:pPr>
      <w:spacing w:after="120"/>
      <w:ind w:left="420" w:leftChars="200"/>
    </w:pPr>
  </w:style>
  <w:style w:type="paragraph" w:styleId="14">
    <w:name w:val="caption"/>
    <w:basedOn w:val="1"/>
    <w:next w:val="1"/>
    <w:link w:val="59"/>
    <w:autoRedefine/>
    <w:semiHidden/>
    <w:unhideWhenUsed/>
    <w:qFormat/>
    <w:uiPriority w:val="0"/>
    <w:pPr>
      <w:numPr>
        <w:ilvl w:val="0"/>
        <w:numId w:val="3"/>
      </w:numPr>
      <w:ind w:left="0" w:firstLine="200"/>
      <w:jc w:val="center"/>
    </w:pPr>
    <w:rPr>
      <w:rFonts w:ascii="Arial Unicode MS" w:hAnsi="Arial Unicode MS" w:eastAsiaTheme="minorEastAsia" w:cstheme="minorBidi"/>
      <w:szCs w:val="22"/>
    </w:rPr>
  </w:style>
  <w:style w:type="paragraph" w:styleId="15">
    <w:name w:val="Document Map"/>
    <w:basedOn w:val="1"/>
    <w:link w:val="70"/>
    <w:autoRedefine/>
    <w:semiHidden/>
    <w:unhideWhenUsed/>
    <w:qFormat/>
    <w:uiPriority w:val="0"/>
    <w:pPr>
      <w:shd w:val="clear" w:color="auto" w:fill="000080"/>
    </w:pPr>
  </w:style>
  <w:style w:type="paragraph" w:styleId="16">
    <w:name w:val="annotation text"/>
    <w:basedOn w:val="1"/>
    <w:link w:val="58"/>
    <w:autoRedefine/>
    <w:unhideWhenUsed/>
    <w:qFormat/>
    <w:uiPriority w:val="0"/>
    <w:pPr>
      <w:jc w:val="left"/>
    </w:pPr>
  </w:style>
  <w:style w:type="paragraph" w:styleId="17">
    <w:name w:val="Body Text 3"/>
    <w:basedOn w:val="1"/>
    <w:link w:val="67"/>
    <w:autoRedefine/>
    <w:semiHidden/>
    <w:unhideWhenUsed/>
    <w:qFormat/>
    <w:uiPriority w:val="0"/>
    <w:pPr>
      <w:spacing w:after="120"/>
    </w:pPr>
    <w:rPr>
      <w:sz w:val="16"/>
      <w:szCs w:val="16"/>
    </w:rPr>
  </w:style>
  <w:style w:type="paragraph" w:styleId="18">
    <w:name w:val="Body Text"/>
    <w:basedOn w:val="1"/>
    <w:next w:val="13"/>
    <w:link w:val="62"/>
    <w:autoRedefine/>
    <w:semiHidden/>
    <w:unhideWhenUsed/>
    <w:qFormat/>
    <w:uiPriority w:val="0"/>
    <w:pPr>
      <w:spacing w:after="120"/>
    </w:pPr>
  </w:style>
  <w:style w:type="paragraph" w:styleId="19">
    <w:name w:val="List 2"/>
    <w:basedOn w:val="1"/>
    <w:autoRedefine/>
    <w:semiHidden/>
    <w:unhideWhenUsed/>
    <w:qFormat/>
    <w:uiPriority w:val="0"/>
    <w:pPr>
      <w:ind w:left="100" w:leftChars="200" w:hanging="200" w:hangingChars="200"/>
    </w:pPr>
  </w:style>
  <w:style w:type="paragraph" w:styleId="20">
    <w:name w:val="toc 5"/>
    <w:basedOn w:val="1"/>
    <w:next w:val="1"/>
    <w:autoRedefine/>
    <w:semiHidden/>
    <w:unhideWhenUsed/>
    <w:qFormat/>
    <w:uiPriority w:val="0"/>
    <w:pPr>
      <w:ind w:left="840"/>
      <w:jc w:val="left"/>
    </w:pPr>
    <w:rPr>
      <w:sz w:val="18"/>
      <w:szCs w:val="18"/>
    </w:rPr>
  </w:style>
  <w:style w:type="paragraph" w:styleId="21">
    <w:name w:val="toc 3"/>
    <w:basedOn w:val="1"/>
    <w:next w:val="1"/>
    <w:autoRedefine/>
    <w:semiHidden/>
    <w:unhideWhenUsed/>
    <w:qFormat/>
    <w:uiPriority w:val="0"/>
    <w:pPr>
      <w:ind w:left="420"/>
      <w:jc w:val="left"/>
    </w:pPr>
    <w:rPr>
      <w:i/>
      <w:iCs/>
      <w:sz w:val="20"/>
      <w:szCs w:val="20"/>
    </w:rPr>
  </w:style>
  <w:style w:type="paragraph" w:styleId="22">
    <w:name w:val="Plain Text"/>
    <w:basedOn w:val="1"/>
    <w:next w:val="1"/>
    <w:link w:val="71"/>
    <w:autoRedefine/>
    <w:unhideWhenUsed/>
    <w:qFormat/>
    <w:uiPriority w:val="0"/>
    <w:rPr>
      <w:rFonts w:ascii="宋体" w:hAnsi="Courier New"/>
      <w:szCs w:val="20"/>
    </w:rPr>
  </w:style>
  <w:style w:type="paragraph" w:styleId="23">
    <w:name w:val="Date"/>
    <w:basedOn w:val="1"/>
    <w:next w:val="1"/>
    <w:link w:val="63"/>
    <w:autoRedefine/>
    <w:semiHidden/>
    <w:unhideWhenUsed/>
    <w:qFormat/>
    <w:uiPriority w:val="0"/>
    <w:pPr>
      <w:ind w:left="100"/>
    </w:pPr>
    <w:rPr>
      <w:sz w:val="28"/>
      <w:szCs w:val="20"/>
    </w:rPr>
  </w:style>
  <w:style w:type="paragraph" w:styleId="24">
    <w:name w:val="Body Text Indent 2"/>
    <w:basedOn w:val="1"/>
    <w:link w:val="68"/>
    <w:autoRedefine/>
    <w:semiHidden/>
    <w:unhideWhenUsed/>
    <w:qFormat/>
    <w:uiPriority w:val="0"/>
    <w:pPr>
      <w:spacing w:line="360" w:lineRule="auto"/>
      <w:ind w:firstLine="482" w:firstLineChars="200"/>
      <w:jc w:val="left"/>
    </w:pPr>
    <w:rPr>
      <w:rFonts w:ascii="仿宋_GB2312" w:hAnsi="宋体" w:eastAsia="仿宋_GB2312"/>
      <w:b/>
      <w:bCs/>
      <w:sz w:val="24"/>
    </w:rPr>
  </w:style>
  <w:style w:type="paragraph" w:styleId="25">
    <w:name w:val="footer"/>
    <w:basedOn w:val="1"/>
    <w:link w:val="47"/>
    <w:autoRedefine/>
    <w:unhideWhenUsed/>
    <w:qFormat/>
    <w:uiPriority w:val="99"/>
    <w:pPr>
      <w:tabs>
        <w:tab w:val="center" w:pos="4153"/>
        <w:tab w:val="right" w:pos="8306"/>
      </w:tabs>
      <w:snapToGrid w:val="0"/>
      <w:jc w:val="left"/>
    </w:pPr>
    <w:rPr>
      <w:sz w:val="18"/>
      <w:szCs w:val="18"/>
    </w:rPr>
  </w:style>
  <w:style w:type="paragraph" w:styleId="26">
    <w:name w:val="header"/>
    <w:basedOn w:val="1"/>
    <w:link w:val="46"/>
    <w:autoRedefine/>
    <w:unhideWhenUsed/>
    <w:qFormat/>
    <w:uiPriority w:val="0"/>
    <w:pPr>
      <w:tabs>
        <w:tab w:val="center" w:pos="4153"/>
        <w:tab w:val="right" w:pos="8306"/>
      </w:tabs>
      <w:snapToGrid w:val="0"/>
      <w:jc w:val="center"/>
    </w:pPr>
    <w:rPr>
      <w:sz w:val="18"/>
      <w:szCs w:val="18"/>
    </w:rPr>
  </w:style>
  <w:style w:type="paragraph" w:styleId="27">
    <w:name w:val="toc 1"/>
    <w:basedOn w:val="1"/>
    <w:next w:val="1"/>
    <w:autoRedefine/>
    <w:unhideWhenUsed/>
    <w:qFormat/>
    <w:uiPriority w:val="39"/>
    <w:pPr>
      <w:spacing w:before="120" w:after="120"/>
      <w:jc w:val="left"/>
    </w:pPr>
    <w:rPr>
      <w:b/>
      <w:bCs/>
      <w:caps/>
      <w:sz w:val="20"/>
      <w:szCs w:val="20"/>
    </w:rPr>
  </w:style>
  <w:style w:type="paragraph" w:styleId="28">
    <w:name w:val="toc 4"/>
    <w:basedOn w:val="1"/>
    <w:next w:val="1"/>
    <w:autoRedefine/>
    <w:semiHidden/>
    <w:unhideWhenUsed/>
    <w:qFormat/>
    <w:uiPriority w:val="0"/>
    <w:pPr>
      <w:ind w:left="630"/>
      <w:jc w:val="left"/>
    </w:pPr>
    <w:rPr>
      <w:sz w:val="18"/>
      <w:szCs w:val="18"/>
    </w:rPr>
  </w:style>
  <w:style w:type="paragraph" w:styleId="29">
    <w:name w:val="List"/>
    <w:basedOn w:val="1"/>
    <w:autoRedefine/>
    <w:semiHidden/>
    <w:unhideWhenUsed/>
    <w:qFormat/>
    <w:uiPriority w:val="0"/>
    <w:pPr>
      <w:ind w:left="200" w:hanging="200" w:hangingChars="200"/>
      <w:contextualSpacing/>
    </w:pPr>
  </w:style>
  <w:style w:type="paragraph" w:styleId="30">
    <w:name w:val="toc 6"/>
    <w:basedOn w:val="1"/>
    <w:next w:val="1"/>
    <w:autoRedefine/>
    <w:semiHidden/>
    <w:unhideWhenUsed/>
    <w:qFormat/>
    <w:uiPriority w:val="0"/>
    <w:pPr>
      <w:ind w:left="1050"/>
      <w:jc w:val="left"/>
    </w:pPr>
    <w:rPr>
      <w:sz w:val="18"/>
      <w:szCs w:val="18"/>
    </w:rPr>
  </w:style>
  <w:style w:type="paragraph" w:styleId="31">
    <w:name w:val="Body Text Indent 3"/>
    <w:basedOn w:val="1"/>
    <w:link w:val="69"/>
    <w:autoRedefine/>
    <w:semiHidden/>
    <w:unhideWhenUsed/>
    <w:qFormat/>
    <w:uiPriority w:val="0"/>
    <w:pPr>
      <w:ind w:firstLine="570"/>
    </w:pPr>
    <w:rPr>
      <w:rFonts w:ascii="楷体_GB2312" w:eastAsia="楷体_GB2312"/>
      <w:sz w:val="32"/>
      <w:szCs w:val="20"/>
    </w:rPr>
  </w:style>
  <w:style w:type="paragraph" w:styleId="32">
    <w:name w:val="toc 2"/>
    <w:basedOn w:val="1"/>
    <w:next w:val="1"/>
    <w:autoRedefine/>
    <w:unhideWhenUsed/>
    <w:qFormat/>
    <w:uiPriority w:val="39"/>
    <w:pPr>
      <w:ind w:left="210"/>
      <w:jc w:val="left"/>
    </w:pPr>
    <w:rPr>
      <w:smallCaps/>
      <w:sz w:val="20"/>
      <w:szCs w:val="20"/>
    </w:rPr>
  </w:style>
  <w:style w:type="paragraph" w:styleId="33">
    <w:name w:val="toc 9"/>
    <w:basedOn w:val="1"/>
    <w:next w:val="1"/>
    <w:autoRedefine/>
    <w:semiHidden/>
    <w:unhideWhenUsed/>
    <w:qFormat/>
    <w:uiPriority w:val="0"/>
    <w:pPr>
      <w:ind w:left="1680"/>
      <w:jc w:val="left"/>
    </w:pPr>
    <w:rPr>
      <w:sz w:val="18"/>
      <w:szCs w:val="18"/>
    </w:rPr>
  </w:style>
  <w:style w:type="paragraph" w:styleId="34">
    <w:name w:val="Body Text 2"/>
    <w:basedOn w:val="1"/>
    <w:link w:val="66"/>
    <w:semiHidden/>
    <w:unhideWhenUsed/>
    <w:qFormat/>
    <w:uiPriority w:val="0"/>
    <w:pPr>
      <w:jc w:val="left"/>
    </w:pPr>
    <w:rPr>
      <w:rFonts w:eastAsia="楷体_GB2312"/>
    </w:rPr>
  </w:style>
  <w:style w:type="paragraph" w:styleId="35">
    <w:name w:val="Normal (Web)"/>
    <w:basedOn w:val="1"/>
    <w:link w:val="54"/>
    <w:autoRedefine/>
    <w:semiHidden/>
    <w:unhideWhenUsed/>
    <w:qFormat/>
    <w:uiPriority w:val="99"/>
    <w:pPr>
      <w:widowControl/>
      <w:spacing w:before="100" w:beforeAutospacing="1" w:after="100" w:afterAutospacing="1"/>
      <w:jc w:val="left"/>
    </w:pPr>
    <w:rPr>
      <w:rFonts w:ascii="宋体" w:hAnsi="宋体" w:cstheme="minorBidi"/>
      <w:color w:val="000000"/>
      <w:sz w:val="24"/>
    </w:rPr>
  </w:style>
  <w:style w:type="paragraph" w:styleId="36">
    <w:name w:val="Title"/>
    <w:basedOn w:val="1"/>
    <w:next w:val="1"/>
    <w:link w:val="61"/>
    <w:autoRedefine/>
    <w:qFormat/>
    <w:uiPriority w:val="0"/>
    <w:pPr>
      <w:widowControl/>
      <w:overflowPunct w:val="0"/>
      <w:autoSpaceDE w:val="0"/>
      <w:autoSpaceDN w:val="0"/>
      <w:adjustRightInd w:val="0"/>
      <w:jc w:val="center"/>
    </w:pPr>
    <w:rPr>
      <w:b/>
      <w:kern w:val="0"/>
      <w:sz w:val="24"/>
      <w:szCs w:val="20"/>
      <w:lang w:val="en-GB"/>
    </w:rPr>
  </w:style>
  <w:style w:type="paragraph" w:styleId="37">
    <w:name w:val="annotation subject"/>
    <w:basedOn w:val="16"/>
    <w:next w:val="16"/>
    <w:link w:val="72"/>
    <w:autoRedefine/>
    <w:semiHidden/>
    <w:unhideWhenUsed/>
    <w:qFormat/>
    <w:uiPriority w:val="0"/>
    <w:rPr>
      <w:b/>
      <w:bCs/>
    </w:rPr>
  </w:style>
  <w:style w:type="paragraph" w:styleId="38">
    <w:name w:val="Body Text First Indent"/>
    <w:basedOn w:val="18"/>
    <w:next w:val="1"/>
    <w:link w:val="64"/>
    <w:autoRedefine/>
    <w:semiHidden/>
    <w:unhideWhenUsed/>
    <w:qFormat/>
    <w:uiPriority w:val="0"/>
    <w:pPr>
      <w:ind w:firstLine="420" w:firstLineChars="100"/>
    </w:pPr>
  </w:style>
  <w:style w:type="paragraph" w:styleId="39">
    <w:name w:val="Body Text First Indent 2"/>
    <w:basedOn w:val="13"/>
    <w:link w:val="65"/>
    <w:autoRedefine/>
    <w:semiHidden/>
    <w:unhideWhenUsed/>
    <w:qFormat/>
    <w:uiPriority w:val="0"/>
    <w:pPr>
      <w:spacing w:line="360" w:lineRule="auto"/>
      <w:ind w:firstLine="420" w:firstLineChars="200"/>
    </w:pPr>
    <w:rPr>
      <w:rFonts w:ascii="Calibri" w:hAnsi="Calibri"/>
      <w:sz w:val="24"/>
      <w:szCs w:val="22"/>
    </w:rPr>
  </w:style>
  <w:style w:type="table" w:styleId="41">
    <w:name w:val="Table Grid"/>
    <w:basedOn w:val="40"/>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FollowedHyperlink"/>
    <w:basedOn w:val="42"/>
    <w:autoRedefine/>
    <w:semiHidden/>
    <w:unhideWhenUsed/>
    <w:qFormat/>
    <w:uiPriority w:val="99"/>
    <w:rPr>
      <w:color w:val="800080"/>
      <w:u w:val="single"/>
    </w:rPr>
  </w:style>
  <w:style w:type="character" w:styleId="44">
    <w:name w:val="Hyperlink"/>
    <w:basedOn w:val="42"/>
    <w:autoRedefine/>
    <w:unhideWhenUsed/>
    <w:qFormat/>
    <w:uiPriority w:val="99"/>
    <w:rPr>
      <w:color w:val="0000FF"/>
      <w:u w:val="single"/>
    </w:rPr>
  </w:style>
  <w:style w:type="character" w:styleId="45">
    <w:name w:val="annotation reference"/>
    <w:basedOn w:val="42"/>
    <w:autoRedefine/>
    <w:semiHidden/>
    <w:unhideWhenUsed/>
    <w:qFormat/>
    <w:uiPriority w:val="0"/>
    <w:rPr>
      <w:sz w:val="21"/>
      <w:szCs w:val="21"/>
    </w:rPr>
  </w:style>
  <w:style w:type="character" w:customStyle="1" w:styleId="46">
    <w:name w:val="页眉 字符"/>
    <w:basedOn w:val="42"/>
    <w:link w:val="26"/>
    <w:autoRedefine/>
    <w:qFormat/>
    <w:uiPriority w:val="0"/>
    <w:rPr>
      <w:sz w:val="18"/>
      <w:szCs w:val="18"/>
    </w:rPr>
  </w:style>
  <w:style w:type="character" w:customStyle="1" w:styleId="47">
    <w:name w:val="页脚 字符"/>
    <w:basedOn w:val="42"/>
    <w:link w:val="25"/>
    <w:autoRedefine/>
    <w:qFormat/>
    <w:uiPriority w:val="99"/>
    <w:rPr>
      <w:sz w:val="18"/>
      <w:szCs w:val="18"/>
    </w:rPr>
  </w:style>
  <w:style w:type="character" w:customStyle="1" w:styleId="48">
    <w:name w:val="标题 1 字符"/>
    <w:basedOn w:val="42"/>
    <w:link w:val="3"/>
    <w:autoRedefine/>
    <w:qFormat/>
    <w:uiPriority w:val="0"/>
    <w:rPr>
      <w:rFonts w:ascii="宋体" w:hAnsi="Arial" w:eastAsia="宋体" w:cs="宋体"/>
      <w:b/>
      <w:color w:val="000000"/>
      <w:kern w:val="44"/>
      <w:sz w:val="24"/>
      <w:szCs w:val="20"/>
    </w:rPr>
  </w:style>
  <w:style w:type="character" w:customStyle="1" w:styleId="49">
    <w:name w:val="标题 2 字符"/>
    <w:basedOn w:val="42"/>
    <w:link w:val="4"/>
    <w:autoRedefine/>
    <w:semiHidden/>
    <w:qFormat/>
    <w:uiPriority w:val="0"/>
    <w:rPr>
      <w:rFonts w:ascii="Arial" w:hAnsi="Arial" w:eastAsia="黑体" w:cs="Times New Roman"/>
      <w:b/>
      <w:bCs/>
      <w:sz w:val="32"/>
      <w:szCs w:val="32"/>
    </w:rPr>
  </w:style>
  <w:style w:type="character" w:customStyle="1" w:styleId="50">
    <w:name w:val="标题 3 字符"/>
    <w:basedOn w:val="42"/>
    <w:link w:val="5"/>
    <w:autoRedefine/>
    <w:semiHidden/>
    <w:qFormat/>
    <w:uiPriority w:val="0"/>
    <w:rPr>
      <w:rFonts w:ascii="黑体" w:hAnsi="Times New Roman" w:eastAsia="黑体" w:cs="宋体"/>
      <w:b/>
      <w:color w:val="000000"/>
      <w:kern w:val="0"/>
      <w:sz w:val="28"/>
      <w:szCs w:val="20"/>
    </w:rPr>
  </w:style>
  <w:style w:type="character" w:customStyle="1" w:styleId="51">
    <w:name w:val="标题 4 字符"/>
    <w:basedOn w:val="42"/>
    <w:link w:val="2"/>
    <w:autoRedefine/>
    <w:semiHidden/>
    <w:qFormat/>
    <w:uiPriority w:val="0"/>
    <w:rPr>
      <w:rFonts w:ascii="Arial" w:hAnsi="Arial" w:eastAsia="黑体" w:cs="Times New Roman"/>
      <w:b/>
      <w:bCs/>
      <w:sz w:val="28"/>
      <w:szCs w:val="28"/>
    </w:rPr>
  </w:style>
  <w:style w:type="character" w:customStyle="1" w:styleId="52">
    <w:name w:val="标题 5 字符"/>
    <w:basedOn w:val="42"/>
    <w:link w:val="6"/>
    <w:autoRedefine/>
    <w:semiHidden/>
    <w:qFormat/>
    <w:uiPriority w:val="0"/>
    <w:rPr>
      <w:rFonts w:ascii="Times New Roman" w:hAnsi="Times New Roman" w:eastAsia="黑体" w:cs="Times New Roman"/>
      <w:bCs/>
      <w:sz w:val="28"/>
      <w:szCs w:val="28"/>
    </w:rPr>
  </w:style>
  <w:style w:type="character" w:customStyle="1" w:styleId="53">
    <w:name w:val="标题 6 字符"/>
    <w:basedOn w:val="42"/>
    <w:link w:val="7"/>
    <w:autoRedefine/>
    <w:semiHidden/>
    <w:qFormat/>
    <w:uiPriority w:val="9"/>
    <w:rPr>
      <w:rFonts w:ascii="Arial" w:hAnsi="Arial" w:eastAsia="黑体" w:cs="Times New Roman"/>
      <w:b/>
      <w:sz w:val="24"/>
      <w:szCs w:val="24"/>
    </w:rPr>
  </w:style>
  <w:style w:type="character" w:customStyle="1" w:styleId="54">
    <w:name w:val="普通(网站) 字符"/>
    <w:link w:val="35"/>
    <w:autoRedefine/>
    <w:semiHidden/>
    <w:qFormat/>
    <w:locked/>
    <w:uiPriority w:val="0"/>
    <w:rPr>
      <w:rFonts w:ascii="宋体" w:hAnsi="宋体" w:eastAsia="宋体"/>
      <w:color w:val="000000"/>
      <w:sz w:val="24"/>
      <w:szCs w:val="24"/>
    </w:rPr>
  </w:style>
  <w:style w:type="paragraph" w:customStyle="1" w:styleId="55">
    <w:name w:val="msonormal"/>
    <w:basedOn w:val="1"/>
    <w:autoRedefine/>
    <w:qFormat/>
    <w:uiPriority w:val="0"/>
    <w:pPr>
      <w:widowControl/>
      <w:spacing w:before="100" w:beforeAutospacing="1" w:after="100" w:afterAutospacing="1"/>
      <w:jc w:val="left"/>
    </w:pPr>
    <w:rPr>
      <w:rFonts w:ascii="宋体" w:hAnsi="宋体"/>
      <w:color w:val="000000"/>
      <w:kern w:val="0"/>
      <w:sz w:val="24"/>
    </w:rPr>
  </w:style>
  <w:style w:type="character" w:customStyle="1" w:styleId="56">
    <w:name w:val="正文文本缩进 字符"/>
    <w:basedOn w:val="42"/>
    <w:link w:val="13"/>
    <w:autoRedefine/>
    <w:semiHidden/>
    <w:qFormat/>
    <w:uiPriority w:val="0"/>
    <w:rPr>
      <w:rFonts w:ascii="Times New Roman" w:hAnsi="Times New Roman" w:eastAsia="宋体" w:cs="Times New Roman"/>
      <w:szCs w:val="24"/>
    </w:rPr>
  </w:style>
  <w:style w:type="character" w:customStyle="1" w:styleId="57">
    <w:name w:val="正文缩进 字符"/>
    <w:basedOn w:val="42"/>
    <w:link w:val="12"/>
    <w:autoRedefine/>
    <w:qFormat/>
    <w:locked/>
    <w:uiPriority w:val="0"/>
    <w:rPr>
      <w:szCs w:val="24"/>
    </w:rPr>
  </w:style>
  <w:style w:type="character" w:customStyle="1" w:styleId="58">
    <w:name w:val="批注文字 字符"/>
    <w:basedOn w:val="42"/>
    <w:link w:val="16"/>
    <w:autoRedefine/>
    <w:qFormat/>
    <w:uiPriority w:val="0"/>
    <w:rPr>
      <w:rFonts w:ascii="Times New Roman" w:hAnsi="Times New Roman" w:eastAsia="宋体" w:cs="Times New Roman"/>
      <w:szCs w:val="24"/>
    </w:rPr>
  </w:style>
  <w:style w:type="character" w:customStyle="1" w:styleId="59">
    <w:name w:val="题注 字符"/>
    <w:link w:val="14"/>
    <w:autoRedefine/>
    <w:semiHidden/>
    <w:qFormat/>
    <w:locked/>
    <w:uiPriority w:val="0"/>
    <w:rPr>
      <w:rFonts w:ascii="Arial Unicode MS" w:hAnsi="Arial Unicode MS"/>
    </w:rPr>
  </w:style>
  <w:style w:type="character" w:customStyle="1" w:styleId="60">
    <w:name w:val="批注框文本 字符"/>
    <w:basedOn w:val="42"/>
    <w:link w:val="10"/>
    <w:autoRedefine/>
    <w:qFormat/>
    <w:uiPriority w:val="0"/>
    <w:rPr>
      <w:rFonts w:ascii="Times New Roman" w:hAnsi="Times New Roman" w:eastAsia="宋体" w:cs="Times New Roman"/>
      <w:sz w:val="18"/>
      <w:szCs w:val="18"/>
    </w:rPr>
  </w:style>
  <w:style w:type="character" w:customStyle="1" w:styleId="61">
    <w:name w:val="标题 字符"/>
    <w:basedOn w:val="42"/>
    <w:link w:val="36"/>
    <w:autoRedefine/>
    <w:qFormat/>
    <w:uiPriority w:val="0"/>
    <w:rPr>
      <w:rFonts w:ascii="Times New Roman" w:hAnsi="Times New Roman" w:eastAsia="宋体" w:cs="Times New Roman"/>
      <w:b/>
      <w:kern w:val="0"/>
      <w:sz w:val="24"/>
      <w:szCs w:val="20"/>
      <w:lang w:val="en-GB"/>
    </w:rPr>
  </w:style>
  <w:style w:type="character" w:customStyle="1" w:styleId="62">
    <w:name w:val="正文文本 字符"/>
    <w:basedOn w:val="42"/>
    <w:link w:val="18"/>
    <w:autoRedefine/>
    <w:semiHidden/>
    <w:qFormat/>
    <w:uiPriority w:val="0"/>
    <w:rPr>
      <w:rFonts w:ascii="Times New Roman" w:hAnsi="Times New Roman" w:eastAsia="宋体" w:cs="Times New Roman"/>
      <w:szCs w:val="24"/>
    </w:rPr>
  </w:style>
  <w:style w:type="character" w:customStyle="1" w:styleId="63">
    <w:name w:val="日期 字符"/>
    <w:basedOn w:val="42"/>
    <w:link w:val="23"/>
    <w:autoRedefine/>
    <w:semiHidden/>
    <w:qFormat/>
    <w:uiPriority w:val="0"/>
    <w:rPr>
      <w:rFonts w:ascii="Times New Roman" w:hAnsi="Times New Roman" w:eastAsia="宋体" w:cs="Times New Roman"/>
      <w:sz w:val="28"/>
      <w:szCs w:val="20"/>
    </w:rPr>
  </w:style>
  <w:style w:type="character" w:customStyle="1" w:styleId="64">
    <w:name w:val="正文文本首行缩进 字符"/>
    <w:basedOn w:val="62"/>
    <w:link w:val="38"/>
    <w:autoRedefine/>
    <w:semiHidden/>
    <w:qFormat/>
    <w:uiPriority w:val="0"/>
    <w:rPr>
      <w:rFonts w:ascii="Times New Roman" w:hAnsi="Times New Roman" w:eastAsia="宋体" w:cs="Times New Roman"/>
      <w:szCs w:val="24"/>
    </w:rPr>
  </w:style>
  <w:style w:type="character" w:customStyle="1" w:styleId="65">
    <w:name w:val="正文文本首行缩进 2 字符"/>
    <w:basedOn w:val="56"/>
    <w:link w:val="39"/>
    <w:autoRedefine/>
    <w:semiHidden/>
    <w:qFormat/>
    <w:uiPriority w:val="0"/>
    <w:rPr>
      <w:rFonts w:ascii="Calibri" w:hAnsi="Calibri" w:eastAsia="宋体" w:cs="Times New Roman"/>
      <w:sz w:val="24"/>
      <w:szCs w:val="24"/>
    </w:rPr>
  </w:style>
  <w:style w:type="character" w:customStyle="1" w:styleId="66">
    <w:name w:val="正文文本 2 字符"/>
    <w:basedOn w:val="42"/>
    <w:link w:val="34"/>
    <w:autoRedefine/>
    <w:semiHidden/>
    <w:qFormat/>
    <w:uiPriority w:val="0"/>
    <w:rPr>
      <w:rFonts w:ascii="Times New Roman" w:hAnsi="Times New Roman" w:eastAsia="楷体_GB2312" w:cs="Times New Roman"/>
      <w:szCs w:val="24"/>
    </w:rPr>
  </w:style>
  <w:style w:type="character" w:customStyle="1" w:styleId="67">
    <w:name w:val="正文文本 3 字符"/>
    <w:basedOn w:val="42"/>
    <w:link w:val="17"/>
    <w:autoRedefine/>
    <w:semiHidden/>
    <w:qFormat/>
    <w:uiPriority w:val="0"/>
    <w:rPr>
      <w:rFonts w:ascii="Times New Roman" w:hAnsi="Times New Roman" w:eastAsia="宋体" w:cs="Times New Roman"/>
      <w:sz w:val="16"/>
      <w:szCs w:val="16"/>
    </w:rPr>
  </w:style>
  <w:style w:type="character" w:customStyle="1" w:styleId="68">
    <w:name w:val="正文文本缩进 2 字符"/>
    <w:basedOn w:val="42"/>
    <w:link w:val="24"/>
    <w:semiHidden/>
    <w:qFormat/>
    <w:uiPriority w:val="0"/>
    <w:rPr>
      <w:rFonts w:ascii="仿宋_GB2312" w:hAnsi="宋体" w:eastAsia="仿宋_GB2312" w:cs="Times New Roman"/>
      <w:b/>
      <w:bCs/>
      <w:sz w:val="24"/>
      <w:szCs w:val="24"/>
    </w:rPr>
  </w:style>
  <w:style w:type="character" w:customStyle="1" w:styleId="69">
    <w:name w:val="正文文本缩进 3 字符"/>
    <w:basedOn w:val="42"/>
    <w:link w:val="31"/>
    <w:autoRedefine/>
    <w:semiHidden/>
    <w:qFormat/>
    <w:uiPriority w:val="0"/>
    <w:rPr>
      <w:rFonts w:ascii="楷体_GB2312" w:hAnsi="Times New Roman" w:eastAsia="楷体_GB2312" w:cs="Times New Roman"/>
      <w:sz w:val="32"/>
      <w:szCs w:val="20"/>
    </w:rPr>
  </w:style>
  <w:style w:type="character" w:customStyle="1" w:styleId="70">
    <w:name w:val="文档结构图 字符"/>
    <w:basedOn w:val="42"/>
    <w:link w:val="15"/>
    <w:autoRedefine/>
    <w:semiHidden/>
    <w:qFormat/>
    <w:uiPriority w:val="0"/>
    <w:rPr>
      <w:rFonts w:ascii="Times New Roman" w:hAnsi="Times New Roman" w:eastAsia="宋体" w:cs="Times New Roman"/>
      <w:szCs w:val="24"/>
      <w:shd w:val="clear" w:color="auto" w:fill="000080"/>
    </w:rPr>
  </w:style>
  <w:style w:type="character" w:customStyle="1" w:styleId="71">
    <w:name w:val="纯文本 字符"/>
    <w:basedOn w:val="42"/>
    <w:link w:val="22"/>
    <w:autoRedefine/>
    <w:semiHidden/>
    <w:qFormat/>
    <w:uiPriority w:val="0"/>
    <w:rPr>
      <w:rFonts w:ascii="宋体" w:hAnsi="Courier New" w:eastAsia="宋体" w:cs="Times New Roman"/>
      <w:szCs w:val="20"/>
    </w:rPr>
  </w:style>
  <w:style w:type="character" w:customStyle="1" w:styleId="72">
    <w:name w:val="批注主题 字符"/>
    <w:basedOn w:val="58"/>
    <w:link w:val="37"/>
    <w:autoRedefine/>
    <w:semiHidden/>
    <w:qFormat/>
    <w:uiPriority w:val="0"/>
    <w:rPr>
      <w:rFonts w:ascii="Times New Roman" w:hAnsi="Times New Roman" w:eastAsia="宋体" w:cs="Times New Roman"/>
      <w:b/>
      <w:bCs/>
      <w:szCs w:val="24"/>
    </w:rPr>
  </w:style>
  <w:style w:type="paragraph" w:customStyle="1" w:styleId="73">
    <w:name w:val="修订1"/>
    <w:autoRedefine/>
    <w:semiHidden/>
    <w:qFormat/>
    <w:uiPriority w:val="99"/>
    <w:rPr>
      <w:rFonts w:ascii="Times New Roman" w:hAnsi="Times New Roman" w:eastAsia="宋体" w:cs="Times New Roman"/>
      <w:kern w:val="2"/>
      <w:sz w:val="21"/>
      <w:szCs w:val="24"/>
      <w:lang w:val="en-US" w:eastAsia="zh-CN" w:bidi="ar-SA"/>
    </w:rPr>
  </w:style>
  <w:style w:type="paragraph" w:styleId="74">
    <w:name w:val="List Paragraph"/>
    <w:basedOn w:val="1"/>
    <w:autoRedefine/>
    <w:qFormat/>
    <w:uiPriority w:val="34"/>
    <w:pPr>
      <w:ind w:firstLine="420"/>
    </w:pPr>
    <w:rPr>
      <w:rFonts w:ascii="Calibri" w:hAnsi="Calibri"/>
      <w:szCs w:val="22"/>
    </w:rPr>
  </w:style>
  <w:style w:type="paragraph" w:customStyle="1" w:styleId="75">
    <w:name w:val="TOC 标题1"/>
    <w:basedOn w:val="3"/>
    <w:next w:val="1"/>
    <w:autoRedefine/>
    <w:semiHidden/>
    <w:unhideWhenUsed/>
    <w:qFormat/>
    <w:uiPriority w:val="39"/>
    <w:pPr>
      <w:widowControl/>
      <w:tabs>
        <w:tab w:val="clear" w:pos="360"/>
      </w:tabs>
      <w:autoSpaceDE/>
      <w:autoSpaceDN/>
      <w:adjustRightInd/>
      <w:spacing w:before="480" w:after="0" w:line="276" w:lineRule="auto"/>
      <w:outlineLvl w:val="9"/>
    </w:pPr>
    <w:rPr>
      <w:rFonts w:ascii="Cambria" w:hAnsi="Cambria" w:cs="Times New Roman"/>
      <w:bCs/>
      <w:color w:val="365F91"/>
      <w:kern w:val="0"/>
      <w:sz w:val="28"/>
      <w:szCs w:val="28"/>
    </w:rPr>
  </w:style>
  <w:style w:type="paragraph" w:customStyle="1" w:styleId="76">
    <w:name w:val="_Style 3"/>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77">
    <w:name w:val="正文2 Char"/>
    <w:basedOn w:val="42"/>
    <w:link w:val="78"/>
    <w:qFormat/>
    <w:locked/>
    <w:uiPriority w:val="0"/>
    <w:rPr>
      <w:sz w:val="24"/>
    </w:rPr>
  </w:style>
  <w:style w:type="paragraph" w:customStyle="1" w:styleId="78">
    <w:name w:val="正文2"/>
    <w:basedOn w:val="1"/>
    <w:link w:val="77"/>
    <w:qFormat/>
    <w:uiPriority w:val="0"/>
    <w:pPr>
      <w:spacing w:before="156" w:line="360" w:lineRule="auto"/>
      <w:ind w:firstLine="510" w:firstLineChars="200"/>
    </w:pPr>
    <w:rPr>
      <w:rFonts w:asciiTheme="minorHAnsi" w:hAnsiTheme="minorHAnsi" w:eastAsiaTheme="minorEastAsia" w:cstheme="minorBidi"/>
      <w:sz w:val="24"/>
      <w:szCs w:val="22"/>
    </w:rPr>
  </w:style>
  <w:style w:type="paragraph" w:customStyle="1" w:styleId="79">
    <w:name w:val="_Style 10"/>
    <w:basedOn w:val="18"/>
    <w:next w:val="38"/>
    <w:autoRedefine/>
    <w:qFormat/>
    <w:uiPriority w:val="0"/>
    <w:pPr>
      <w:ind w:firstLine="420" w:firstLineChars="100"/>
    </w:pPr>
    <w:rPr>
      <w:kern w:val="0"/>
      <w:sz w:val="20"/>
      <w:szCs w:val="21"/>
    </w:rPr>
  </w:style>
  <w:style w:type="paragraph" w:customStyle="1" w:styleId="80">
    <w:name w:val="标准中文版式_正文"/>
    <w:basedOn w:val="1"/>
    <w:qFormat/>
    <w:uiPriority w:val="0"/>
    <w:pPr>
      <w:spacing w:before="30" w:line="360" w:lineRule="auto"/>
      <w:ind w:firstLine="200" w:firstLineChars="200"/>
    </w:pPr>
    <w:rPr>
      <w:rFonts w:ascii="Arial" w:hAnsi="Arial"/>
      <w:sz w:val="24"/>
    </w:rPr>
  </w:style>
  <w:style w:type="paragraph" w:customStyle="1" w:styleId="81">
    <w:name w:val="图名"/>
    <w:basedOn w:val="1"/>
    <w:next w:val="1"/>
    <w:autoRedefine/>
    <w:qFormat/>
    <w:uiPriority w:val="1"/>
    <w:pPr>
      <w:spacing w:line="360" w:lineRule="auto"/>
      <w:jc w:val="center"/>
    </w:pPr>
    <w:rPr>
      <w:rFonts w:ascii="time" w:hAnsi="time" w:cs="宋体"/>
      <w:b/>
      <w:color w:val="000000"/>
    </w:rPr>
  </w:style>
  <w:style w:type="paragraph" w:customStyle="1" w:styleId="8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mic Sans MS" w:hAnsi="Comic Sans MS" w:cs="宋体"/>
      <w:kern w:val="0"/>
      <w:sz w:val="20"/>
      <w:szCs w:val="20"/>
    </w:rPr>
  </w:style>
  <w:style w:type="paragraph" w:customStyle="1" w:styleId="83">
    <w:name w:val="xl3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84">
    <w:name w:val="Char Char Char Char Char Char Char"/>
    <w:basedOn w:val="1"/>
    <w:qFormat/>
    <w:uiPriority w:val="0"/>
    <w:pPr>
      <w:tabs>
        <w:tab w:val="left" w:pos="432"/>
      </w:tabs>
      <w:ind w:left="432" w:hanging="432"/>
    </w:pPr>
    <w:rPr>
      <w:rFonts w:ascii="Tahoma" w:hAnsi="Tahoma"/>
      <w:sz w:val="24"/>
      <w:szCs w:val="20"/>
    </w:rPr>
  </w:style>
  <w:style w:type="paragraph" w:customStyle="1" w:styleId="8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6">
    <w:name w:val="表内文字"/>
    <w:basedOn w:val="1"/>
    <w:qFormat/>
    <w:uiPriority w:val="0"/>
    <w:pPr>
      <w:snapToGrid w:val="0"/>
      <w:spacing w:before="50" w:after="50"/>
      <w:jc w:val="center"/>
    </w:pPr>
    <w:rPr>
      <w:rFonts w:ascii="宋体" w:hAnsi="宋体"/>
      <w:sz w:val="24"/>
      <w:szCs w:val="20"/>
    </w:rPr>
  </w:style>
  <w:style w:type="paragraph" w:customStyle="1" w:styleId="87">
    <w:name w:val="Char"/>
    <w:basedOn w:val="1"/>
    <w:autoRedefine/>
    <w:qFormat/>
    <w:uiPriority w:val="0"/>
    <w:rPr>
      <w:rFonts w:ascii="仿宋_GB2312" w:eastAsia="仿宋_GB2312"/>
      <w:b/>
      <w:sz w:val="32"/>
      <w:szCs w:val="32"/>
    </w:rPr>
  </w:style>
  <w:style w:type="paragraph" w:customStyle="1" w:styleId="88">
    <w:name w:val="Default"/>
    <w:autoRedefine/>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89">
    <w:name w:val="Proposals body"/>
    <w:basedOn w:val="1"/>
    <w:next w:val="1"/>
    <w:autoRedefine/>
    <w:qFormat/>
    <w:uiPriority w:val="0"/>
    <w:pPr>
      <w:widowControl/>
      <w:snapToGrid w:val="0"/>
      <w:spacing w:line="360" w:lineRule="auto"/>
      <w:jc w:val="left"/>
    </w:pPr>
    <w:rPr>
      <w:rFonts w:ascii="宋体"/>
      <w:color w:val="000000"/>
      <w:kern w:val="0"/>
      <w:sz w:val="24"/>
      <w:szCs w:val="20"/>
    </w:rPr>
  </w:style>
  <w:style w:type="paragraph" w:customStyle="1" w:styleId="90">
    <w:name w:val="Section #"/>
    <w:next w:val="1"/>
    <w:qFormat/>
    <w:uiPriority w:val="0"/>
    <w:pPr>
      <w:tabs>
        <w:tab w:val="left" w:pos="2636"/>
        <w:tab w:val="left" w:pos="3090"/>
      </w:tabs>
      <w:overflowPunct w:val="0"/>
      <w:autoSpaceDE w:val="0"/>
      <w:autoSpaceDN w:val="0"/>
      <w:adjustRightInd w:val="0"/>
      <w:spacing w:after="113" w:line="340" w:lineRule="atLeast"/>
      <w:jc w:val="center"/>
    </w:pPr>
    <w:rPr>
      <w:rFonts w:ascii="Optima" w:hAnsi="Optima" w:eastAsia="宋体" w:cs="Times New Roman"/>
      <w:b/>
      <w:sz w:val="30"/>
      <w:lang w:val="en-US" w:eastAsia="zh-CN" w:bidi="ar-SA"/>
    </w:rPr>
  </w:style>
  <w:style w:type="paragraph" w:customStyle="1" w:styleId="91">
    <w:name w:val="正文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
    <w:name w:val="表图内容"/>
    <w:basedOn w:val="1"/>
    <w:autoRedefine/>
    <w:qFormat/>
    <w:uiPriority w:val="0"/>
    <w:pPr>
      <w:jc w:val="center"/>
    </w:pPr>
    <w:rPr>
      <w:sz w:val="24"/>
      <w:szCs w:val="21"/>
    </w:rPr>
  </w:style>
  <w:style w:type="paragraph" w:customStyle="1" w:styleId="93">
    <w:name w:val="列出段落1"/>
    <w:basedOn w:val="1"/>
    <w:autoRedefine/>
    <w:qFormat/>
    <w:uiPriority w:val="0"/>
    <w:pPr>
      <w:ind w:firstLine="420" w:firstLineChars="200"/>
    </w:pPr>
    <w:rPr>
      <w:rFonts w:ascii="Calibri" w:hAnsi="Calibri"/>
      <w:szCs w:val="22"/>
    </w:rPr>
  </w:style>
  <w:style w:type="paragraph" w:customStyle="1" w:styleId="94">
    <w:name w:val="招标-标题1"/>
    <w:basedOn w:val="1"/>
    <w:autoRedefine/>
    <w:qFormat/>
    <w:uiPriority w:val="0"/>
    <w:pPr>
      <w:spacing w:line="300" w:lineRule="auto"/>
      <w:ind w:left="560"/>
    </w:pPr>
    <w:rPr>
      <w:rFonts w:ascii="宋体" w:hAnsi="宋体"/>
      <w:b/>
      <w:bCs/>
      <w:szCs w:val="21"/>
    </w:rPr>
  </w:style>
  <w:style w:type="paragraph" w:customStyle="1" w:styleId="95">
    <w:name w:val="表头、图名"/>
    <w:basedOn w:val="1"/>
    <w:autoRedefine/>
    <w:qFormat/>
    <w:uiPriority w:val="0"/>
    <w:pPr>
      <w:jc w:val="center"/>
    </w:pPr>
    <w:rPr>
      <w:b/>
      <w:szCs w:val="20"/>
    </w:rPr>
  </w:style>
  <w:style w:type="paragraph" w:customStyle="1" w:styleId="96">
    <w:name w:val="正文文本 21"/>
    <w:basedOn w:val="1"/>
    <w:qFormat/>
    <w:uiPriority w:val="0"/>
    <w:pPr>
      <w:widowControl/>
      <w:overflowPunct w:val="0"/>
      <w:autoSpaceDE w:val="0"/>
      <w:autoSpaceDN w:val="0"/>
      <w:adjustRightInd w:val="0"/>
      <w:ind w:left="720" w:hanging="720"/>
    </w:pPr>
    <w:rPr>
      <w:kern w:val="0"/>
      <w:sz w:val="24"/>
      <w:szCs w:val="20"/>
      <w:lang w:val="en-GB"/>
    </w:rPr>
  </w:style>
  <w:style w:type="paragraph" w:customStyle="1" w:styleId="97">
    <w:name w:val="样式 首行缩进:  0 字符"/>
    <w:basedOn w:val="1"/>
    <w:autoRedefine/>
    <w:qFormat/>
    <w:uiPriority w:val="0"/>
    <w:rPr>
      <w:rFonts w:cs="宋体"/>
      <w:szCs w:val="20"/>
    </w:rPr>
  </w:style>
  <w:style w:type="paragraph" w:customStyle="1" w:styleId="98">
    <w:name w:val="xl28"/>
    <w:basedOn w:val="1"/>
    <w:autoRedefine/>
    <w:qFormat/>
    <w:uiPriority w:val="0"/>
    <w:pPr>
      <w:widowControl/>
      <w:pBdr>
        <w:top w:val="single" w:color="auto" w:sz="4" w:space="0"/>
        <w:bottom w:val="single" w:color="auto" w:sz="4" w:space="0"/>
      </w:pBdr>
      <w:spacing w:before="100" w:beforeAutospacing="1" w:after="100" w:afterAutospacing="1"/>
      <w:jc w:val="center"/>
    </w:pPr>
    <w:rPr>
      <w:rFonts w:ascii="Comic Sans MS" w:hAnsi="Comic Sans MS" w:cs="宋体"/>
      <w:kern w:val="0"/>
      <w:sz w:val="20"/>
      <w:szCs w:val="20"/>
    </w:rPr>
  </w:style>
  <w:style w:type="paragraph" w:customStyle="1" w:styleId="99">
    <w:name w:val="正文四号"/>
    <w:basedOn w:val="1"/>
    <w:qFormat/>
    <w:uiPriority w:val="0"/>
    <w:rPr>
      <w:rFonts w:cs="宋体"/>
      <w:sz w:val="28"/>
      <w:szCs w:val="20"/>
    </w:rPr>
  </w:style>
  <w:style w:type="paragraph" w:customStyle="1" w:styleId="100">
    <w:name w:val="文件标题"/>
    <w:basedOn w:val="1"/>
    <w:autoRedefine/>
    <w:qFormat/>
    <w:uiPriority w:val="0"/>
    <w:pPr>
      <w:autoSpaceDE w:val="0"/>
      <w:autoSpaceDN w:val="0"/>
      <w:adjustRightInd w:val="0"/>
      <w:spacing w:after="240"/>
      <w:jc w:val="center"/>
    </w:pPr>
    <w:rPr>
      <w:rFonts w:ascii="Arial Black" w:hAnsi="Arial Black"/>
      <w:kern w:val="0"/>
      <w:sz w:val="48"/>
      <w:szCs w:val="20"/>
    </w:rPr>
  </w:style>
  <w:style w:type="paragraph" w:customStyle="1" w:styleId="101">
    <w:name w:val="正文段"/>
    <w:basedOn w:val="1"/>
    <w:autoRedefine/>
    <w:qFormat/>
    <w:uiPriority w:val="0"/>
    <w:pPr>
      <w:widowControl/>
      <w:snapToGrid w:val="0"/>
      <w:spacing w:afterLines="50"/>
      <w:ind w:firstLine="200" w:firstLineChars="200"/>
    </w:pPr>
    <w:rPr>
      <w:kern w:val="0"/>
      <w:sz w:val="24"/>
      <w:szCs w:val="20"/>
    </w:rPr>
  </w:style>
  <w:style w:type="paragraph" w:customStyle="1" w:styleId="102">
    <w:name w:val="p0"/>
    <w:basedOn w:val="1"/>
    <w:autoRedefine/>
    <w:qFormat/>
    <w:uiPriority w:val="0"/>
    <w:pPr>
      <w:widowControl/>
      <w:jc w:val="left"/>
    </w:pPr>
    <w:rPr>
      <w:kern w:val="0"/>
      <w:sz w:val="24"/>
    </w:rPr>
  </w:style>
  <w:style w:type="paragraph" w:customStyle="1" w:styleId="103">
    <w:name w:val="xl30"/>
    <w:basedOn w:val="1"/>
    <w:qFormat/>
    <w:uiPriority w:val="0"/>
    <w:pPr>
      <w:widowControl/>
      <w:pBdr>
        <w:top w:val="single" w:color="auto" w:sz="4" w:space="0"/>
        <w:bottom w:val="single" w:color="auto" w:sz="4" w:space="0"/>
      </w:pBdr>
      <w:spacing w:before="100" w:beforeAutospacing="1" w:after="100" w:afterAutospacing="1"/>
      <w:jc w:val="center"/>
    </w:pPr>
    <w:rPr>
      <w:rFonts w:ascii="Comic Sans MS" w:hAnsi="Comic Sans MS" w:cs="宋体"/>
      <w:kern w:val="0"/>
      <w:sz w:val="20"/>
      <w:szCs w:val="20"/>
    </w:rPr>
  </w:style>
  <w:style w:type="paragraph" w:customStyle="1" w:styleId="104">
    <w:name w:val="xl2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omic Sans MS" w:hAnsi="Comic Sans MS" w:cs="宋体"/>
      <w:kern w:val="0"/>
      <w:sz w:val="20"/>
      <w:szCs w:val="20"/>
    </w:rPr>
  </w:style>
  <w:style w:type="paragraph" w:customStyle="1" w:styleId="105">
    <w:name w:val="flName"/>
    <w:basedOn w:val="1"/>
    <w:autoRedefine/>
    <w:qFormat/>
    <w:uiPriority w:val="0"/>
    <w:pPr>
      <w:adjustRightInd w:val="0"/>
      <w:spacing w:before="320" w:after="160" w:line="360" w:lineRule="atLeast"/>
      <w:ind w:firstLine="200" w:firstLineChars="200"/>
      <w:jc w:val="center"/>
    </w:pPr>
    <w:rPr>
      <w:rFonts w:ascii="Arial" w:eastAsia="黑体"/>
      <w:kern w:val="0"/>
      <w:sz w:val="32"/>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omic Sans MS" w:hAnsi="Comic Sans MS" w:cs="宋体"/>
      <w:kern w:val="0"/>
      <w:sz w:val="20"/>
      <w:szCs w:val="20"/>
    </w:rPr>
  </w:style>
  <w:style w:type="paragraph" w:customStyle="1" w:styleId="107">
    <w:name w:val="样式1"/>
    <w:basedOn w:val="1"/>
    <w:autoRedefine/>
    <w:qFormat/>
    <w:uiPriority w:val="0"/>
    <w:rPr>
      <w:sz w:val="24"/>
      <w:lang w:val="zh-CN"/>
    </w:rPr>
  </w:style>
  <w:style w:type="paragraph" w:customStyle="1" w:styleId="108">
    <w:name w:val="Char Char Char Char Char Char"/>
    <w:basedOn w:val="1"/>
    <w:autoRedefine/>
    <w:qFormat/>
    <w:uiPriority w:val="0"/>
    <w:rPr>
      <w:szCs w:val="20"/>
    </w:rPr>
  </w:style>
  <w:style w:type="paragraph" w:customStyle="1" w:styleId="10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omic Sans MS" w:hAnsi="Comic Sans MS" w:cs="宋体"/>
      <w:kern w:val="0"/>
      <w:sz w:val="20"/>
      <w:szCs w:val="20"/>
    </w:rPr>
  </w:style>
  <w:style w:type="paragraph" w:customStyle="1" w:styleId="110">
    <w:name w:val="纯文本1"/>
    <w:basedOn w:val="91"/>
    <w:autoRedefine/>
    <w:qFormat/>
    <w:uiPriority w:val="0"/>
    <w:pPr>
      <w:widowControl/>
      <w:jc w:val="left"/>
    </w:pPr>
    <w:rPr>
      <w:rFonts w:ascii="宋体" w:hAnsi="Courier New"/>
    </w:rPr>
  </w:style>
  <w:style w:type="paragraph" w:customStyle="1" w:styleId="111">
    <w:name w:val="Char1"/>
    <w:basedOn w:val="1"/>
    <w:autoRedefine/>
    <w:qFormat/>
    <w:uiPriority w:val="0"/>
    <w:rPr>
      <w:rFonts w:ascii="仿宋_GB2312" w:eastAsia="仿宋_GB2312"/>
      <w:b/>
      <w:sz w:val="32"/>
      <w:szCs w:val="32"/>
    </w:rPr>
  </w:style>
  <w:style w:type="paragraph" w:customStyle="1" w:styleId="112">
    <w:name w:val="默认段落字体 Para Char Char Char Char Char Char Char Char Char1 Char Char Char Char"/>
    <w:basedOn w:val="1"/>
    <w:autoRedefine/>
    <w:qFormat/>
    <w:uiPriority w:val="0"/>
    <w:rPr>
      <w:rFonts w:ascii="Tahoma" w:hAnsi="Tahoma"/>
      <w:sz w:val="24"/>
      <w:szCs w:val="20"/>
    </w:rPr>
  </w:style>
  <w:style w:type="paragraph" w:customStyle="1" w:styleId="113">
    <w:name w:val="Char2"/>
    <w:basedOn w:val="1"/>
    <w:autoRedefine/>
    <w:qFormat/>
    <w:uiPriority w:val="0"/>
    <w:rPr>
      <w:rFonts w:ascii="仿宋_GB2312" w:eastAsia="仿宋_GB2312"/>
      <w:b/>
      <w:sz w:val="32"/>
      <w:szCs w:val="32"/>
    </w:rPr>
  </w:style>
  <w:style w:type="paragraph" w:customStyle="1" w:styleId="114">
    <w:name w:val="正文首行缩进2字符"/>
    <w:basedOn w:val="1"/>
    <w:autoRedefine/>
    <w:qFormat/>
    <w:uiPriority w:val="0"/>
    <w:pPr>
      <w:spacing w:line="360" w:lineRule="auto"/>
      <w:ind w:firstLine="480" w:firstLineChars="200"/>
    </w:pPr>
    <w:rPr>
      <w:rFonts w:ascii="宋体" w:hAnsi="宋体"/>
      <w:sz w:val="24"/>
      <w:szCs w:val="28"/>
    </w:rPr>
  </w:style>
  <w:style w:type="paragraph" w:customStyle="1" w:styleId="115">
    <w:name w:val="规范正文"/>
    <w:basedOn w:val="1"/>
    <w:autoRedefine/>
    <w:qFormat/>
    <w:uiPriority w:val="0"/>
    <w:pPr>
      <w:adjustRightInd w:val="0"/>
      <w:spacing w:line="360" w:lineRule="auto"/>
      <w:ind w:left="480"/>
    </w:pPr>
    <w:rPr>
      <w:kern w:val="0"/>
      <w:sz w:val="24"/>
      <w:szCs w:val="20"/>
    </w:rPr>
  </w:style>
  <w:style w:type="paragraph" w:customStyle="1" w:styleId="116">
    <w:name w:val="Char2 Char Char Char"/>
    <w:basedOn w:val="1"/>
    <w:autoRedefine/>
    <w:qFormat/>
    <w:uiPriority w:val="0"/>
    <w:rPr>
      <w:rFonts w:ascii="仿宋_GB2312" w:eastAsia="仿宋_GB2312"/>
      <w:b/>
      <w:sz w:val="32"/>
      <w:szCs w:val="32"/>
    </w:rPr>
  </w:style>
  <w:style w:type="paragraph" w:customStyle="1" w:styleId="117">
    <w:name w:val="方案正文"/>
    <w:basedOn w:val="1"/>
    <w:qFormat/>
    <w:uiPriority w:val="0"/>
    <w:pPr>
      <w:spacing w:line="360" w:lineRule="auto"/>
      <w:ind w:firstLine="200" w:firstLineChars="200"/>
    </w:pPr>
    <w:rPr>
      <w:rFonts w:ascii="Calibri" w:hAnsi="Calibri"/>
      <w:sz w:val="24"/>
    </w:rPr>
  </w:style>
  <w:style w:type="paragraph" w:customStyle="1" w:styleId="118">
    <w:name w:val="HTML 预先格式化"/>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19">
    <w:name w:val="表格内容"/>
    <w:basedOn w:val="1"/>
    <w:autoRedefine/>
    <w:qFormat/>
    <w:uiPriority w:val="2"/>
    <w:pPr>
      <w:widowControl/>
      <w:jc w:val="center"/>
    </w:pPr>
    <w:rPr>
      <w:kern w:val="0"/>
      <w:sz w:val="24"/>
      <w:szCs w:val="28"/>
    </w:rPr>
  </w:style>
  <w:style w:type="paragraph" w:customStyle="1" w:styleId="12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mic Sans MS" w:hAnsi="Comic Sans MS" w:cs="宋体"/>
      <w:b/>
      <w:bCs/>
      <w:kern w:val="0"/>
      <w:sz w:val="20"/>
      <w:szCs w:val="20"/>
    </w:rPr>
  </w:style>
  <w:style w:type="paragraph" w:customStyle="1" w:styleId="121">
    <w:name w:val="表1"/>
    <w:basedOn w:val="1"/>
    <w:qFormat/>
    <w:uiPriority w:val="0"/>
    <w:pPr>
      <w:numPr>
        <w:ilvl w:val="0"/>
        <w:numId w:val="4"/>
      </w:numPr>
      <w:ind w:left="0" w:firstLine="200"/>
      <w:jc w:val="center"/>
    </w:pPr>
  </w:style>
  <w:style w:type="paragraph" w:customStyle="1" w:styleId="122">
    <w:name w:val="Ê×ÐÐËõ½ø"/>
    <w:basedOn w:val="1"/>
    <w:autoRedefine/>
    <w:qFormat/>
    <w:uiPriority w:val="0"/>
    <w:pPr>
      <w:widowControl/>
      <w:overflowPunct w:val="0"/>
      <w:autoSpaceDE w:val="0"/>
      <w:autoSpaceDN w:val="0"/>
      <w:adjustRightInd w:val="0"/>
    </w:pPr>
    <w:rPr>
      <w:kern w:val="0"/>
      <w:sz w:val="28"/>
      <w:szCs w:val="20"/>
    </w:rPr>
  </w:style>
  <w:style w:type="paragraph" w:customStyle="1" w:styleId="123">
    <w:name w:val="Char1 Char Char Char Char Char Char Char Char Char Char Char"/>
    <w:basedOn w:val="1"/>
    <w:autoRedefine/>
    <w:qFormat/>
    <w:uiPriority w:val="0"/>
    <w:pPr>
      <w:pageBreakBefore/>
      <w:tabs>
        <w:tab w:val="left" w:pos="432"/>
      </w:tabs>
      <w:ind w:left="432" w:hanging="432"/>
    </w:pPr>
  </w:style>
  <w:style w:type="paragraph" w:customStyle="1" w:styleId="124">
    <w:name w:val="Table Paragraph"/>
    <w:basedOn w:val="1"/>
    <w:qFormat/>
    <w:uiPriority w:val="0"/>
    <w:pPr>
      <w:jc w:val="left"/>
    </w:pPr>
    <w:rPr>
      <w:rFonts w:ascii="宋体" w:hAnsi="Calibri" w:eastAsia="Calibri"/>
      <w:kern w:val="0"/>
      <w:sz w:val="22"/>
      <w:szCs w:val="22"/>
      <w:lang w:eastAsia="en-US"/>
    </w:rPr>
  </w:style>
  <w:style w:type="paragraph" w:customStyle="1" w:styleId="125">
    <w:name w:val="列表段落1"/>
    <w:basedOn w:val="1"/>
    <w:qFormat/>
    <w:uiPriority w:val="0"/>
    <w:pPr>
      <w:spacing w:line="360" w:lineRule="auto"/>
      <w:ind w:firstLine="420" w:firstLineChars="200"/>
    </w:pPr>
    <w:rPr>
      <w:sz w:val="24"/>
      <w:szCs w:val="22"/>
    </w:rPr>
  </w:style>
  <w:style w:type="paragraph" w:customStyle="1" w:styleId="126">
    <w:name w:val="内文正文"/>
    <w:basedOn w:val="22"/>
    <w:autoRedefine/>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127">
    <w:name w:val="正文缩进1"/>
    <w:basedOn w:val="1"/>
    <w:next w:val="13"/>
    <w:autoRedefine/>
    <w:qFormat/>
    <w:uiPriority w:val="0"/>
    <w:pPr>
      <w:autoSpaceDE w:val="0"/>
      <w:autoSpaceDN w:val="0"/>
      <w:adjustRightInd w:val="0"/>
      <w:spacing w:after="180" w:line="309" w:lineRule="auto"/>
      <w:ind w:firstLine="420"/>
      <w:jc w:val="left"/>
    </w:pPr>
    <w:rPr>
      <w:kern w:val="0"/>
      <w:sz w:val="20"/>
      <w:szCs w:val="20"/>
    </w:rPr>
  </w:style>
  <w:style w:type="paragraph" w:customStyle="1" w:styleId="128">
    <w:name w:val="索引 11"/>
    <w:basedOn w:val="1"/>
    <w:next w:val="1"/>
    <w:autoRedefine/>
    <w:qFormat/>
    <w:uiPriority w:val="99"/>
    <w:pPr>
      <w:spacing w:line="360" w:lineRule="auto"/>
    </w:pPr>
    <w:rPr>
      <w:rFonts w:ascii="仿宋_GB2312" w:eastAsia="仿宋_GB2312"/>
      <w:sz w:val="24"/>
      <w:szCs w:val="20"/>
    </w:rPr>
  </w:style>
  <w:style w:type="paragraph" w:customStyle="1" w:styleId="12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30">
    <w:name w:val="9.12正文样式"/>
    <w:basedOn w:val="1"/>
    <w:qFormat/>
    <w:uiPriority w:val="0"/>
    <w:pPr>
      <w:tabs>
        <w:tab w:val="left" w:pos="6300"/>
      </w:tabs>
      <w:adjustRightInd w:val="0"/>
      <w:snapToGrid w:val="0"/>
      <w:ind w:firstLine="200" w:firstLineChars="200"/>
    </w:pPr>
    <w:rPr>
      <w:rFonts w:ascii="宋体" w:hAnsi="宋体" w:eastAsia="仿宋"/>
      <w:sz w:val="24"/>
      <w:szCs w:val="21"/>
    </w:rPr>
  </w:style>
  <w:style w:type="paragraph" w:customStyle="1" w:styleId="131">
    <w:name w:val="列表段落2"/>
    <w:basedOn w:val="1"/>
    <w:qFormat/>
    <w:uiPriority w:val="0"/>
    <w:pPr>
      <w:ind w:firstLine="420" w:firstLineChars="200"/>
    </w:pPr>
    <w:rPr>
      <w:rFonts w:ascii="Calibri" w:hAnsi="Calibri"/>
      <w:sz w:val="24"/>
    </w:rPr>
  </w:style>
  <w:style w:type="character" w:customStyle="1" w:styleId="132">
    <w:name w:val="书籍标题1"/>
    <w:basedOn w:val="42"/>
    <w:qFormat/>
    <w:uiPriority w:val="0"/>
    <w:rPr>
      <w:b/>
      <w:bCs/>
      <w:smallCaps/>
      <w:spacing w:val="5"/>
    </w:rPr>
  </w:style>
  <w:style w:type="character" w:customStyle="1" w:styleId="133">
    <w:name w:val="bulletintext1"/>
    <w:basedOn w:val="42"/>
    <w:autoRedefine/>
    <w:qFormat/>
    <w:uiPriority w:val="0"/>
    <w:rPr>
      <w:color w:val="000000"/>
      <w:sz w:val="18"/>
      <w:szCs w:val="18"/>
    </w:rPr>
  </w:style>
  <w:style w:type="character" w:customStyle="1" w:styleId="134">
    <w:name w:val="Char Char"/>
    <w:basedOn w:val="42"/>
    <w:autoRedefine/>
    <w:qFormat/>
    <w:uiPriority w:val="0"/>
    <w:rPr>
      <w:rFonts w:hint="eastAsia" w:ascii="宋体" w:hAnsi="Courier New" w:eastAsia="宋体"/>
      <w:kern w:val="2"/>
      <w:sz w:val="21"/>
      <w:lang w:val="en-US" w:eastAsia="zh-CN" w:bidi="ar-SA"/>
    </w:rPr>
  </w:style>
  <w:style w:type="character" w:customStyle="1" w:styleId="135">
    <w:name w:val="info1"/>
    <w:basedOn w:val="42"/>
    <w:qFormat/>
    <w:uiPriority w:val="0"/>
    <w:rPr>
      <w:sz w:val="29"/>
      <w:szCs w:val="29"/>
    </w:rPr>
  </w:style>
  <w:style w:type="character" w:customStyle="1" w:styleId="136">
    <w:name w:val="md"/>
    <w:basedOn w:val="42"/>
    <w:autoRedefine/>
    <w:qFormat/>
    <w:uiPriority w:val="0"/>
  </w:style>
  <w:style w:type="character" w:customStyle="1" w:styleId="137">
    <w:name w:val="cart_title_smaller1"/>
    <w:basedOn w:val="42"/>
    <w:autoRedefine/>
    <w:qFormat/>
    <w:uiPriority w:val="0"/>
    <w:rPr>
      <w:color w:val="000000"/>
      <w:sz w:val="18"/>
      <w:szCs w:val="18"/>
      <w:u w:val="none"/>
    </w:rPr>
  </w:style>
  <w:style w:type="character" w:customStyle="1" w:styleId="138">
    <w:name w:val="font31"/>
    <w:basedOn w:val="42"/>
    <w:autoRedefine/>
    <w:qFormat/>
    <w:uiPriority w:val="0"/>
    <w:rPr>
      <w:rFonts w:hint="eastAsia" w:ascii="仿宋_GB2312" w:eastAsia="仿宋_GB2312" w:cs="仿宋_GB2312"/>
      <w:color w:val="000000"/>
      <w:sz w:val="28"/>
      <w:szCs w:val="28"/>
      <w:u w:val="none"/>
    </w:rPr>
  </w:style>
  <w:style w:type="character" w:customStyle="1" w:styleId="139">
    <w:name w:val="font21"/>
    <w:basedOn w:val="42"/>
    <w:autoRedefine/>
    <w:qFormat/>
    <w:uiPriority w:val="0"/>
    <w:rPr>
      <w:rFonts w:hint="eastAsia" w:ascii="微软雅黑" w:hAnsi="微软雅黑" w:eastAsia="微软雅黑" w:cs="微软雅黑"/>
      <w:color w:val="000000"/>
      <w:sz w:val="16"/>
      <w:szCs w:val="16"/>
      <w:u w:val="none"/>
    </w:rPr>
  </w:style>
  <w:style w:type="character" w:customStyle="1" w:styleId="140">
    <w:name w:val="font01"/>
    <w:basedOn w:val="42"/>
    <w:qFormat/>
    <w:uiPriority w:val="0"/>
    <w:rPr>
      <w:rFonts w:hint="eastAsia" w:ascii="微软雅黑" w:hAnsi="微软雅黑" w:eastAsia="微软雅黑" w:cs="微软雅黑"/>
      <w:color w:val="FF0000"/>
      <w:sz w:val="16"/>
      <w:szCs w:val="16"/>
      <w:u w:val="none"/>
    </w:rPr>
  </w:style>
  <w:style w:type="character" w:customStyle="1" w:styleId="141">
    <w:name w:val="font11"/>
    <w:basedOn w:val="42"/>
    <w:autoRedefine/>
    <w:qFormat/>
    <w:uiPriority w:val="0"/>
    <w:rPr>
      <w:rFonts w:hint="eastAsia" w:ascii="微软雅黑" w:hAnsi="微软雅黑" w:eastAsia="微软雅黑" w:cs="微软雅黑"/>
      <w:color w:val="000000"/>
      <w:sz w:val="16"/>
      <w:szCs w:val="16"/>
      <w:u w:val="none"/>
    </w:rPr>
  </w:style>
  <w:style w:type="character" w:customStyle="1" w:styleId="142">
    <w:name w:val="样式 宋体 小四"/>
    <w:basedOn w:val="42"/>
    <w:qFormat/>
    <w:uiPriority w:val="0"/>
    <w:rPr>
      <w:rFonts w:hint="eastAsia" w:ascii="宋体" w:hAnsi="宋体" w:eastAsia="宋体"/>
      <w:spacing w:val="6"/>
      <w:sz w:val="24"/>
      <w:szCs w:val="24"/>
    </w:rPr>
  </w:style>
  <w:style w:type="character" w:customStyle="1" w:styleId="143">
    <w:name w:val="纯文本 Char2"/>
    <w:autoRedefine/>
    <w:qFormat/>
    <w:uiPriority w:val="0"/>
    <w:rPr>
      <w:rFonts w:hint="eastAsia" w:ascii="宋体" w:hAnsi="Courier New" w:eastAsia="宋体"/>
      <w:kern w:val="2"/>
      <w:sz w:val="21"/>
      <w:lang w:val="en-US" w:eastAsia="zh-CN" w:bidi="ar-SA"/>
    </w:rPr>
  </w:style>
  <w:style w:type="character" w:customStyle="1" w:styleId="144">
    <w:name w:val="tw4winInternal"/>
    <w:autoRedefine/>
    <w:qFormat/>
    <w:uiPriority w:val="0"/>
    <w:rPr>
      <w:rFonts w:hint="default" w:ascii="Courier New" w:hAnsi="Courier New" w:cs="Courier New"/>
      <w:color w:val="FF0000"/>
    </w:rPr>
  </w:style>
  <w:style w:type="character" w:customStyle="1" w:styleId="145">
    <w:name w:val="NormalCharacter"/>
    <w:qFormat/>
    <w:uiPriority w:val="0"/>
  </w:style>
  <w:style w:type="paragraph" w:customStyle="1" w:styleId="146">
    <w:name w:val="编号，小四"/>
    <w:basedOn w:val="99"/>
    <w:autoRedefine/>
    <w:qFormat/>
    <w:uiPriority w:val="0"/>
    <w:pPr>
      <w:numPr>
        <w:ilvl w:val="0"/>
        <w:numId w:val="5"/>
      </w:numPr>
    </w:pPr>
    <w:rPr>
      <w:sz w:val="24"/>
    </w:rPr>
  </w:style>
  <w:style w:type="paragraph" w:customStyle="1" w:styleId="147">
    <w:name w:val="招标正文"/>
    <w:basedOn w:val="101"/>
    <w:autoRedefine/>
    <w:qFormat/>
    <w:uiPriority w:val="0"/>
    <w:pPr>
      <w:adjustRightInd w:val="0"/>
      <w:spacing w:line="360" w:lineRule="auto"/>
      <w:ind w:firstLine="480"/>
    </w:pPr>
    <w:rPr>
      <w:rFonts w:ascii="宋体" w:hAnsi="宋体"/>
      <w:color w:val="000000"/>
      <w:szCs w:val="21"/>
    </w:rPr>
  </w:style>
  <w:style w:type="character" w:customStyle="1" w:styleId="148">
    <w:name w:val="font61"/>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F6426B-A223-4679-87AF-C723A39078C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14228</Words>
  <Characters>14735</Characters>
  <Lines>129</Lines>
  <Paragraphs>36</Paragraphs>
  <TotalTime>62</TotalTime>
  <ScaleCrop>false</ScaleCrop>
  <LinksUpToDate>false</LinksUpToDate>
  <CharactersWithSpaces>16544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2024-08-08T07:51:00Z</dcterms:created>
  <dc:creator>嘉航 朱</dc:creator>
  <cp:lastModifiedBy>根之源</cp:lastModifiedBy>
  <dcterms:modified xsi:type="dcterms:W3CDTF">2024-08-16T01:05:32Z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AD3CAD61115B476AB6C8FB1FDBB5CA7D_13</vt:lpwstr>
  </property>
</Properties>
</file>