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val="0"/>
        <w:spacing w:before="0" w:beforeAutospacing="0" w:after="0" w:afterAutospacing="0" w:line="240" w:lineRule="auto"/>
        <w:jc w:val="center"/>
        <w:rPr>
          <w:rFonts w:hint="eastAsia" w:ascii="楷体" w:hAnsi="楷体" w:eastAsia="楷体"/>
          <w:b/>
          <w:color w:val="auto"/>
          <w:sz w:val="28"/>
          <w:szCs w:val="28"/>
          <w:highlight w:val="none"/>
          <w:lang w:eastAsia="zh-CN"/>
        </w:rPr>
      </w:pPr>
      <w:r>
        <w:rPr>
          <w:rFonts w:hint="eastAsia" w:ascii="楷体" w:hAnsi="楷体" w:eastAsia="楷体"/>
          <w:b/>
          <w:color w:val="auto"/>
          <w:sz w:val="28"/>
          <w:szCs w:val="28"/>
          <w:highlight w:val="none"/>
          <w:lang w:eastAsia="zh-CN"/>
        </w:rPr>
        <w:t>“苏银理财恒源周开放1号”理财产品说明书</w:t>
      </w:r>
    </w:p>
    <w:p>
      <w:pPr>
        <w:pStyle w:val="12"/>
        <w:pageBreakBefore w:val="0"/>
        <w:spacing w:before="0" w:beforeAutospacing="0" w:after="0" w:afterAutospacing="0" w:line="240" w:lineRule="auto"/>
        <w:jc w:val="center"/>
        <w:rPr>
          <w:rFonts w:hint="eastAsia" w:ascii="楷体" w:hAnsi="楷体" w:eastAsia="楷体"/>
          <w:b/>
          <w:color w:val="auto"/>
          <w:sz w:val="28"/>
          <w:szCs w:val="28"/>
          <w:highlight w:val="none"/>
          <w:lang w:eastAsia="zh-CN"/>
        </w:rPr>
      </w:pPr>
      <w:r>
        <w:rPr>
          <w:rFonts w:hint="eastAsia" w:ascii="楷体" w:hAnsi="楷体" w:eastAsia="楷体" w:cs="Times New Roman"/>
          <w:kern w:val="2"/>
          <w:sz w:val="21"/>
          <w:szCs w:val="21"/>
          <w:highlight w:val="none"/>
          <w:lang w:val="en-US" w:eastAsia="zh-CN" w:bidi="ar-SA"/>
        </w:rPr>
        <w:t>（2025年10月版）</w:t>
      </w:r>
    </w:p>
    <w:p>
      <w:pPr>
        <w:pStyle w:val="12"/>
        <w:pageBreakBefore w:val="0"/>
        <w:spacing w:before="0" w:beforeAutospacing="0" w:after="0" w:afterAutospacing="0" w:line="240" w:lineRule="auto"/>
        <w:jc w:val="center"/>
        <w:rPr>
          <w:rFonts w:hint="eastAsia" w:ascii="楷体" w:hAnsi="楷体" w:eastAsia="楷体"/>
          <w:b/>
          <w:color w:val="auto"/>
          <w:sz w:val="28"/>
          <w:szCs w:val="28"/>
          <w:highlight w:val="none"/>
          <w:lang w:eastAsia="zh-CN"/>
        </w:rPr>
      </w:pPr>
      <w:r>
        <w:rPr>
          <w:rFonts w:hint="eastAsia" w:ascii="楷体" w:hAnsi="楷体" w:eastAsia="楷体"/>
          <w:b/>
          <w:color w:val="auto"/>
          <w:sz w:val="28"/>
          <w:szCs w:val="28"/>
          <w:highlight w:val="none"/>
          <w:lang w:eastAsia="zh-CN"/>
        </w:rPr>
        <w:t>理财非存款、产品有风险、投资须谨慎</w:t>
      </w:r>
    </w:p>
    <w:p>
      <w:pPr>
        <w:rPr>
          <w:rFonts w:hint="eastAsia" w:ascii="楷体" w:hAnsi="楷体" w:eastAsia="楷体"/>
          <w:b/>
          <w:sz w:val="21"/>
          <w:szCs w:val="21"/>
          <w:highlight w:val="none"/>
        </w:rPr>
      </w:pPr>
      <w:r>
        <w:rPr>
          <w:rFonts w:hint="eastAsia" w:ascii="楷体" w:hAnsi="楷体" w:eastAsia="楷体"/>
          <w:b/>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w:t>
      </w:r>
      <w:r>
        <w:rPr>
          <w:rFonts w:hint="eastAsia" w:ascii="楷体" w:hAnsi="楷体" w:eastAsia="楷体" w:cs="Times New Roman"/>
          <w:sz w:val="21"/>
          <w:szCs w:val="21"/>
          <w:highlight w:val="none"/>
          <w:lang w:val="en-US" w:eastAsia="zh-CN"/>
        </w:rPr>
        <w:t>“苏银理财恒源周开放1号”</w:t>
      </w:r>
      <w:r>
        <w:rPr>
          <w:rFonts w:hint="eastAsia" w:ascii="楷体" w:hAnsi="楷体" w:eastAsia="楷体"/>
          <w:sz w:val="21"/>
          <w:szCs w:val="21"/>
          <w:highlight w:val="none"/>
        </w:rPr>
        <w:t>理财产品风险揭示书》的“风险揭示”部分。</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firstLine="422" w:firstLineChars="200"/>
        <w:outlineLvl w:val="1"/>
        <w:rPr>
          <w:rFonts w:hint="eastAsia" w:ascii="楷体" w:hAnsi="楷体" w:eastAsia="楷体"/>
          <w:b/>
          <w:bCs/>
          <w:sz w:val="21"/>
          <w:szCs w:val="21"/>
          <w:highlight w:val="none"/>
        </w:rPr>
      </w:pPr>
      <w:r>
        <w:rPr>
          <w:rFonts w:hint="eastAsia" w:ascii="楷体" w:hAnsi="楷体" w:eastAsia="楷体"/>
          <w:b/>
          <w:bCs/>
          <w:sz w:val="21"/>
          <w:szCs w:val="21"/>
          <w:highlight w:val="none"/>
        </w:rPr>
        <w:t>产品要素</w:t>
      </w:r>
    </w:p>
    <w:p>
      <w:pPr>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为保护投资者合法权益，尊重投资者的知情权和自主选择权，现将本理财产品的基本要素说明如下：</w:t>
      </w:r>
    </w:p>
    <w:tbl>
      <w:tblPr>
        <w:tblStyle w:val="14"/>
        <w:tblW w:w="9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97"/>
        <w:gridCol w:w="6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97" w:type="dxa"/>
            <w:noWrap w:val="0"/>
            <w:vAlign w:val="center"/>
          </w:tcPr>
          <w:p>
            <w:pPr>
              <w:pStyle w:val="35"/>
              <w:kinsoku w:val="0"/>
              <w:overflowPunct w:val="0"/>
              <w:spacing w:before="11"/>
              <w:ind w:left="2"/>
              <w:jc w:val="left"/>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6920" w:type="dxa"/>
            <w:noWrap w:val="0"/>
            <w:vAlign w:val="center"/>
          </w:tcPr>
          <w:p>
            <w:pPr>
              <w:pStyle w:val="35"/>
              <w:kinsoku w:val="0"/>
              <w:overflowPunct w:val="0"/>
              <w:spacing w:before="13"/>
              <w:ind w:right="44" w:rightChars="21"/>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苏银理财恒源</w:t>
            </w:r>
            <w:r>
              <w:rPr>
                <w:rFonts w:hint="eastAsia" w:ascii="楷体" w:hAnsi="楷体" w:eastAsia="楷体" w:cs="宋体"/>
                <w:spacing w:val="-2"/>
                <w:sz w:val="18"/>
                <w:szCs w:val="18"/>
                <w:highlight w:val="none"/>
                <w:lang w:eastAsia="zh-CN"/>
              </w:rPr>
              <w:t>周开放1号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97" w:type="dxa"/>
            <w:noWrap w:val="0"/>
            <w:vAlign w:val="center"/>
          </w:tcPr>
          <w:p>
            <w:pPr>
              <w:pStyle w:val="35"/>
              <w:kinsoku w:val="0"/>
              <w:overflowPunct w:val="0"/>
              <w:spacing w:before="140"/>
              <w:ind w:left="4"/>
              <w:jc w:val="left"/>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6920" w:type="dxa"/>
            <w:noWrap w:val="0"/>
            <w:vAlign w:val="center"/>
          </w:tcPr>
          <w:p>
            <w:pPr>
              <w:pStyle w:val="35"/>
              <w:kinsoku w:val="0"/>
              <w:overflowPunct w:val="0"/>
              <w:spacing w:line="260" w:lineRule="exact"/>
              <w:ind w:right="44" w:rightChars="21"/>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Z7003120000001</w:t>
            </w:r>
            <w:r>
              <w:rPr>
                <w:rFonts w:hint="eastAsia" w:ascii="楷体" w:hAnsi="楷体" w:eastAsia="楷体" w:cs="宋体"/>
                <w:color w:val="auto"/>
                <w:spacing w:val="-2"/>
                <w:sz w:val="18"/>
                <w:szCs w:val="18"/>
                <w:highlight w:val="none"/>
                <w:lang w:val="en-US"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2197" w:type="dxa"/>
            <w:noWrap w:val="0"/>
            <w:vAlign w:val="center"/>
          </w:tcPr>
          <w:p>
            <w:pPr>
              <w:pStyle w:val="35"/>
              <w:kinsoku w:val="0"/>
              <w:overflowPunct w:val="0"/>
              <w:spacing w:before="13"/>
              <w:ind w:left="2"/>
              <w:jc w:val="left"/>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6920" w:type="dxa"/>
            <w:noWrap w:val="0"/>
            <w:vAlign w:val="center"/>
          </w:tcPr>
          <w:p>
            <w:pPr>
              <w:pStyle w:val="35"/>
              <w:kinsoku w:val="0"/>
              <w:overflowPunct w:val="0"/>
              <w:spacing w:line="260" w:lineRule="exact"/>
              <w:ind w:right="44" w:rightChars="21"/>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F份额：</w:t>
            </w:r>
            <w:r>
              <w:rPr>
                <w:rFonts w:hint="eastAsia" w:ascii="楷体" w:hAnsi="楷体" w:eastAsia="楷体" w:cs="宋体"/>
                <w:spacing w:val="-2"/>
                <w:sz w:val="18"/>
                <w:szCs w:val="18"/>
                <w:highlight w:val="none"/>
              </w:rPr>
              <w:t>苏银理财恒源周开放1号</w:t>
            </w:r>
            <w:r>
              <w:rPr>
                <w:rFonts w:hint="eastAsia" w:ascii="楷体" w:hAnsi="楷体" w:eastAsia="楷体" w:cs="宋体"/>
                <w:spacing w:val="-2"/>
                <w:sz w:val="18"/>
                <w:szCs w:val="18"/>
                <w:highlight w:val="none"/>
                <w:lang w:val="en-US" w:eastAsia="zh-CN"/>
              </w:rPr>
              <w:t>F</w:t>
            </w:r>
            <w:r>
              <w:rPr>
                <w:rFonts w:hint="eastAsia" w:ascii="楷体" w:hAnsi="楷体" w:eastAsia="楷体" w:cs="宋体"/>
                <w:spacing w:val="-2"/>
                <w:sz w:val="18"/>
                <w:szCs w:val="18"/>
                <w:highlight w:val="none"/>
              </w:rPr>
              <w:t>/J01995</w:t>
            </w:r>
          </w:p>
          <w:p>
            <w:pPr>
              <w:pStyle w:val="35"/>
              <w:kinsoku w:val="0"/>
              <w:overflowPunct w:val="0"/>
              <w:spacing w:line="260" w:lineRule="exact"/>
              <w:ind w:right="44" w:rightChars="21"/>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G份额：</w:t>
            </w:r>
            <w:r>
              <w:rPr>
                <w:rFonts w:hint="eastAsia" w:ascii="楷体" w:hAnsi="楷体" w:eastAsia="楷体" w:cs="宋体"/>
                <w:spacing w:val="-2"/>
                <w:sz w:val="18"/>
                <w:szCs w:val="18"/>
                <w:highlight w:val="none"/>
              </w:rPr>
              <w:t>苏银理财恒源周开放1号</w:t>
            </w:r>
            <w:r>
              <w:rPr>
                <w:rFonts w:hint="eastAsia" w:ascii="楷体" w:hAnsi="楷体" w:eastAsia="楷体" w:cs="宋体"/>
                <w:spacing w:val="-2"/>
                <w:sz w:val="18"/>
                <w:szCs w:val="18"/>
                <w:highlight w:val="none"/>
                <w:lang w:val="en-US" w:eastAsia="zh-CN"/>
              </w:rPr>
              <w:t>G</w:t>
            </w:r>
            <w:r>
              <w:rPr>
                <w:rFonts w:hint="eastAsia" w:ascii="楷体" w:hAnsi="楷体" w:eastAsia="楷体" w:cs="宋体"/>
                <w:spacing w:val="-2"/>
                <w:sz w:val="18"/>
                <w:szCs w:val="18"/>
                <w:highlight w:val="none"/>
              </w:rPr>
              <w:t>/J02462</w:t>
            </w:r>
          </w:p>
          <w:p>
            <w:pPr>
              <w:pStyle w:val="35"/>
              <w:kinsoku w:val="0"/>
              <w:overflowPunct w:val="0"/>
              <w:spacing w:line="260" w:lineRule="exact"/>
              <w:ind w:right="44" w:rightChars="21"/>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W份额：</w:t>
            </w:r>
            <w:r>
              <w:rPr>
                <w:rFonts w:hint="eastAsia" w:ascii="楷体" w:hAnsi="楷体" w:eastAsia="楷体" w:cs="宋体"/>
                <w:spacing w:val="-2"/>
                <w:sz w:val="18"/>
                <w:szCs w:val="18"/>
                <w:highlight w:val="none"/>
              </w:rPr>
              <w:t>苏银理财恒源周开放1号</w:t>
            </w:r>
            <w:r>
              <w:rPr>
                <w:rFonts w:hint="eastAsia" w:ascii="楷体" w:hAnsi="楷体" w:eastAsia="楷体" w:cs="宋体"/>
                <w:spacing w:val="-2"/>
                <w:sz w:val="18"/>
                <w:szCs w:val="18"/>
                <w:highlight w:val="none"/>
                <w:lang w:val="en-US" w:eastAsia="zh-CN"/>
              </w:rPr>
              <w:t>W/J02568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3"/>
              <w:jc w:val="left"/>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6920" w:type="dxa"/>
            <w:noWrap w:val="0"/>
            <w:vAlign w:val="center"/>
          </w:tcPr>
          <w:p>
            <w:pPr>
              <w:pStyle w:val="35"/>
              <w:kinsoku w:val="0"/>
              <w:overflowPunct w:val="0"/>
              <w:spacing w:before="12"/>
              <w:ind w:left="59" w:leftChars="0" w:right="44" w:rightChars="21"/>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3"/>
              <w:ind w:left="4"/>
              <w:jc w:val="left"/>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6920" w:type="dxa"/>
            <w:noWrap w:val="0"/>
            <w:vAlign w:val="center"/>
          </w:tcPr>
          <w:p>
            <w:pPr>
              <w:keepNext w:val="0"/>
              <w:keepLines w:val="0"/>
              <w:pageBreakBefore w:val="0"/>
              <w:numPr>
                <w:ilvl w:val="0"/>
                <w:numId w:val="0"/>
              </w:numPr>
              <w:wordWrap/>
              <w:topLinePunct w:val="0"/>
              <w:bidi w:val="0"/>
              <w:snapToGrid w:val="0"/>
              <w:spacing w:line="240" w:lineRule="auto"/>
              <w:ind w:right="57"/>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297"/>
              <w:gridCol w:w="1769"/>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tcBorders>
                    <w:bottom w:val="single" w:color="auto" w:sz="4" w:space="0"/>
                  </w:tcBorders>
                  <w:noWrap w:val="0"/>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noWrap w:val="0"/>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numPr>
                <w:ilvl w:val="0"/>
                <w:numId w:val="0"/>
              </w:numPr>
              <w:wordWrap/>
              <w:topLinePunct w:val="0"/>
              <w:bidi w:val="0"/>
              <w:snapToGrid w:val="0"/>
              <w:spacing w:line="240" w:lineRule="auto"/>
              <w:ind w:right="57"/>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5"/>
              <w:kinsoku w:val="0"/>
              <w:overflowPunct w:val="0"/>
              <w:spacing w:before="13"/>
              <w:ind w:right="44" w:rightChars="21"/>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3"/>
              <w:jc w:val="left"/>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6920" w:type="dxa"/>
            <w:noWrap w:val="0"/>
            <w:vAlign w:val="center"/>
          </w:tcPr>
          <w:p>
            <w:pPr>
              <w:pStyle w:val="35"/>
              <w:kinsoku w:val="0"/>
              <w:overflowPunct w:val="0"/>
              <w:spacing w:before="12"/>
              <w:ind w:right="44" w:rightChars="21"/>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18"/>
                <w:szCs w:val="18"/>
                <w:highlight w:val="no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4"/>
              <w:jc w:val="left"/>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6920" w:type="dxa"/>
            <w:noWrap w:val="0"/>
            <w:vAlign w:val="center"/>
          </w:tcPr>
          <w:p>
            <w:pPr>
              <w:pStyle w:val="35"/>
              <w:kinsoku w:val="0"/>
              <w:overflowPunct w:val="0"/>
              <w:spacing w:before="14"/>
              <w:ind w:left="59" w:leftChars="0" w:right="44" w:rightChars="21"/>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3"/>
              <w:jc w:val="both"/>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6920" w:type="dxa"/>
            <w:noWrap w:val="0"/>
            <w:vAlign w:val="center"/>
          </w:tcPr>
          <w:p>
            <w:pPr>
              <w:pStyle w:val="35"/>
              <w:kinsoku w:val="0"/>
              <w:overflowPunct w:val="0"/>
              <w:spacing w:before="12"/>
              <w:ind w:left="59" w:leftChars="0" w:right="73" w:rightChars="35"/>
              <w:jc w:val="both"/>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2"/>
              <w:ind w:left="2" w:leftChars="0"/>
              <w:jc w:val="left"/>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6920" w:type="dxa"/>
            <w:noWrap w:val="0"/>
            <w:vAlign w:val="center"/>
          </w:tcPr>
          <w:p>
            <w:pPr>
              <w:pStyle w:val="35"/>
              <w:kinsoku w:val="0"/>
              <w:overflowPunct w:val="0"/>
              <w:spacing w:before="12"/>
              <w:ind w:left="59" w:leftChars="0" w:right="44" w:rightChars="21"/>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每</w:t>
            </w:r>
            <w:r>
              <w:rPr>
                <w:rFonts w:hint="eastAsia" w:ascii="楷体" w:hAnsi="楷体" w:eastAsia="楷体" w:cs="宋体"/>
                <w:spacing w:val="-2"/>
                <w:sz w:val="18"/>
                <w:szCs w:val="18"/>
                <w:highlight w:val="none"/>
              </w:rPr>
              <w:t>周</w:t>
            </w:r>
            <w:r>
              <w:rPr>
                <w:rFonts w:hint="eastAsia" w:ascii="楷体" w:hAnsi="楷体" w:eastAsia="楷体" w:cs="宋体"/>
                <w:spacing w:val="-2"/>
                <w:sz w:val="18"/>
                <w:szCs w:val="18"/>
                <w:highlight w:val="none"/>
                <w:lang w:val="en-US" w:eastAsia="zh-CN"/>
              </w:rPr>
              <w:t>为一个投资周期</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3"/>
              <w:ind w:left="2" w:leftChars="0"/>
              <w:jc w:val="left"/>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6920" w:type="dxa"/>
            <w:noWrap w:val="0"/>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本产品计划发行规模为1000亿元，管理人有权根据实际需要调整计划发行规模。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97" w:type="dxa"/>
            <w:noWrap w:val="0"/>
            <w:vAlign w:val="center"/>
          </w:tcPr>
          <w:p>
            <w:pPr>
              <w:pStyle w:val="35"/>
              <w:keepNext w:val="0"/>
              <w:keepLines w:val="0"/>
              <w:pageBreakBefore w:val="0"/>
              <w:widowControl w:val="0"/>
              <w:kinsoku w:val="0"/>
              <w:wordWrap/>
              <w:overflowPunct w:val="0"/>
              <w:topLinePunct w:val="0"/>
              <w:autoSpaceDE w:val="0"/>
              <w:autoSpaceDN w:val="0"/>
              <w:bidi w:val="0"/>
              <w:adjustRightInd w:val="0"/>
              <w:ind w:left="2"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最低发行规模</w:t>
            </w:r>
          </w:p>
        </w:tc>
        <w:tc>
          <w:tcPr>
            <w:tcW w:w="6920" w:type="dxa"/>
            <w:noWrap w:val="0"/>
            <w:vAlign w:val="center"/>
          </w:tcPr>
          <w:p>
            <w:pPr>
              <w:keepNext w:val="0"/>
              <w:keepLines w:val="0"/>
              <w:pageBreakBefore w:val="0"/>
              <w:widowControl w:val="0"/>
              <w:wordWrap/>
              <w:topLinePunct w:val="0"/>
              <w:bidi w:val="0"/>
              <w:snapToGrid/>
              <w:spacing w:line="240" w:lineRule="auto"/>
              <w:ind w:left="42" w:leftChars="20" w:right="42" w:rightChars="20"/>
              <w:jc w:val="left"/>
              <w:textAlignment w:val="auto"/>
              <w:rPr>
                <w:rFonts w:hint="eastAsia" w:ascii="楷体" w:hAnsi="楷体" w:eastAsia="楷体"/>
                <w:kern w:val="2"/>
                <w:sz w:val="18"/>
                <w:szCs w:val="18"/>
                <w:highlight w:val="none"/>
                <w:lang w:val="en-US" w:eastAsia="zh-CN" w:bidi="ar-SA"/>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2"/>
              <w:ind w:left="2"/>
              <w:jc w:val="left"/>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6920" w:type="dxa"/>
            <w:noWrap w:val="0"/>
            <w:vAlign w:val="center"/>
          </w:tcPr>
          <w:p>
            <w:pPr>
              <w:keepNext w:val="0"/>
              <w:keepLines w:val="0"/>
              <w:pageBreakBefore w:val="0"/>
              <w:widowControl w:val="0"/>
              <w:wordWrap/>
              <w:topLinePunct w:val="0"/>
              <w:bidi w:val="0"/>
              <w:snapToGrid/>
              <w:spacing w:line="240" w:lineRule="auto"/>
              <w:ind w:left="42" w:leftChars="20" w:right="42" w:rightChars="2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F份额购买起点1元，追加金额为1元的整数倍。</w:t>
            </w:r>
          </w:p>
          <w:p>
            <w:pPr>
              <w:keepNext w:val="0"/>
              <w:keepLines w:val="0"/>
              <w:pageBreakBefore w:val="0"/>
              <w:widowControl w:val="0"/>
              <w:wordWrap/>
              <w:topLinePunct w:val="0"/>
              <w:bidi w:val="0"/>
              <w:snapToGrid/>
              <w:spacing w:line="240" w:lineRule="auto"/>
              <w:ind w:left="42" w:leftChars="20" w:right="42" w:rightChars="2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G份额购买起点1元，追加金额为1元的整数倍。</w:t>
            </w:r>
          </w:p>
          <w:p>
            <w:pPr>
              <w:keepNext w:val="0"/>
              <w:keepLines w:val="0"/>
              <w:pageBreakBefore w:val="0"/>
              <w:widowControl w:val="0"/>
              <w:wordWrap/>
              <w:topLinePunct w:val="0"/>
              <w:bidi w:val="0"/>
              <w:snapToGrid/>
              <w:spacing w:line="240" w:lineRule="auto"/>
              <w:ind w:left="42" w:leftChars="20" w:right="42" w:rightChars="2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W份额购买起点1元，追加金额为1元的整数倍。</w:t>
            </w:r>
          </w:p>
          <w:p>
            <w:pPr>
              <w:ind w:left="59" w:right="44" w:rightChars="21"/>
              <w:jc w:val="left"/>
              <w:rPr>
                <w:rFonts w:hint="eastAsia" w:ascii="楷体" w:hAnsi="楷体" w:eastAsia="楷体"/>
                <w:sz w:val="18"/>
                <w:szCs w:val="18"/>
                <w:highlight w:val="none"/>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3"/>
              <w:ind w:left="2" w:leftChars="0"/>
              <w:jc w:val="left"/>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6920" w:type="dxa"/>
            <w:noWrap w:val="0"/>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2017年11月20日-2017年11月23日。</w:t>
            </w:r>
          </w:p>
          <w:p>
            <w:pPr>
              <w:pStyle w:val="35"/>
              <w:keepNext w:val="0"/>
              <w:keepLines w:val="0"/>
              <w:pageBreakBefore w:val="0"/>
              <w:widowControl w:val="0"/>
              <w:kinsoku w:val="0"/>
              <w:wordWrap/>
              <w:overflowPunct w:val="0"/>
              <w:topLinePunct w:val="0"/>
              <w:bidi w:val="0"/>
              <w:snapToGrid/>
              <w:spacing w:line="240" w:lineRule="auto"/>
              <w:ind w:left="21" w:leftChars="10" w:right="71" w:rightChars="34"/>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2"/>
              <w:ind w:left="2" w:leftChars="0"/>
              <w:jc w:val="left"/>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6920" w:type="dxa"/>
            <w:noWrap w:val="0"/>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2017年11月24日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97" w:type="dxa"/>
            <w:noWrap w:val="0"/>
            <w:vAlign w:val="center"/>
          </w:tcPr>
          <w:p>
            <w:pPr>
              <w:pStyle w:val="35"/>
              <w:kinsoku w:val="0"/>
              <w:overflowPunct w:val="0"/>
              <w:spacing w:before="12"/>
              <w:ind w:left="2" w:leftChars="0"/>
              <w:jc w:val="left"/>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封闭运作期</w:t>
            </w:r>
          </w:p>
        </w:tc>
        <w:tc>
          <w:tcPr>
            <w:tcW w:w="6920" w:type="dxa"/>
            <w:noWrap w:val="0"/>
            <w:vAlign w:val="center"/>
          </w:tcPr>
          <w:p>
            <w:pPr>
              <w:pStyle w:val="35"/>
              <w:kinsoku w:val="0"/>
              <w:overflowPunct w:val="0"/>
              <w:spacing w:before="12"/>
              <w:ind w:left="59" w:leftChars="0" w:right="44" w:rightChars="21"/>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2017年11月24日-2018年1月18日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97" w:type="dxa"/>
            <w:noWrap w:val="0"/>
            <w:vAlign w:val="center"/>
          </w:tcPr>
          <w:p>
            <w:pPr>
              <w:pStyle w:val="35"/>
              <w:keepNext w:val="0"/>
              <w:keepLines w:val="0"/>
              <w:pageBreakBefore w:val="0"/>
              <w:widowControl w:val="0"/>
              <w:kinsoku w:val="0"/>
              <w:wordWrap/>
              <w:overflowPunct w:val="0"/>
              <w:topLinePunct w:val="0"/>
              <w:autoSpaceDE w:val="0"/>
              <w:autoSpaceDN w:val="0"/>
              <w:bidi w:val="0"/>
              <w:adjustRightInd w:val="0"/>
              <w:snapToGrid/>
              <w:spacing w:before="12" w:line="0" w:lineRule="atLeast"/>
              <w:ind w:left="55"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5"/>
              <w:kinsoku w:val="0"/>
              <w:overflowPunct w:val="0"/>
              <w:spacing w:before="12"/>
              <w:ind w:left="2" w:leftChars="0"/>
              <w:jc w:val="left"/>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6920" w:type="dxa"/>
            <w:noWrap w:val="0"/>
            <w:vAlign w:val="center"/>
          </w:tcPr>
          <w:p>
            <w:pPr>
              <w:pStyle w:val="35"/>
              <w:ind w:left="59" w:leftChars="0" w:right="44" w:rightChars="21"/>
              <w:rPr>
                <w:rFonts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2040年11月23日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197" w:type="dxa"/>
            <w:noWrap w:val="0"/>
            <w:vAlign w:val="center"/>
          </w:tcPr>
          <w:p>
            <w:pPr>
              <w:pStyle w:val="35"/>
              <w:kinsoku w:val="0"/>
              <w:overflowPunct w:val="0"/>
              <w:spacing w:before="12"/>
              <w:ind w:left="2" w:leftChars="0"/>
              <w:jc w:val="left"/>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6920" w:type="dxa"/>
            <w:noWrap w:val="0"/>
            <w:vAlign w:val="top"/>
          </w:tcPr>
          <w:p>
            <w:pPr>
              <w:numPr>
                <w:ilvl w:val="0"/>
                <w:numId w:val="3"/>
              </w:numPr>
              <w:ind w:right="44" w:rightChars="21"/>
              <w:jc w:val="left"/>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b/>
                <w:bCs/>
                <w:spacing w:val="-2"/>
                <w:kern w:val="0"/>
                <w:sz w:val="18"/>
                <w:szCs w:val="18"/>
                <w:highlight w:val="none"/>
                <w:u w:val="single"/>
                <w:lang w:val="en-US" w:eastAsia="zh-CN" w:bidi="ar-SA"/>
              </w:rPr>
              <w:t>本产品封闭运作期结束后按周开放，若周三与周四为工作日，则周三为开放日、周四为确认日。</w:t>
            </w:r>
            <w:r>
              <w:rPr>
                <w:rFonts w:hint="eastAsia" w:ascii="楷体" w:hAnsi="楷体" w:eastAsia="楷体" w:cs="宋体"/>
                <w:spacing w:val="-2"/>
                <w:kern w:val="0"/>
                <w:sz w:val="18"/>
                <w:szCs w:val="18"/>
                <w:highlight w:val="none"/>
                <w:lang w:val="en-US" w:eastAsia="zh-CN"/>
              </w:rPr>
              <w:t>开放日</w:t>
            </w:r>
            <w:r>
              <w:rPr>
                <w:rFonts w:hint="eastAsia" w:ascii="楷体" w:hAnsi="楷体" w:eastAsia="楷体" w:cs="宋体"/>
                <w:spacing w:val="-2"/>
                <w:kern w:val="0"/>
                <w:sz w:val="18"/>
                <w:szCs w:val="18"/>
                <w:highlight w:val="none"/>
              </w:rPr>
              <w:t>前</w:t>
            </w:r>
            <w:r>
              <w:rPr>
                <w:rFonts w:hint="eastAsia" w:ascii="楷体" w:hAnsi="楷体" w:eastAsia="楷体" w:cs="宋体"/>
                <w:spacing w:val="-2"/>
                <w:kern w:val="0"/>
                <w:sz w:val="18"/>
                <w:szCs w:val="18"/>
                <w:highlight w:val="none"/>
                <w:lang w:val="en-US" w:eastAsia="zh-CN"/>
              </w:rPr>
              <w:t>3个工作日（含开放日）开放</w:t>
            </w:r>
            <w:r>
              <w:rPr>
                <w:rFonts w:hint="eastAsia" w:ascii="楷体" w:hAnsi="楷体" w:eastAsia="楷体" w:cs="宋体"/>
                <w:spacing w:val="-2"/>
                <w:kern w:val="0"/>
                <w:sz w:val="18"/>
                <w:szCs w:val="18"/>
                <w:highlight w:val="none"/>
              </w:rPr>
              <w:t>申购/赎回</w:t>
            </w:r>
            <w:r>
              <w:rPr>
                <w:rFonts w:hint="eastAsia" w:ascii="楷体" w:hAnsi="楷体" w:eastAsia="楷体" w:cs="宋体"/>
                <w:spacing w:val="-2"/>
                <w:kern w:val="0"/>
                <w:sz w:val="18"/>
                <w:szCs w:val="18"/>
                <w:highlight w:val="none"/>
                <w:lang w:eastAsia="zh-CN"/>
              </w:rPr>
              <w:t>，</w:t>
            </w:r>
            <w:r>
              <w:rPr>
                <w:rFonts w:hint="eastAsia" w:ascii="楷体" w:hAnsi="楷体" w:eastAsia="楷体" w:cs="宋体"/>
                <w:spacing w:val="-2"/>
                <w:kern w:val="0"/>
                <w:sz w:val="18"/>
                <w:szCs w:val="18"/>
                <w:highlight w:val="none"/>
              </w:rPr>
              <w:t>投资者在非开放日的申购/赎回申请行为统一视为在开放日提交申购/赎回申请。申购/赎回截止时间不晚于产品开放日</w:t>
            </w:r>
            <w:r>
              <w:rPr>
                <w:rFonts w:hint="eastAsia" w:ascii="楷体" w:hAnsi="楷体" w:eastAsia="楷体" w:cs="宋体"/>
                <w:spacing w:val="-2"/>
                <w:kern w:val="0"/>
                <w:sz w:val="18"/>
                <w:szCs w:val="18"/>
                <w:highlight w:val="none"/>
                <w:lang w:val="en-US" w:eastAsia="zh-CN"/>
              </w:rPr>
              <w:t>闭市时间（</w:t>
            </w:r>
            <w:r>
              <w:rPr>
                <w:rFonts w:hint="eastAsia" w:ascii="楷体" w:hAnsi="楷体" w:eastAsia="楷体" w:cs="宋体"/>
                <w:spacing w:val="-2"/>
                <w:kern w:val="0"/>
                <w:sz w:val="18"/>
                <w:szCs w:val="18"/>
                <w:highlight w:val="none"/>
              </w:rPr>
              <w:t>17:00</w:t>
            </w:r>
            <w:r>
              <w:rPr>
                <w:rFonts w:hint="eastAsia" w:ascii="楷体" w:hAnsi="楷体" w:eastAsia="楷体" w:cs="宋体"/>
                <w:spacing w:val="-2"/>
                <w:kern w:val="0"/>
                <w:sz w:val="18"/>
                <w:szCs w:val="18"/>
                <w:highlight w:val="none"/>
                <w:lang w:eastAsia="zh-CN"/>
              </w:rPr>
              <w:t>）</w:t>
            </w:r>
            <w:r>
              <w:rPr>
                <w:rFonts w:hint="eastAsia" w:ascii="楷体" w:hAnsi="楷体" w:eastAsia="楷体" w:cs="宋体"/>
                <w:spacing w:val="-2"/>
                <w:kern w:val="0"/>
                <w:sz w:val="18"/>
                <w:szCs w:val="18"/>
                <w:highlight w:val="none"/>
              </w:rPr>
              <w:t>，开放日</w:t>
            </w:r>
            <w:r>
              <w:rPr>
                <w:rFonts w:hint="eastAsia" w:ascii="楷体" w:hAnsi="楷体" w:eastAsia="楷体" w:cs="宋体"/>
                <w:spacing w:val="-2"/>
                <w:kern w:val="0"/>
                <w:sz w:val="18"/>
                <w:szCs w:val="18"/>
                <w:highlight w:val="none"/>
                <w:lang w:val="en-US" w:eastAsia="zh-CN"/>
              </w:rPr>
              <w:t>闭市时间</w:t>
            </w:r>
            <w:r>
              <w:rPr>
                <w:rFonts w:hint="eastAsia" w:ascii="楷体" w:hAnsi="楷体" w:eastAsia="楷体" w:cs="宋体"/>
                <w:spacing w:val="-2"/>
                <w:kern w:val="0"/>
                <w:sz w:val="18"/>
                <w:szCs w:val="18"/>
                <w:highlight w:val="none"/>
              </w:rPr>
              <w:t>前客户提交的申购/赎回申请均可以申请撤单（</w:t>
            </w:r>
            <w:r>
              <w:rPr>
                <w:rFonts w:hint="eastAsia" w:ascii="楷体" w:hAnsi="楷体" w:eastAsia="楷体" w:cs="宋体"/>
                <w:spacing w:val="-2"/>
                <w:kern w:val="0"/>
                <w:sz w:val="18"/>
                <w:szCs w:val="18"/>
                <w:highlight w:val="none"/>
                <w:lang w:val="en-US" w:eastAsia="zh-CN"/>
              </w:rPr>
              <w:t>开放</w:t>
            </w:r>
            <w:r>
              <w:rPr>
                <w:rFonts w:hint="eastAsia" w:ascii="楷体" w:hAnsi="楷体" w:eastAsia="楷体" w:cs="宋体"/>
                <w:spacing w:val="-2"/>
                <w:kern w:val="0"/>
                <w:sz w:val="18"/>
                <w:szCs w:val="18"/>
                <w:highlight w:val="none"/>
              </w:rPr>
              <w:t>申购/赎回</w:t>
            </w:r>
            <w:r>
              <w:rPr>
                <w:rFonts w:hint="eastAsia" w:ascii="楷体" w:hAnsi="楷体" w:eastAsia="楷体" w:cs="宋体"/>
                <w:spacing w:val="-2"/>
                <w:kern w:val="0"/>
                <w:sz w:val="18"/>
                <w:szCs w:val="18"/>
                <w:highlight w:val="none"/>
                <w:lang w:val="en-US" w:eastAsia="zh-CN"/>
              </w:rPr>
              <w:t>时间和闭市时间</w:t>
            </w:r>
            <w:r>
              <w:rPr>
                <w:rFonts w:hint="eastAsia" w:ascii="楷体" w:hAnsi="楷体" w:eastAsia="楷体" w:cs="宋体"/>
                <w:spacing w:val="-2"/>
                <w:kern w:val="0"/>
                <w:sz w:val="18"/>
                <w:szCs w:val="18"/>
                <w:highlight w:val="none"/>
              </w:rPr>
              <w:t>以各销售机构设置为准）</w:t>
            </w:r>
            <w:r>
              <w:rPr>
                <w:rFonts w:hint="eastAsia" w:ascii="楷体" w:hAnsi="楷体" w:eastAsia="楷体" w:cs="宋体"/>
                <w:spacing w:val="-2"/>
                <w:kern w:val="0"/>
                <w:sz w:val="18"/>
                <w:szCs w:val="18"/>
                <w:highlight w:val="none"/>
                <w:lang w:eastAsia="zh-CN"/>
              </w:rPr>
              <w:t>。</w:t>
            </w:r>
          </w:p>
          <w:p>
            <w:pPr>
              <w:numPr>
                <w:ilvl w:val="0"/>
                <w:numId w:val="3"/>
              </w:numPr>
              <w:ind w:right="44" w:rightChars="21"/>
              <w:jc w:val="left"/>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lang w:val="en-US" w:eastAsia="zh-CN" w:bidi="ar-SA"/>
              </w:rPr>
              <w:t>若周三或周四为非工作日，则开放日、确认日、投资周期作相应调整，苏银理财将按说明书约定的信息披露方式予以披露，以相关披露内容为准。其他时间苏银理财不接受客户申购/赎回申请。</w:t>
            </w:r>
          </w:p>
          <w:p>
            <w:pPr>
              <w:numPr>
                <w:ilvl w:val="0"/>
                <w:numId w:val="0"/>
              </w:numPr>
              <w:ind w:right="44" w:rightChars="21"/>
              <w:jc w:val="left"/>
              <w:rPr>
                <w:rFonts w:hint="eastAsia" w:ascii="楷体" w:hAnsi="楷体" w:eastAsia="楷体" w:cs="宋体"/>
                <w:spacing w:val="-2"/>
                <w:sz w:val="18"/>
                <w:szCs w:val="18"/>
                <w:highlight w:val="none"/>
              </w:rPr>
            </w:pPr>
            <w:r>
              <w:rPr>
                <w:rFonts w:hint="eastAsia" w:ascii="楷体" w:hAnsi="楷体" w:eastAsia="楷体" w:cs="宋体"/>
                <w:i w:val="0"/>
                <w:iCs w:val="0"/>
                <w:caps w:val="0"/>
                <w:spacing w:val="-2"/>
                <w:sz w:val="18"/>
                <w:szCs w:val="18"/>
                <w:highlight w:val="none"/>
                <w:shd w:val="clear" w:color="auto" w:fill="auto"/>
              </w:rPr>
              <w:t>管理人有权根据资产运作情况、节假日安排调整开放计划</w:t>
            </w:r>
            <w:r>
              <w:rPr>
                <w:rFonts w:hint="eastAsia" w:ascii="楷体" w:hAnsi="楷体" w:eastAsia="楷体" w:cs="宋体"/>
                <w:spacing w:val="-2"/>
                <w:sz w:val="18"/>
                <w:szCs w:val="18"/>
                <w:highlight w:val="none"/>
              </w:rPr>
              <w:t>，并在调整前进行公告。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2197" w:type="dxa"/>
            <w:noWrap w:val="0"/>
            <w:vAlign w:val="center"/>
          </w:tcPr>
          <w:p>
            <w:pPr>
              <w:pStyle w:val="35"/>
              <w:keepNext w:val="0"/>
              <w:keepLines w:val="0"/>
              <w:pageBreakBefore w:val="0"/>
              <w:widowControl w:val="0"/>
              <w:kinsoku w:val="0"/>
              <w:wordWrap/>
              <w:overflowPunct w:val="0"/>
              <w:topLinePunct w:val="0"/>
              <w:autoSpaceDE w:val="0"/>
              <w:autoSpaceDN w:val="0"/>
              <w:bidi w:val="0"/>
              <w:adjustRightInd w:val="0"/>
              <w:ind w:right="65" w:rightChars="31"/>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6920" w:type="dxa"/>
            <w:noWrap w:val="0"/>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1亿元</w:t>
            </w:r>
            <w:r>
              <w:rPr>
                <w:rFonts w:hint="eastAsia" w:ascii="楷体" w:hAnsi="楷体" w:eastAsia="楷体" w:cs="宋体"/>
                <w:spacing w:val="-2"/>
                <w:sz w:val="18"/>
                <w:szCs w:val="18"/>
                <w:highlight w:val="none"/>
              </w:rPr>
              <w:t>。超过购买上限时，管理人有权拒绝投资者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eepNext w:val="0"/>
              <w:keepLines w:val="0"/>
              <w:pageBreakBefore w:val="0"/>
              <w:widowControl w:val="0"/>
              <w:kinsoku w:val="0"/>
              <w:wordWrap/>
              <w:overflowPunct w:val="0"/>
              <w:topLinePunct w:val="0"/>
              <w:autoSpaceDE w:val="0"/>
              <w:autoSpaceDN w:val="0"/>
              <w:bidi w:val="0"/>
              <w:adjustRightInd w:val="0"/>
              <w:ind w:right="65" w:rightChars="31"/>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6920" w:type="dxa"/>
            <w:noWrap w:val="0"/>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w:t>
            </w:r>
            <w:r>
              <w:rPr>
                <w:rFonts w:hint="eastAsia" w:ascii="楷体" w:hAnsi="楷体" w:eastAsia="楷体" w:cs="宋体"/>
                <w:spacing w:val="-2"/>
                <w:sz w:val="18"/>
                <w:szCs w:val="18"/>
                <w:highlight w:val="none"/>
              </w:rPr>
              <w:t>亿份。超过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eepNext w:val="0"/>
              <w:keepLines w:val="0"/>
              <w:pageBreakBefore w:val="0"/>
              <w:widowControl w:val="0"/>
              <w:kinsoku w:val="0"/>
              <w:wordWrap/>
              <w:overflowPunct w:val="0"/>
              <w:topLinePunct w:val="0"/>
              <w:autoSpaceDE w:val="0"/>
              <w:autoSpaceDN w:val="0"/>
              <w:bidi w:val="0"/>
              <w:adjustRightInd w:val="0"/>
              <w:ind w:right="65" w:rightChars="31"/>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6920" w:type="dxa"/>
            <w:noWrap w:val="0"/>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2"/>
              <w:jc w:val="left"/>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6920" w:type="dxa"/>
            <w:noWrap w:val="0"/>
            <w:vAlign w:val="center"/>
          </w:tcPr>
          <w:p>
            <w:pPr>
              <w:jc w:val="left"/>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本产品单个开放日投资者净</w:t>
            </w:r>
            <w:r>
              <w:rPr>
                <w:rFonts w:hint="eastAsia" w:ascii="楷体" w:hAnsi="楷体" w:eastAsia="楷体" w:cs="宋体"/>
                <w:spacing w:val="-2"/>
                <w:sz w:val="18"/>
                <w:szCs w:val="18"/>
                <w:highlight w:val="none"/>
                <w:lang w:val="en-US" w:eastAsia="zh-CN"/>
              </w:rPr>
              <w:t>申购</w:t>
            </w:r>
            <w:r>
              <w:rPr>
                <w:rFonts w:hint="eastAsia" w:ascii="楷体" w:hAnsi="楷体" w:eastAsia="楷体" w:cs="宋体"/>
                <w:spacing w:val="-2"/>
                <w:sz w:val="18"/>
                <w:szCs w:val="18"/>
                <w:highlight w:val="none"/>
              </w:rPr>
              <w:t>额（申购申请份额总数扣除赎回申请份额总数）超过上一日</w:t>
            </w:r>
            <w:r>
              <w:rPr>
                <w:rFonts w:hint="eastAsia" w:ascii="楷体" w:hAnsi="楷体" w:eastAsia="楷体" w:cs="宋体"/>
                <w:spacing w:val="-2"/>
                <w:sz w:val="18"/>
                <w:szCs w:val="18"/>
                <w:highlight w:val="none"/>
                <w:lang w:val="en-US" w:eastAsia="zh-CN"/>
              </w:rPr>
              <w:t>日终</w:t>
            </w:r>
            <w:r>
              <w:rPr>
                <w:rFonts w:hint="eastAsia" w:ascii="楷体" w:hAnsi="楷体" w:eastAsia="楷体" w:cs="宋体"/>
                <w:spacing w:val="-2"/>
                <w:sz w:val="18"/>
                <w:szCs w:val="18"/>
                <w:highlight w:val="none"/>
              </w:rPr>
              <w:t>份额20%时，即认为发生了巨额申购。</w:t>
            </w:r>
            <w:r>
              <w:rPr>
                <w:rFonts w:hint="eastAsia" w:ascii="楷体" w:hAnsi="楷体" w:eastAsia="楷体" w:cs="宋体"/>
                <w:b/>
                <w:bCs/>
                <w:spacing w:val="-2"/>
                <w:sz w:val="18"/>
                <w:szCs w:val="18"/>
                <w:highlight w:val="none"/>
                <w:u w:val="single"/>
              </w:rPr>
              <w:t>当出现巨额申购时，管理人有权拒绝</w:t>
            </w:r>
            <w:r>
              <w:rPr>
                <w:rFonts w:hint="eastAsia" w:ascii="楷体" w:hAnsi="楷体" w:eastAsia="楷体" w:cs="宋体"/>
                <w:b/>
                <w:bCs/>
                <w:spacing w:val="-2"/>
                <w:sz w:val="18"/>
                <w:szCs w:val="18"/>
                <w:highlight w:val="none"/>
                <w:u w:val="single"/>
                <w:lang w:val="en-US" w:eastAsia="zh-CN"/>
              </w:rPr>
              <w:t>投资者</w:t>
            </w:r>
            <w:r>
              <w:rPr>
                <w:rFonts w:hint="eastAsia" w:ascii="楷体" w:hAnsi="楷体" w:eastAsia="楷体" w:cs="宋体"/>
                <w:b/>
                <w:bCs/>
                <w:spacing w:val="-2"/>
                <w:sz w:val="18"/>
                <w:szCs w:val="18"/>
                <w:highlight w:val="none"/>
                <w:u w:val="single"/>
              </w:rPr>
              <w:t>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tcBorders>
              <w:bottom w:val="single" w:color="auto" w:sz="4" w:space="0"/>
            </w:tcBorders>
            <w:noWrap w:val="0"/>
            <w:vAlign w:val="center"/>
          </w:tcPr>
          <w:p>
            <w:pPr>
              <w:pStyle w:val="35"/>
              <w:kinsoku w:val="0"/>
              <w:overflowPunct w:val="0"/>
              <w:spacing w:before="12"/>
              <w:ind w:left="2"/>
              <w:jc w:val="left"/>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6920" w:type="dxa"/>
            <w:tcBorders>
              <w:bottom w:val="single" w:color="auto" w:sz="4" w:space="0"/>
            </w:tcBorders>
            <w:noWrap w:val="0"/>
            <w:vAlign w:val="center"/>
          </w:tcPr>
          <w:p>
            <w:pPr>
              <w:ind w:right="115" w:rightChars="55"/>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个开放日投资者净赎回额（赎回申请份额总数扣除申购申请份额总数）超过上一日日终份额10%时，即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jc w:val="both"/>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w:t>
            </w:r>
            <w:r>
              <w:rPr>
                <w:rFonts w:hint="eastAsia" w:ascii="楷体" w:hAnsi="楷体" w:eastAsia="楷体" w:cs="宋体"/>
                <w:b w:val="0"/>
                <w:bCs/>
                <w:spacing w:val="-2"/>
                <w:sz w:val="18"/>
                <w:szCs w:val="18"/>
                <w:highlight w:val="none"/>
                <w:u w:val="none"/>
                <w:lang w:eastAsia="zh-CN"/>
              </w:rPr>
              <w:t>管理人</w:t>
            </w:r>
            <w:r>
              <w:rPr>
                <w:rFonts w:hint="eastAsia" w:ascii="楷体" w:hAnsi="楷体" w:eastAsia="楷体" w:cs="宋体"/>
                <w:b w:val="0"/>
                <w:bCs/>
                <w:spacing w:val="-2"/>
                <w:sz w:val="18"/>
                <w:szCs w:val="18"/>
                <w:highlight w:val="none"/>
                <w:u w:val="none"/>
              </w:rPr>
              <w:t>有能力兑付投资者的全部赎回申请时，将在申请确认日按投资者申请赎回份额执行正常赎回程序。</w:t>
            </w:r>
          </w:p>
          <w:p>
            <w:pPr>
              <w:jc w:val="both"/>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b w:val="0"/>
                <w:bCs/>
                <w:spacing w:val="-2"/>
                <w:sz w:val="18"/>
                <w:szCs w:val="18"/>
                <w:highlight w:val="none"/>
                <w:u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b w:val="0"/>
                <w:bCs/>
                <w:spacing w:val="-2"/>
                <w:sz w:val="18"/>
                <w:szCs w:val="18"/>
                <w:highlight w:val="none"/>
                <w:u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示例：某投资者当日申请赎回份额5万份，当日全部赎回申请10000万份，假设前一日日终总份额50000万份，发生巨额赎回，管理人当日办理的赎回份额5000万份，则该投资者当日确认办理的份额为5/10000*5000=2.5万份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ind w:right="73" w:rightChars="35"/>
              <w:jc w:val="both"/>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pStyle w:val="35"/>
              <w:spacing w:before="12"/>
              <w:ind w:right="44" w:rightChars="21"/>
              <w:rPr>
                <w:rFonts w:hint="eastAsia" w:ascii="楷体" w:hAnsi="楷体" w:eastAsia="楷体" w:cs="宋体"/>
                <w:b/>
                <w:spacing w:val="-2"/>
                <w:kern w:val="2"/>
                <w:sz w:val="18"/>
                <w:szCs w:val="18"/>
                <w:highlight w:val="none"/>
                <w:u w:val="single"/>
                <w:lang w:val="en-US" w:eastAsia="zh-CN" w:bidi="ar-SA"/>
              </w:rPr>
            </w:pPr>
            <w:r>
              <w:rPr>
                <w:rFonts w:hint="eastAsia" w:ascii="楷体" w:hAnsi="楷体" w:eastAsia="楷体" w:cs="宋体"/>
                <w:b w:val="0"/>
                <w:bCs/>
                <w:spacing w:val="-2"/>
                <w:sz w:val="18"/>
                <w:szCs w:val="18"/>
                <w:highlight w:val="none"/>
                <w:u w:val="none"/>
                <w:lang w:val="en-US" w:eastAsia="zh-CN"/>
              </w:rPr>
              <w:t>3.</w:t>
            </w:r>
            <w:r>
              <w:rPr>
                <w:rFonts w:hint="eastAsia" w:ascii="楷体" w:hAnsi="楷体" w:eastAsia="楷体" w:cs="宋体"/>
                <w:b w:val="0"/>
                <w:bCs/>
                <w:spacing w:val="-2"/>
                <w:sz w:val="18"/>
                <w:szCs w:val="18"/>
                <w:highlight w:val="none"/>
                <w:u w:val="none"/>
              </w:rPr>
              <w:t>延缓支付赎回款项</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rPr>
              <w:t>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8"/>
              <w:ind w:left="4"/>
              <w:jc w:val="left"/>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5"/>
              <w:kinsoku w:val="0"/>
              <w:overflowPunct w:val="0"/>
              <w:spacing w:before="18"/>
              <w:ind w:left="4"/>
              <w:jc w:val="left"/>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6920" w:type="dxa"/>
            <w:noWrap w:val="0"/>
            <w:vAlign w:val="center"/>
          </w:tcPr>
          <w:p>
            <w:pPr>
              <w:pStyle w:val="35"/>
              <w:keepNext w:val="0"/>
              <w:keepLines w:val="0"/>
              <w:pageBreakBefore w:val="0"/>
              <w:widowControl w:val="0"/>
              <w:numPr>
                <w:ilvl w:val="0"/>
                <w:numId w:val="0"/>
              </w:numPr>
              <w:kinsoku w:val="0"/>
              <w:wordWrap/>
              <w:overflowPunct w:val="0"/>
              <w:topLinePunct w:val="0"/>
              <w:bidi w:val="0"/>
              <w:snapToGrid/>
              <w:spacing w:line="240" w:lineRule="auto"/>
              <w:ind w:left="21" w:leftChars="10" w:right="71" w:rightChars="34"/>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w:t>
            </w:r>
            <w:r>
              <w:rPr>
                <w:rFonts w:hint="eastAsia" w:ascii="楷体" w:hAnsi="楷体" w:eastAsia="楷体" w:cs="宋体"/>
                <w:b/>
                <w:bCs/>
                <w:spacing w:val="-2"/>
                <w:sz w:val="18"/>
                <w:szCs w:val="18"/>
                <w:highlight w:val="none"/>
                <w:u w:val="single"/>
                <w:lang w:val="en-US" w:eastAsia="zh-CN"/>
              </w:rPr>
              <w:t>货币市场工具、债券</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5"/>
              <w:keepNext w:val="0"/>
              <w:keepLines w:val="0"/>
              <w:pageBreakBefore w:val="0"/>
              <w:widowControl w:val="0"/>
              <w:numPr>
                <w:ilvl w:val="0"/>
                <w:numId w:val="0"/>
              </w:numPr>
              <w:kinsoku w:val="0"/>
              <w:wordWrap/>
              <w:overflowPunct w:val="0"/>
              <w:topLinePunct w:val="0"/>
              <w:bidi w:val="0"/>
              <w:snapToGrid/>
              <w:spacing w:line="240" w:lineRule="auto"/>
              <w:ind w:left="21" w:leftChars="10" w:right="71" w:rightChars="34"/>
              <w:jc w:val="both"/>
              <w:textAlignment w:val="auto"/>
              <w:rPr>
                <w:rFonts w:hint="default" w:ascii="楷体" w:hAnsi="楷体" w:eastAsia="楷体" w:cs="宋体"/>
                <w:b/>
                <w:bCs/>
                <w:spacing w:val="-2"/>
                <w:sz w:val="18"/>
                <w:szCs w:val="18"/>
                <w:highlight w:val="none"/>
                <w:u w:val="single"/>
                <w:lang w:val="en-US"/>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eastAsia="zh-CN"/>
              </w:rPr>
              <w:t>各类份额</w:t>
            </w:r>
            <w:r>
              <w:rPr>
                <w:rFonts w:hint="eastAsia" w:ascii="楷体" w:hAnsi="楷体" w:eastAsia="楷体" w:cs="宋体"/>
                <w:b/>
                <w:bCs/>
                <w:spacing w:val="-2"/>
                <w:sz w:val="18"/>
                <w:szCs w:val="18"/>
                <w:highlight w:val="none"/>
                <w:u w:val="single"/>
                <w:lang w:val="en-US" w:eastAsia="zh-CN"/>
              </w:rPr>
              <w:t>可能</w:t>
            </w:r>
            <w:r>
              <w:rPr>
                <w:rFonts w:hint="eastAsia" w:ascii="楷体" w:hAnsi="楷体" w:eastAsia="楷体" w:cs="宋体"/>
                <w:b/>
                <w:bCs/>
                <w:spacing w:val="-2"/>
                <w:sz w:val="18"/>
                <w:szCs w:val="18"/>
                <w:highlight w:val="none"/>
                <w:u w:val="single"/>
              </w:rPr>
              <w:t>因收取的销售服务费和投资管理费存在差异，业绩比较基准设置有所不同。</w:t>
            </w:r>
            <w:r>
              <w:rPr>
                <w:rFonts w:hint="eastAsia" w:ascii="楷体" w:hAnsi="楷体" w:eastAsia="楷体" w:cs="宋体"/>
                <w:spacing w:val="-2"/>
                <w:kern w:val="0"/>
                <w:sz w:val="18"/>
                <w:szCs w:val="18"/>
                <w:highlight w:val="none"/>
                <w:lang w:val="en-US" w:eastAsia="zh-CN" w:bidi="ar-SA"/>
              </w:rPr>
              <w:t>各类份额业绩比较基准如下：F份额</w:t>
            </w:r>
            <w:r>
              <w:rPr>
                <w:rFonts w:hint="default" w:ascii="楷体" w:hAnsi="楷体" w:eastAsia="楷体" w:cs="宋体"/>
                <w:spacing w:val="-2"/>
                <w:kern w:val="0"/>
                <w:sz w:val="18"/>
                <w:szCs w:val="18"/>
                <w:highlight w:val="none"/>
                <w:lang w:val="en-US" w:eastAsia="zh-CN" w:bidi="ar-SA"/>
              </w:rPr>
              <w:t>1.60%-2.50%</w:t>
            </w:r>
            <w:r>
              <w:rPr>
                <w:rFonts w:hint="eastAsia" w:ascii="楷体" w:hAnsi="楷体" w:eastAsia="楷体" w:cs="宋体"/>
                <w:spacing w:val="-2"/>
                <w:kern w:val="0"/>
                <w:sz w:val="18"/>
                <w:szCs w:val="18"/>
                <w:highlight w:val="none"/>
                <w:lang w:val="en-US" w:eastAsia="zh-CN" w:bidi="ar-SA"/>
              </w:rPr>
              <w:t>；G份额</w:t>
            </w:r>
            <w:r>
              <w:rPr>
                <w:rFonts w:hint="default" w:ascii="楷体" w:hAnsi="楷体" w:eastAsia="楷体" w:cs="宋体"/>
                <w:spacing w:val="-2"/>
                <w:kern w:val="0"/>
                <w:sz w:val="18"/>
                <w:szCs w:val="18"/>
                <w:highlight w:val="none"/>
                <w:lang w:val="en-US" w:eastAsia="zh-CN" w:bidi="ar-SA"/>
              </w:rPr>
              <w:t>1.70%-2.60%</w:t>
            </w:r>
            <w:r>
              <w:rPr>
                <w:rFonts w:hint="eastAsia" w:ascii="楷体" w:hAnsi="楷体" w:eastAsia="楷体" w:cs="宋体"/>
                <w:spacing w:val="-2"/>
                <w:kern w:val="0"/>
                <w:sz w:val="18"/>
                <w:szCs w:val="18"/>
                <w:highlight w:val="none"/>
                <w:lang w:val="en-US" w:eastAsia="zh-CN" w:bidi="ar-SA"/>
              </w:rPr>
              <w:t>；W份额</w:t>
            </w:r>
            <w:r>
              <w:rPr>
                <w:rFonts w:hint="default" w:ascii="楷体" w:hAnsi="楷体" w:eastAsia="楷体" w:cs="宋体"/>
                <w:spacing w:val="-2"/>
                <w:kern w:val="0"/>
                <w:sz w:val="18"/>
                <w:szCs w:val="18"/>
                <w:highlight w:val="none"/>
                <w:lang w:val="en-US" w:eastAsia="zh-CN" w:bidi="ar-SA"/>
              </w:rPr>
              <w:t>1.60%-2.50%</w:t>
            </w:r>
            <w:r>
              <w:rPr>
                <w:rFonts w:hint="eastAsia" w:ascii="楷体" w:hAnsi="楷体" w:eastAsia="楷体" w:cs="宋体"/>
                <w:spacing w:val="-2"/>
                <w:kern w:val="0"/>
                <w:sz w:val="18"/>
                <w:szCs w:val="18"/>
                <w:highlight w:val="none"/>
                <w:lang w:val="en-US" w:eastAsia="zh-CN" w:bidi="ar-SA"/>
              </w:rPr>
              <w:t>。</w:t>
            </w:r>
          </w:p>
          <w:p>
            <w:pPr>
              <w:keepNext w:val="0"/>
              <w:keepLines w:val="0"/>
              <w:pageBreakBefore w:val="0"/>
              <w:widowControl w:val="0"/>
              <w:wordWrap/>
              <w:topLinePunct w:val="0"/>
              <w:bidi w:val="0"/>
              <w:snapToGrid/>
              <w:spacing w:line="240" w:lineRule="auto"/>
              <w:ind w:left="21" w:leftChars="10" w:right="71" w:rightChars="34"/>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pStyle w:val="35"/>
              <w:kinsoku w:val="0"/>
              <w:overflowPunct w:val="0"/>
              <w:spacing w:before="37" w:line="273" w:lineRule="auto"/>
              <w:ind w:right="44" w:rightChars="21"/>
              <w:rPr>
                <w:rFonts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97" w:type="dxa"/>
            <w:noWrap w:val="0"/>
            <w:vAlign w:val="center"/>
          </w:tcPr>
          <w:p>
            <w:pPr>
              <w:pStyle w:val="35"/>
              <w:kinsoku w:val="0"/>
              <w:overflowPunct w:val="0"/>
              <w:spacing w:before="18"/>
              <w:ind w:left="4"/>
              <w:jc w:val="left"/>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6920" w:type="dxa"/>
            <w:noWrap w:val="0"/>
            <w:vAlign w:val="center"/>
          </w:tcPr>
          <w:p>
            <w:pPr>
              <w:keepNext w:val="0"/>
              <w:keepLines w:val="0"/>
              <w:pageBreakBefore w:val="0"/>
              <w:widowControl w:val="0"/>
              <w:wordWrap/>
              <w:topLinePunct w:val="0"/>
              <w:bidi w:val="0"/>
              <w:snapToGrid/>
              <w:spacing w:line="240" w:lineRule="auto"/>
              <w:ind w:left="21" w:leftChars="10" w:right="71" w:rightChars="34"/>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本产品费用包括托管费、销售服务费、投资管理费、超额业绩报酬（如有）以及产品运作和清算中产生的其他费用等</w:t>
            </w:r>
            <w:r>
              <w:rPr>
                <w:rFonts w:hint="eastAsia" w:ascii="楷体" w:hAnsi="楷体" w:eastAsia="楷体" w:cs="宋体"/>
                <w:color w:val="auto"/>
                <w:spacing w:val="-2"/>
                <w:sz w:val="18"/>
                <w:szCs w:val="18"/>
                <w:highlight w:val="none"/>
                <w:lang w:val="en-US" w:eastAsia="zh-CN"/>
              </w:rPr>
              <w:t>。</w:t>
            </w:r>
          </w:p>
          <w:p>
            <w:pPr>
              <w:keepNext w:val="0"/>
              <w:keepLines w:val="0"/>
              <w:pageBreakBefore w:val="0"/>
              <w:widowControl w:val="0"/>
              <w:wordWrap/>
              <w:topLinePunct w:val="0"/>
              <w:bidi w:val="0"/>
              <w:snapToGrid/>
              <w:spacing w:line="240" w:lineRule="auto"/>
              <w:ind w:left="21" w:leftChars="10" w:right="71" w:rightChars="34"/>
              <w:textAlignment w:val="auto"/>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rPr>
              <w:t>1.托管费率</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年化）</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0.02</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eastAsia="zh-CN"/>
              </w:rPr>
              <w:t>。</w:t>
            </w:r>
          </w:p>
          <w:p>
            <w:pPr>
              <w:keepNext w:val="0"/>
              <w:keepLines w:val="0"/>
              <w:pageBreakBefore w:val="0"/>
              <w:widowControl w:val="0"/>
              <w:wordWrap/>
              <w:topLinePunct w:val="0"/>
              <w:bidi w:val="0"/>
              <w:snapToGrid/>
              <w:spacing w:line="240" w:lineRule="auto"/>
              <w:ind w:left="21" w:leftChars="10" w:right="71" w:rightChars="34"/>
              <w:textAlignment w:val="auto"/>
              <w:rPr>
                <w:rFonts w:hint="default" w:ascii="楷体" w:hAnsi="楷体" w:eastAsia="楷体" w:cs="宋体"/>
                <w:color w:val="auto"/>
                <w:spacing w:val="-2"/>
                <w:sz w:val="18"/>
                <w:szCs w:val="18"/>
                <w:highlight w:val="none"/>
                <w:lang w:val="en-US"/>
              </w:rPr>
            </w:pPr>
            <w:r>
              <w:rPr>
                <w:rFonts w:hint="eastAsia" w:ascii="楷体" w:hAnsi="楷体" w:eastAsia="楷体" w:cs="宋体"/>
                <w:color w:val="auto"/>
                <w:spacing w:val="-2"/>
                <w:sz w:val="18"/>
                <w:szCs w:val="18"/>
                <w:highlight w:val="none"/>
              </w:rPr>
              <w:t>2.销售服务费率</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年化）</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0.20%。</w:t>
            </w:r>
          </w:p>
          <w:p>
            <w:pPr>
              <w:keepNext w:val="0"/>
              <w:keepLines w:val="0"/>
              <w:pageBreakBefore w:val="0"/>
              <w:widowControl w:val="0"/>
              <w:wordWrap/>
              <w:topLinePunct w:val="0"/>
              <w:bidi w:val="0"/>
              <w:snapToGrid/>
              <w:spacing w:line="240" w:lineRule="auto"/>
              <w:ind w:left="21" w:leftChars="10" w:right="71" w:rightChars="34"/>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3.投资管理费率</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年化）</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F份额0.60%，G份额0.50%，W份额0.60%。</w:t>
            </w:r>
          </w:p>
          <w:p>
            <w:pPr>
              <w:keepNext w:val="0"/>
              <w:keepLines w:val="0"/>
              <w:pageBreakBefore w:val="0"/>
              <w:widowControl w:val="0"/>
              <w:wordWrap/>
              <w:topLinePunct w:val="0"/>
              <w:bidi w:val="0"/>
              <w:snapToGrid/>
              <w:spacing w:line="240" w:lineRule="auto"/>
              <w:ind w:left="21" w:leftChars="10" w:right="71" w:rightChars="34"/>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val="en-US" w:eastAsia="zh-CN"/>
              </w:rPr>
              <w:t>暂无</w:t>
            </w:r>
          </w:p>
          <w:p>
            <w:pPr>
              <w:ind w:right="73" w:rightChars="35"/>
              <w:rPr>
                <w:rFonts w:hint="eastAsia" w:ascii="楷体" w:hAnsi="楷体" w:eastAsia="楷体" w:cs="宋体"/>
                <w:b/>
                <w:bCs/>
                <w:color w:val="auto"/>
                <w:spacing w:val="-2"/>
                <w:sz w:val="18"/>
                <w:szCs w:val="18"/>
                <w:highlight w:val="none"/>
                <w:u w:val="single"/>
              </w:rPr>
            </w:pPr>
            <w:r>
              <w:rPr>
                <w:rFonts w:hint="eastAsia" w:ascii="楷体" w:hAnsi="楷体" w:eastAsia="楷体" w:cs="宋体"/>
                <w:b/>
                <w:bCs/>
                <w:color w:val="auto"/>
                <w:spacing w:val="-2"/>
                <w:sz w:val="18"/>
                <w:szCs w:val="18"/>
                <w:highlight w:val="none"/>
                <w:u w:val="single"/>
              </w:rPr>
              <w:t>本产品设置</w:t>
            </w:r>
            <w:r>
              <w:rPr>
                <w:rFonts w:hint="eastAsia" w:ascii="楷体" w:hAnsi="楷体" w:eastAsia="楷体" w:cs="宋体"/>
                <w:b/>
                <w:bCs/>
                <w:color w:val="auto"/>
                <w:spacing w:val="-2"/>
                <w:sz w:val="18"/>
                <w:szCs w:val="18"/>
                <w:highlight w:val="none"/>
                <w:u w:val="single"/>
                <w:lang w:val="en-US" w:eastAsia="zh-CN"/>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ind w:right="73" w:rightChars="35"/>
              <w:rPr>
                <w:rFonts w:ascii="楷体" w:hAnsi="楷体" w:eastAsia="楷体"/>
                <w:sz w:val="18"/>
                <w:szCs w:val="18"/>
                <w:highlight w:val="none"/>
              </w:rPr>
            </w:pPr>
            <w:r>
              <w:rPr>
                <w:rFonts w:hint="eastAsia" w:ascii="楷体" w:hAnsi="楷体" w:eastAsia="楷体" w:cs="宋体"/>
                <w:b/>
                <w:bCs/>
                <w:color w:val="auto"/>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color w:val="auto"/>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4" w:hRule="atLeast"/>
          <w:jc w:val="center"/>
        </w:trPr>
        <w:tc>
          <w:tcPr>
            <w:tcW w:w="2197" w:type="dxa"/>
            <w:noWrap w:val="0"/>
            <w:vAlign w:val="center"/>
          </w:tcPr>
          <w:p>
            <w:pPr>
              <w:pStyle w:val="35"/>
              <w:kinsoku w:val="0"/>
              <w:overflowPunct w:val="0"/>
              <w:spacing w:before="18"/>
              <w:jc w:val="both"/>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6920" w:type="dxa"/>
            <w:noWrap w:val="0"/>
            <w:vAlign w:val="center"/>
          </w:tcPr>
          <w:p>
            <w:pPr>
              <w:ind w:right="73" w:rightChars="35"/>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97" w:type="dxa"/>
            <w:noWrap w:val="0"/>
            <w:vAlign w:val="center"/>
          </w:tcPr>
          <w:p>
            <w:pPr>
              <w:pStyle w:val="35"/>
              <w:kinsoku w:val="0"/>
              <w:overflowPunct w:val="0"/>
              <w:spacing w:before="18"/>
              <w:ind w:left="55" w:leftChars="0"/>
              <w:jc w:val="both"/>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税款</w:t>
            </w:r>
          </w:p>
        </w:tc>
        <w:tc>
          <w:tcPr>
            <w:tcW w:w="6920" w:type="dxa"/>
            <w:noWrap w:val="0"/>
            <w:vAlign w:val="center"/>
          </w:tcPr>
          <w:p>
            <w:pPr>
              <w:ind w:right="73" w:rightChars="35"/>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numPr>
          <w:ilvl w:val="0"/>
          <w:numId w:val="2"/>
        </w:numPr>
        <w:tabs>
          <w:tab w:val="left" w:pos="1134"/>
        </w:tabs>
        <w:ind w:firstLine="422" w:firstLineChars="200"/>
        <w:outlineLvl w:val="1"/>
        <w:rPr>
          <w:rFonts w:hint="eastAsia" w:ascii="楷体" w:hAnsi="楷体" w:eastAsia="楷体"/>
          <w:b/>
          <w:bCs/>
          <w:sz w:val="21"/>
          <w:szCs w:val="21"/>
          <w:highlight w:val="none"/>
        </w:rPr>
      </w:pPr>
      <w:r>
        <w:rPr>
          <w:rFonts w:hint="eastAsia" w:ascii="楷体" w:hAnsi="楷体" w:eastAsia="楷体"/>
          <w:b/>
          <w:bCs/>
          <w:sz w:val="21"/>
          <w:szCs w:val="21"/>
          <w:highlight w:val="none"/>
        </w:rPr>
        <w:t>产品管理人</w:t>
      </w:r>
    </w:p>
    <w:p>
      <w:pPr>
        <w:numPr>
          <w:ilvl w:val="0"/>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tabs>
          <w:tab w:val="left" w:pos="728"/>
        </w:tabs>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shd w:val="clear" w:color="auto" w:fill="auto"/>
        <w:tabs>
          <w:tab w:val="left" w:pos="1134"/>
        </w:tabs>
        <w:ind w:firstLine="422" w:firstLineChars="200"/>
        <w:outlineLvl w:val="1"/>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产品托管人</w:t>
      </w:r>
    </w:p>
    <w:p>
      <w:pPr>
        <w:pStyle w:val="2"/>
        <w:keepNext w:val="0"/>
        <w:keepLines w:val="0"/>
        <w:pageBreakBefore w:val="0"/>
        <w:widowControl w:val="0"/>
        <w:kinsoku/>
        <w:wordWrap/>
        <w:overflowPunct/>
        <w:topLinePunct w:val="0"/>
        <w:autoSpaceDE w:val="0"/>
        <w:autoSpaceDN w:val="0"/>
        <w:bidi w:val="0"/>
        <w:adjustRightInd w:val="0"/>
        <w:snapToGrid/>
        <w:spacing w:before="0"/>
        <w:ind w:left="0" w:leftChars="0"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val="en-US"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firstLine="422" w:firstLineChars="200"/>
        <w:outlineLvl w:val="1"/>
        <w:rPr>
          <w:rFonts w:hint="eastAsia" w:ascii="楷体" w:hAnsi="楷体" w:eastAsia="楷体"/>
          <w:b/>
          <w:bCs/>
          <w:sz w:val="21"/>
          <w:szCs w:val="21"/>
          <w:highlight w:val="none"/>
        </w:rPr>
      </w:pPr>
      <w:r>
        <w:rPr>
          <w:rFonts w:hint="eastAsia" w:ascii="楷体" w:hAnsi="楷体" w:eastAsia="楷体"/>
          <w:b/>
          <w:bCs/>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苏银理财有限责任公司/苏州银行股份有限公司/浙江桐庐农村商业银行股份有限公司/广东南粤银行股份有限公司/兴业银行股份有限公司/浙江桐乡农村商业银行股份有限公司/山西银行股份有限公司/甘肃银行股份有限公司/浙江海宁农村商业银行股份有限公司/浙江平湖农村商业银行股份有限公司/浙江苍南农村商业银行股份有限公司/浙江岱山农村商业银行股份有限公司/金华银行股份有限公司/浙江绍兴瑞丰农村商业银行股份有限公司/莱商银行股份有限公司/浙江永嘉农村商业银行股份有限公司/东营银行股份有限公司/浙商银行股份有限公司/浙江富阳农村商业银行股份有限公司/浙江长兴农村商业银行股份有限公司/江苏江南农村商业银行股份有限公司/浙江嘉善农村商业银行股份有限公司/温州银行股份有限公司/潍坊银行股份有限公司/杭州联合农村商业银行股份有限公司/深圳农村商业银行股份有限公司/郑州银行股份有限公司/宁波通商银行股份有限公司/交通银行股份有限公司/宁波余姚农村商业银行股份有限公司/北京农村商业银行股份有限公司/广州农村商业银行股份有限公司/华侨银行有限公司/浙江淳安农村商业银行股份有限公司/浙江瑞安农村商业银行股份有限公司/浙江温州龙湾农村商业银行股份有限公司/浙江新昌农村商业银行股份有限公司/河北银行股份有限公司/浙江文成农村商业银行股份有限公司/福建海峡银行股份有限公司/浙江上虞农村商业银行股份有限公司/中邮邮惠万家银行有限责任公司/嘉兴银行股份有限公司/日照银行股份有限公司/湖州吴兴农村商业银行股份有限公司/浙江台州路桥农村商业银行股份有限公司/浙江武义农村商业银行股份有限公司/浙江舟山定海海洋农村商业银行股份有限公司/浙江禾城农村商业银行股份有限公司/柳州银行股份有限公司/浙江江山农村商业银行股份有限公司/广西北部湾银行股份有限公司/浙江德清农村商业银行股份有限公司</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广州农村商业银行股份有限公司/珠海华润银行股份有限公司/兴业银行股份有限公司/上海农村商业银行股份有限公司/宁波通商银行股份有限公司/厦门国际银行股份有限公司/深圳农村商业银行股份有限公司/杭州联合农村商业银行股份有限公司/山西银行股份有限公司/苏州银行股份有限公司</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W份额：浙江网商银行股份有限公司</w:t>
      </w:r>
    </w:p>
    <w:p>
      <w:pPr>
        <w:numPr>
          <w:ilvl w:val="0"/>
          <w:numId w:val="2"/>
        </w:numPr>
        <w:shd w:val="clear" w:color="auto" w:fill="auto"/>
        <w:tabs>
          <w:tab w:val="left" w:pos="1134"/>
        </w:tabs>
        <w:ind w:firstLine="422" w:firstLineChars="200"/>
        <w:outlineLvl w:val="1"/>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4"/>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产品份额累计净值：指理财产品份额的单位净值与理财产品成立后历次累计单位收益分配的总和。</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numPr>
          <w:ilvl w:val="0"/>
          <w:numId w:val="0"/>
        </w:numPr>
        <w:tabs>
          <w:tab w:val="left" w:pos="851"/>
        </w:tabs>
        <w:ind w:firstLine="420" w:firstLineChars="200"/>
        <w:rPr>
          <w:rFonts w:hint="eastAsia" w:ascii="楷体" w:hAnsi="楷体" w:eastAsia="楷体" w:cs="Calibri"/>
          <w:sz w:val="21"/>
          <w:szCs w:val="21"/>
          <w:highlight w:val="none"/>
        </w:rPr>
      </w:pPr>
      <w:r>
        <w:rPr>
          <w:rFonts w:hint="eastAsia" w:ascii="楷体" w:hAnsi="楷体" w:eastAsia="楷体" w:cs="Calibri"/>
          <w:kern w:val="2"/>
          <w:sz w:val="21"/>
          <w:szCs w:val="21"/>
          <w:highlight w:val="none"/>
          <w:lang w:val="en-US" w:eastAsia="zh-CN"/>
        </w:rPr>
        <w:t>9.</w:t>
      </w: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4"/>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numPr>
          <w:ilvl w:val="0"/>
          <w:numId w:val="6"/>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numPr>
          <w:ilvl w:val="0"/>
          <w:numId w:val="6"/>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numPr>
          <w:ilvl w:val="0"/>
          <w:numId w:val="6"/>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份额登记日/份额确认日：指管理人对投资者提交的</w:t>
      </w:r>
      <w:r>
        <w:rPr>
          <w:rFonts w:hint="eastAsia" w:ascii="楷体" w:hAnsi="楷体" w:eastAsia="楷体" w:cs="Calibri"/>
          <w:sz w:val="21"/>
          <w:szCs w:val="21"/>
          <w:highlight w:val="none"/>
          <w:lang w:val="en-US" w:eastAsia="zh-CN"/>
        </w:rPr>
        <w:t>购买</w:t>
      </w:r>
      <w:r>
        <w:rPr>
          <w:rFonts w:hint="eastAsia" w:ascii="楷体" w:hAnsi="楷体" w:eastAsia="楷体" w:cs="Calibri"/>
          <w:sz w:val="21"/>
          <w:szCs w:val="21"/>
          <w:highlight w:val="none"/>
        </w:rPr>
        <w:t>申请进行份额登记的日期。</w:t>
      </w:r>
    </w:p>
    <w:p>
      <w:pPr>
        <w:numPr>
          <w:ilvl w:val="0"/>
          <w:numId w:val="6"/>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numPr>
          <w:ilvl w:val="0"/>
          <w:numId w:val="6"/>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numPr>
          <w:ilvl w:val="0"/>
          <w:numId w:val="6"/>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numPr>
          <w:ilvl w:val="0"/>
          <w:numId w:val="2"/>
        </w:numPr>
        <w:tabs>
          <w:tab w:val="left" w:pos="1134"/>
        </w:tabs>
        <w:ind w:firstLine="422" w:firstLineChars="200"/>
        <w:outlineLvl w:val="1"/>
        <w:rPr>
          <w:rFonts w:hint="eastAsia" w:ascii="楷体" w:hAnsi="楷体" w:eastAsia="楷体"/>
          <w:b/>
          <w:bCs/>
          <w:sz w:val="21"/>
          <w:szCs w:val="21"/>
          <w:highlight w:val="none"/>
        </w:rPr>
      </w:pPr>
      <w:r>
        <w:rPr>
          <w:rFonts w:hint="eastAsia" w:ascii="楷体" w:hAnsi="楷体" w:eastAsia="楷体"/>
          <w:b/>
          <w:bCs/>
          <w:sz w:val="21"/>
          <w:szCs w:val="21"/>
          <w:highlight w:val="none"/>
        </w:rPr>
        <w:t>投资管理</w:t>
      </w:r>
    </w:p>
    <w:p>
      <w:pPr>
        <w:numPr>
          <w:ilvl w:val="0"/>
          <w:numId w:val="7"/>
        </w:numPr>
        <w:tabs>
          <w:tab w:val="left" w:pos="993"/>
        </w:tabs>
        <w:ind w:left="0" w:firstLine="422" w:firstLineChars="200"/>
        <w:outlineLvl w:val="2"/>
        <w:rPr>
          <w:rFonts w:ascii="楷体" w:hAnsi="楷体" w:eastAsia="楷体" w:cs="Calibri"/>
          <w:b/>
          <w:bCs/>
          <w:sz w:val="21"/>
          <w:szCs w:val="21"/>
          <w:highlight w:val="none"/>
        </w:rPr>
      </w:pPr>
      <w:r>
        <w:rPr>
          <w:rFonts w:hint="eastAsia" w:ascii="楷体" w:hAnsi="楷体" w:eastAsia="楷体" w:cs="Calibri"/>
          <w:b/>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本理财产品直接或间接投资于货币市场工具类资产、债券类资产、债权类资产和监管机构允许投资的其他资产。具体资产投资比例为：货币市场工具、债券</w:t>
      </w:r>
      <w:bookmarkStart w:id="0" w:name="_GoBack"/>
      <w:bookmarkEnd w:id="0"/>
      <w:r>
        <w:rPr>
          <w:rFonts w:hint="eastAsia" w:ascii="楷体" w:hAnsi="楷体" w:eastAsia="楷体"/>
          <w:sz w:val="21"/>
          <w:szCs w:val="21"/>
          <w:highlight w:val="none"/>
        </w:rPr>
        <w:t>以及符合监管要求的债权类资产占产品资产总值比例为80%-100%；符合监管要求的其他资产占产品资产总值比例0%-20%。</w:t>
      </w:r>
    </w:p>
    <w:p>
      <w:pPr>
        <w:pStyle w:val="2"/>
        <w:keepNext w:val="0"/>
        <w:keepLines w:val="0"/>
        <w:pageBreakBefore w:val="0"/>
        <w:widowControl w:val="0"/>
        <w:kinsoku/>
        <w:wordWrap/>
        <w:overflowPunct/>
        <w:topLinePunct w:val="0"/>
        <w:autoSpaceDE w:val="0"/>
        <w:autoSpaceDN w:val="0"/>
        <w:bidi w:val="0"/>
        <w:adjustRightInd w:val="0"/>
        <w:snapToGrid/>
        <w:spacing w:before="0"/>
        <w:ind w:left="0" w:leftChars="0" w:firstLine="420" w:firstLineChars="200"/>
        <w:textAlignment w:val="auto"/>
        <w:rPr>
          <w:rFonts w:hint="eastAsia"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其中现金或者到期日在一年以内的国债、中央银行票据和政策性金融债券不低于产品净资产的5%。流动性受限资产的市值在开放日不得超过该产品资产净值的15%。在开放日前一工作日内，7个工作日可变现资产的可变现价值不低于该产品资产净值的10%。每日确认且需当日支付的净赎回申请不超过前一工作日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7"/>
        </w:numPr>
        <w:tabs>
          <w:tab w:val="left" w:pos="993"/>
        </w:tabs>
        <w:ind w:left="0" w:firstLine="422" w:firstLineChars="200"/>
        <w:outlineLvl w:val="1"/>
        <w:rPr>
          <w:rFonts w:hint="eastAsia" w:ascii="楷体" w:hAnsi="楷体" w:eastAsia="楷体" w:cs="Calibri"/>
          <w:b/>
          <w:sz w:val="21"/>
          <w:szCs w:val="21"/>
          <w:highlight w:val="none"/>
          <w:lang w:val="en-US" w:eastAsia="zh-CN"/>
        </w:rPr>
      </w:pPr>
      <w:r>
        <w:rPr>
          <w:rFonts w:hint="eastAsia" w:ascii="楷体" w:hAnsi="楷体" w:eastAsia="楷体" w:cs="Calibri"/>
          <w:b/>
          <w:sz w:val="21"/>
          <w:szCs w:val="21"/>
          <w:highlight w:val="none"/>
          <w:lang w:val="en-US" w:eastAsia="zh-CN"/>
        </w:rPr>
        <w:t>投资合作机构</w:t>
      </w:r>
    </w:p>
    <w:p>
      <w:p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（1）苏豪</w:t>
      </w:r>
      <w:r>
        <w:rPr>
          <w:rFonts w:hint="eastAsia" w:ascii="楷体" w:hAnsi="楷体" w:eastAsia="楷体"/>
          <w:color w:val="auto"/>
          <w:sz w:val="21"/>
          <w:szCs w:val="21"/>
          <w:highlight w:val="none"/>
        </w:rPr>
        <w:t>弘业期货股份有限公司: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r>
        <w:rPr>
          <w:rFonts w:hint="eastAsia" w:ascii="楷体" w:hAnsi="楷体" w:eastAsia="楷体"/>
          <w:color w:val="auto"/>
          <w:sz w:val="21"/>
          <w:szCs w:val="21"/>
          <w:highlight w:val="none"/>
          <w:lang w:val="en-US" w:eastAsia="zh-CN"/>
        </w:rPr>
        <w:t>（2）</w:t>
      </w:r>
      <w:r>
        <w:rPr>
          <w:rFonts w:hint="eastAsia" w:ascii="楷体" w:hAnsi="楷体" w:eastAsia="楷体"/>
          <w:color w:val="auto"/>
          <w:sz w:val="21"/>
          <w:szCs w:val="21"/>
          <w:highlight w:val="none"/>
        </w:rPr>
        <w:t>江苏省国际信托有限责任公司:江苏省国际信托有限责任公司是经江苏省人民政府和中国银行业监督管理委员会批准设立的非银行金融机构，是江苏省国信集团的主要成员企业之一，专业从事金融信托业务。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olor w:val="auto"/>
          <w:sz w:val="21"/>
          <w:szCs w:val="21"/>
          <w:highlight w:val="none"/>
          <w:lang w:val="en-US" w:eastAsia="zh-CN"/>
        </w:rPr>
        <w:t>（3）</w:t>
      </w:r>
      <w:r>
        <w:rPr>
          <w:rFonts w:hint="eastAsia" w:ascii="楷体" w:hAnsi="楷体" w:eastAsia="楷体"/>
          <w:color w:val="auto"/>
          <w:sz w:val="21"/>
          <w:szCs w:val="21"/>
          <w:highlight w:val="none"/>
        </w:rPr>
        <w:t>太平洋资产管理有限责任公司:太平洋资产管理有限责任公司（以下简称“太保资产”）于2006年6月经中国保监会批准成立，由中国太平洋保险（集团）股份有限公司控股，注册资本21亿元。</w:t>
      </w:r>
      <w:r>
        <w:rPr>
          <w:rFonts w:hint="eastAsia" w:ascii="楷体" w:hAnsi="楷体" w:eastAsia="楷体"/>
          <w:color w:val="auto"/>
          <w:sz w:val="21"/>
          <w:szCs w:val="21"/>
          <w:highlight w:val="none"/>
          <w:lang w:val="en-US" w:eastAsia="zh-CN"/>
        </w:rPr>
        <w:t>（4）泰康资产管理有限</w:t>
      </w:r>
      <w:r>
        <w:rPr>
          <w:rFonts w:hint="eastAsia" w:ascii="楷体" w:hAnsi="楷体" w:eastAsia="楷体"/>
          <w:color w:val="auto"/>
          <w:sz w:val="21"/>
          <w:szCs w:val="21"/>
          <w:highlight w:val="none"/>
        </w:rPr>
        <w:t>责任</w:t>
      </w:r>
      <w:r>
        <w:rPr>
          <w:rFonts w:hint="eastAsia" w:ascii="楷体" w:hAnsi="楷体" w:eastAsia="楷体"/>
          <w:color w:val="auto"/>
          <w:sz w:val="21"/>
          <w:szCs w:val="21"/>
          <w:highlight w:val="none"/>
          <w:lang w:val="en-US" w:eastAsia="zh-CN"/>
        </w:rPr>
        <w:t>公司</w:t>
      </w:r>
      <w:r>
        <w:rPr>
          <w:rFonts w:hint="eastAsia" w:ascii="楷体" w:hAnsi="楷体" w:eastAsia="楷体"/>
          <w:color w:val="auto"/>
          <w:sz w:val="21"/>
          <w:szCs w:val="21"/>
          <w:highlight w:val="none"/>
        </w:rPr>
        <w:t>:泰康资产管理有限责任公司成立于2006年</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注册资本10亿元，是泰康保险集团子公司</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截至2021年12月31日，公司管理资产总规模超过27000亿元，其中受托管理的第三方资产总规模近17000亿元，另类投资管理规模超5000亿元</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养老金管理规模超6400亿</w:t>
      </w:r>
      <w:r>
        <w:rPr>
          <w:rFonts w:hint="eastAsia" w:ascii="楷体" w:hAnsi="楷体" w:eastAsia="楷体"/>
          <w:color w:val="auto"/>
          <w:sz w:val="21"/>
          <w:szCs w:val="21"/>
          <w:highlight w:val="none"/>
          <w:lang w:val="en-US" w:eastAsia="zh-CN"/>
        </w:rPr>
        <w:t>元</w:t>
      </w:r>
      <w:r>
        <w:rPr>
          <w:rFonts w:hint="eastAsia" w:ascii="楷体" w:hAnsi="楷体" w:eastAsia="楷体"/>
          <w:color w:val="auto"/>
          <w:sz w:val="21"/>
          <w:szCs w:val="21"/>
          <w:highlight w:val="none"/>
        </w:rPr>
        <w:t>。2022年，泰康资产在“欧洲养老金与投资IPE”发布的“2022全球资管500强”名单中排名全球第75位，中国第5位。</w:t>
      </w:r>
      <w:r>
        <w:rPr>
          <w:rFonts w:hint="eastAsia" w:ascii="楷体" w:hAnsi="楷体" w:eastAsia="楷体"/>
          <w:color w:val="auto"/>
          <w:sz w:val="21"/>
          <w:szCs w:val="21"/>
          <w:highlight w:val="none"/>
          <w:lang w:val="en-US" w:eastAsia="zh-CN"/>
        </w:rPr>
        <w:t>（5）创金合信基金管理有限公司</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创金合信基金管理有限公司，2014年7月成立于中国深圳，股东由第一创业证券股份有限公司以及经营管理层和核心员工持股的投资合伙企业构成，是第一家成立时即实现员工持股的基金公司，截至目前注册资本2.33亿元。（6）太平资产管理有限公司 :</w:t>
      </w:r>
      <w:r>
        <w:rPr>
          <w:rFonts w:hint="eastAsia" w:ascii="楷体" w:hAnsi="楷体" w:eastAsia="楷体"/>
          <w:color w:val="auto"/>
          <w:sz w:val="21"/>
          <w:szCs w:val="21"/>
          <w:highlight w:val="none"/>
        </w:rPr>
        <w:t>太平资产管理有限公司成立于2006年，注册资本10亿元，是中国太平保险集团旗下专业资产管理机构，是国内首批成立的9家保险资产管理公司之一。</w:t>
      </w:r>
      <w:r>
        <w:rPr>
          <w:rFonts w:hint="eastAsia" w:ascii="楷体" w:hAnsi="楷体" w:eastAsia="楷体"/>
          <w:color w:val="auto"/>
          <w:sz w:val="21"/>
          <w:szCs w:val="21"/>
          <w:highlight w:val="none"/>
          <w:lang w:val="en-US" w:eastAsia="zh-CN"/>
        </w:rPr>
        <w:t>（7）中国人保资产管理有限公司:</w:t>
      </w:r>
      <w:r>
        <w:rPr>
          <w:rFonts w:hint="eastAsia" w:ascii="楷体" w:hAnsi="楷体" w:eastAsia="楷体"/>
          <w:color w:val="auto"/>
          <w:sz w:val="21"/>
          <w:szCs w:val="21"/>
          <w:highlight w:val="none"/>
        </w:rPr>
        <w:t>中国人保资产管理有限公司成立于2003年7月16日，是经国务院同意、原中国保监会批准设立的境内第一家保险资产管理公司，由中国人民保险集团股份有限公司发起。</w:t>
      </w:r>
      <w:r>
        <w:rPr>
          <w:rFonts w:hint="eastAsia" w:ascii="楷体" w:hAnsi="楷体" w:eastAsia="楷体"/>
          <w:color w:val="auto"/>
          <w:sz w:val="21"/>
          <w:szCs w:val="21"/>
          <w:highlight w:val="none"/>
          <w:lang w:val="en-US" w:eastAsia="zh-CN"/>
        </w:rPr>
        <w:t>（8）英大保险资产管理有限公司:英大保险资产管理有限公司成立于2015年4月3日，由英大人寿、英大财险和英大集团共同发起设立，于2015年4月3日开业，注册资本金为5.2亿元，注册地为北京市。（9）新华资产管理股份有限公司:新华资产管理股份有限公司成立于2006年5月，是国内首批专业保险资产管理机构，前身为新华人寿保险股份有限公司投资管理中心，控股股东为新华人寿保险股份有限公司。（10）大家资产管理有限责任公司:大家资产管理有限责任公司是大家保险集团旗下专业资产管理公司，公司于2011年5月经原中国保监会批准正式设立，注册资本6亿元人民币，2019年9月18日，经中国银行保险监督管理委员会批准，北京市西城区市场监督管理局核准，名称变更为“大家资产管理有限责任公司”。（11）</w:t>
      </w:r>
      <w:r>
        <w:rPr>
          <w:rFonts w:hint="eastAsia" w:ascii="楷体" w:hAnsi="楷体" w:eastAsia="楷体"/>
          <w:color w:val="auto"/>
          <w:sz w:val="21"/>
          <w:szCs w:val="21"/>
          <w:highlight w:val="none"/>
        </w:rPr>
        <w:t>永诚保险资产管理有限公司</w:t>
      </w:r>
      <w:r>
        <w:rPr>
          <w:rFonts w:hint="eastAsia" w:ascii="楷体" w:hAnsi="楷体" w:eastAsia="楷体"/>
          <w:color w:val="auto"/>
          <w:sz w:val="21"/>
          <w:szCs w:val="21"/>
          <w:highlight w:val="none"/>
          <w:lang w:val="en-US" w:eastAsia="zh-CN"/>
        </w:rPr>
        <w:t>:</w:t>
      </w:r>
      <w:r>
        <w:rPr>
          <w:rFonts w:hint="eastAsia" w:ascii="楷体" w:hAnsi="楷体" w:eastAsia="楷体"/>
          <w:color w:val="auto"/>
          <w:sz w:val="21"/>
          <w:szCs w:val="21"/>
          <w:highlight w:val="none"/>
        </w:rPr>
        <w:t>永诚保险资产管理有限公司（简称“永诚资产”）是由永诚财产保险股份有限公司全资发起组建的保险资产管理公司，公司注册于浙江省宁波市，注册资本金为人民币3亿元。</w:t>
      </w:r>
      <w:r>
        <w:rPr>
          <w:rFonts w:hint="eastAsia" w:ascii="楷体" w:hAnsi="楷体" w:eastAsia="楷体"/>
          <w:color w:val="auto"/>
          <w:sz w:val="21"/>
          <w:szCs w:val="21"/>
          <w:highlight w:val="none"/>
          <w:lang w:val="en-US" w:eastAsia="zh-CN"/>
        </w:rPr>
        <w:t>（12）</w:t>
      </w:r>
      <w:r>
        <w:rPr>
          <w:rFonts w:hint="eastAsia" w:ascii="楷体" w:hAnsi="楷体" w:eastAsia="楷体"/>
          <w:color w:val="auto"/>
          <w:sz w:val="21"/>
          <w:szCs w:val="21"/>
          <w:highlight w:val="none"/>
        </w:rPr>
        <w:t>东方财富证券股份有限公司</w:t>
      </w:r>
      <w:r>
        <w:rPr>
          <w:rFonts w:hint="eastAsia" w:ascii="楷体" w:hAnsi="楷体" w:eastAsia="楷体"/>
          <w:color w:val="auto"/>
          <w:sz w:val="21"/>
          <w:szCs w:val="21"/>
          <w:highlight w:val="none"/>
          <w:lang w:val="en-US" w:eastAsia="zh-CN"/>
        </w:rPr>
        <w:t>:</w:t>
      </w:r>
      <w:r>
        <w:rPr>
          <w:rFonts w:hint="eastAsia" w:ascii="楷体" w:hAnsi="楷体" w:eastAsia="楷体"/>
          <w:color w:val="auto"/>
          <w:sz w:val="21"/>
          <w:szCs w:val="21"/>
          <w:highlight w:val="none"/>
        </w:rPr>
        <w:t>东方财富证券股份有限公司，简称“东方财富证券”，是东方财富信息股份有限公司旗下的持牌证券公司，始终坚持用户第一，注重科技赋能、投研管理建设，旨在为客户提供全方位的财富管理服务。</w:t>
      </w:r>
      <w:r>
        <w:rPr>
          <w:rFonts w:hint="eastAsia" w:ascii="楷体" w:hAnsi="楷体" w:eastAsia="楷体"/>
          <w:color w:val="auto"/>
          <w:sz w:val="21"/>
          <w:szCs w:val="21"/>
          <w:highlight w:val="none"/>
          <w:lang w:val="en-US" w:eastAsia="zh-CN"/>
        </w:rPr>
        <w:t>（13）</w:t>
      </w:r>
      <w:r>
        <w:rPr>
          <w:rFonts w:hint="eastAsia" w:ascii="楷体" w:hAnsi="楷体" w:eastAsia="楷体"/>
          <w:color w:val="auto"/>
          <w:sz w:val="21"/>
          <w:szCs w:val="21"/>
          <w:highlight w:val="none"/>
        </w:rPr>
        <w:t>南华基金管理有限公司:南华基金管理有限公司于2016年10月17日成立，注册资本2.5亿人民币，经营范围为基金募集、基金销售、资产管理、特定客户资产管理和中国证监会许可的其他业务。</w:t>
      </w:r>
      <w:r>
        <w:rPr>
          <w:rFonts w:hint="eastAsia" w:ascii="楷体" w:hAnsi="楷体" w:eastAsia="楷体"/>
          <w:color w:val="auto"/>
          <w:sz w:val="21"/>
          <w:szCs w:val="21"/>
          <w:highlight w:val="none"/>
          <w:lang w:val="en-US" w:eastAsia="zh-CN"/>
        </w:rPr>
        <w:t>（14）</w:t>
      </w:r>
      <w:r>
        <w:rPr>
          <w:rFonts w:hint="eastAsia" w:ascii="楷体" w:hAnsi="楷体" w:eastAsia="楷体"/>
          <w:color w:val="auto"/>
          <w:sz w:val="21"/>
          <w:szCs w:val="21"/>
          <w:highlight w:val="none"/>
        </w:rPr>
        <w:t>华润深国投信托有限公司:华润信托于1982年8月24日成立，原名为深圳市信托投资公司，注册资本人民币 5,813万元。目前，公司注册资本人民币110亿元，华润金控投资有限公司持有公司51%股权，深圳市投资控股有限公司持有公司49%股权。</w:t>
      </w:r>
      <w:r>
        <w:rPr>
          <w:rFonts w:hint="eastAsia" w:ascii="楷体" w:hAnsi="楷体" w:eastAsia="楷体"/>
          <w:color w:val="auto"/>
          <w:sz w:val="21"/>
          <w:szCs w:val="21"/>
          <w:highlight w:val="none"/>
          <w:lang w:val="en-US" w:eastAsia="zh-CN"/>
        </w:rPr>
        <w:t>（15）</w:t>
      </w:r>
      <w:r>
        <w:rPr>
          <w:rFonts w:hint="eastAsia" w:ascii="楷体" w:hAnsi="楷体" w:eastAsia="楷体"/>
          <w:color w:val="auto"/>
          <w:sz w:val="21"/>
          <w:szCs w:val="21"/>
          <w:highlight w:val="none"/>
        </w:rPr>
        <w:t>国联</w:t>
      </w:r>
      <w:r>
        <w:rPr>
          <w:rFonts w:hint="eastAsia" w:ascii="楷体" w:hAnsi="楷体" w:eastAsia="楷体"/>
          <w:color w:val="auto"/>
          <w:sz w:val="21"/>
          <w:szCs w:val="21"/>
          <w:highlight w:val="none"/>
          <w:lang w:val="en-US" w:eastAsia="zh-CN"/>
        </w:rPr>
        <w:t>民生</w:t>
      </w:r>
      <w:r>
        <w:rPr>
          <w:rFonts w:hint="eastAsia" w:ascii="楷体" w:hAnsi="楷体" w:eastAsia="楷体"/>
          <w:color w:val="auto"/>
          <w:sz w:val="21"/>
          <w:szCs w:val="21"/>
          <w:highlight w:val="none"/>
        </w:rPr>
        <w:t>证券股份有限公司:国联民生证券股份有限公司创立于1992年11月，前身为无锡市证券公司,2008年5月通过改制更名为国联证券股份有限公司,2015年7月6日在中国香港联合交易所上市(股票代码:01456),2020年7月31日在上海证券交易所上市(股票代码:601456),2025年2月7日更名为国联民生证券股份有限公司。</w:t>
      </w:r>
      <w:r>
        <w:rPr>
          <w:rFonts w:hint="eastAsia" w:ascii="楷体" w:hAnsi="楷体" w:eastAsia="楷体"/>
          <w:color w:val="auto"/>
          <w:sz w:val="21"/>
          <w:szCs w:val="21"/>
          <w:highlight w:val="none"/>
          <w:lang w:val="en-US" w:eastAsia="zh-CN"/>
        </w:rPr>
        <w:t>（16）鑫元基金管理有限公司</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鑫元基金管理有限公司由南京银行股份有限公司（持股比例80%）发起，与南京高科股份有限公司（持股比例20%）联合组建，于2013年8月成立，是国内首批获准设立的城商行系基金公司。鑫元基金注册资本金2亿元人民币，总部设在上海。（17）陆家嘴国际信托有限公司:陆家嘴国际信托有限公司（简称陆家嘴信托或公司）是上海陆家嘴金融发展有限公司（以下简称“陆金发”）控股的信托机构，注册资本为104亿元。公司注册地为青岛，在部分城市设立业务团队。（18）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19）光大永明资产管理股份有限公司:光大永明资产管理股份有限公司(以下简称“光大永明资产”)于2012年4月11日在北京正式开业,是原中国保监会核准的第十二家保险资产管理公司，目前注册资本金为5亿元人民币。（20）国联证券资产管理有限公司:国联证券资产管理有限公司（以下简称“公司”或“国联证券资管”）为国联民生证券股份有限公司全资子公司，2023年09月20日完成注册登记，2024年05月23日正式揭牌运营。公司注册地在青岛，注册资本100000万元人民币。（21）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22）长城财富保险资产管理股份有限公司: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23）中粮信托有限责任公司:中粮信托有限责任公司，简称“中粮信托”，成立于2009年7月27日，目前公司注册资本28.3095亿元。股东分别为中粮资本投资有限公司、蒙特利尔银行、中粮财务有限责任公司，持股比例为80.51%、16.24%、3.25%，公司经营范围为经营范围包括资金信托、动产信托、不动产信托、有价证券信托、其他财产和财产权信托等。（24）华鑫证券有限责任公司:华鑫证券有限责任公司是经中国证券监督管理委员会批准于2001年3月在深圳注册成立的全国性综合类证券经营机构，注册资本为36亿人民币，控股股东为上海华鑫股份有限公司，业务涵盖证券经纪、证券投资咨询、证券自营、证券资产管理等。（25）紫金信托有限责任公司:紫金信托是江苏省第4家信托公司,其前身是南京市信托投资公司,2010年2月经银监会批准,以南京资金投资控股公司为主导,引入日本住友信托银行、三胞集团、南京高新技术经济开发总公司和江苏金智科技股份有限公司等四家战略投资者重组而成。2010年10月经银监会批准更名为紫金信托有限责任公司。（26）云南国际信托有限公司:云南国际信托有限公司，简称“云南信托”，成立于1997年09月03日，目前注册资本22亿元，股东为云南省国有金融资本控股集团有限公司、涌金实业(集团)有限公司、上海纳米创业投资有限公司，持股比例分别为25%、24.5%、23%。经营范围包括资金信托、动产信托、不动产信托、有价证券信托、其他财产和财产权信托等。（27）中诚信托有限责任公司:中诚信托有限责任公司，简称“中诚信托”，成立于1995年11月20日，目前注册资本48.5亿元，前三大股东分别为中国人民保险集团股份有限公司、国华能源投资有限公司和山东能源集团有限公司，持股比例分别为32.92%、20.35%、10.18%。经营范围包括资金信托；动产信托；不动产信托；有价证券信托；其他财产或财产权信托；作为投资基金或者基金管理公司的发起人从事投资基金业务；经营企业资产的重组、购并及项目融资、公司理财、财务顾问等。</w:t>
      </w:r>
    </w:p>
    <w:p>
      <w:pPr>
        <w:pStyle w:val="2"/>
        <w:keepNext w:val="0"/>
        <w:keepLines w:val="0"/>
        <w:pageBreakBefore w:val="0"/>
        <w:widowControl w:val="0"/>
        <w:kinsoku/>
        <w:wordWrap/>
        <w:overflowPunct/>
        <w:topLinePunct w:val="0"/>
        <w:bidi w:val="0"/>
        <w:snapToGrid/>
        <w:spacing w:before="0" w:line="240" w:lineRule="auto"/>
        <w:ind w:left="0" w:leftChars="0" w:firstLine="420" w:firstLineChars="200"/>
        <w:textAlignment w:val="auto"/>
        <w:rPr>
          <w:rFonts w:hint="eastAsia"/>
          <w:highlight w:val="none"/>
        </w:rPr>
      </w:pPr>
      <w:r>
        <w:rPr>
          <w:rFonts w:hint="eastAsia" w:ascii="楷体" w:hAnsi="楷体" w:eastAsia="楷体"/>
          <w:sz w:val="21"/>
          <w:szCs w:val="21"/>
          <w:highlight w:val="none"/>
        </w:rPr>
        <w:t>产品存续期内合作机构如有变化，管理人将按照监管规定和内部管理制度要求对合作机构进行准入，签署相关协议后，披露新增的投资合作机构。</w:t>
      </w:r>
    </w:p>
    <w:p>
      <w:pPr>
        <w:numPr>
          <w:ilvl w:val="0"/>
          <w:numId w:val="7"/>
        </w:numPr>
        <w:tabs>
          <w:tab w:val="left" w:pos="993"/>
        </w:tabs>
        <w:ind w:left="0" w:firstLine="422" w:firstLineChars="200"/>
        <w:outlineLvl w:val="1"/>
        <w:rPr>
          <w:rFonts w:hint="eastAsia" w:ascii="楷体" w:hAnsi="楷体" w:eastAsia="楷体" w:cs="Calibri"/>
          <w:b/>
          <w:sz w:val="21"/>
          <w:szCs w:val="21"/>
          <w:highlight w:val="none"/>
          <w:lang w:val="en-US" w:eastAsia="zh-CN"/>
        </w:rPr>
      </w:pPr>
      <w:r>
        <w:rPr>
          <w:rFonts w:hint="eastAsia" w:ascii="楷体" w:hAnsi="楷体" w:eastAsia="楷体" w:cs="Calibri"/>
          <w:b/>
          <w:sz w:val="21"/>
          <w:szCs w:val="21"/>
          <w:highlight w:val="none"/>
          <w:lang w:val="en-US" w:eastAsia="zh-CN"/>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lang w:val="en-US" w:eastAsia="zh-CN"/>
        </w:rPr>
        <w:t>7.</w:t>
      </w: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7"/>
        </w:numPr>
        <w:tabs>
          <w:tab w:val="left" w:pos="993"/>
        </w:tabs>
        <w:ind w:left="0" w:firstLine="422" w:firstLineChars="200"/>
        <w:outlineLvl w:val="2"/>
        <w:rPr>
          <w:rFonts w:ascii="楷体" w:hAnsi="楷体" w:eastAsia="楷体" w:cs="Calibri"/>
          <w:b/>
          <w:bCs/>
          <w:sz w:val="21"/>
          <w:szCs w:val="21"/>
          <w:highlight w:val="none"/>
        </w:rPr>
      </w:pPr>
      <w:r>
        <w:rPr>
          <w:rFonts w:hint="eastAsia" w:ascii="楷体" w:hAnsi="楷体" w:eastAsia="楷体" w:cs="Calibri"/>
          <w:b/>
          <w:sz w:val="21"/>
          <w:szCs w:val="21"/>
          <w:highlight w:val="none"/>
        </w:rPr>
        <w:t>投资</w:t>
      </w:r>
      <w:r>
        <w:rPr>
          <w:rFonts w:hint="eastAsia" w:ascii="楷体" w:hAnsi="楷体" w:eastAsia="楷体" w:cs="Calibri"/>
          <w:b/>
          <w:sz w:val="21"/>
          <w:szCs w:val="21"/>
          <w:highlight w:val="none"/>
          <w:lang w:val="en-US" w:eastAsia="zh-CN"/>
        </w:rPr>
        <w:t>管理</w:t>
      </w:r>
      <w:r>
        <w:rPr>
          <w:rFonts w:hint="eastAsia" w:ascii="楷体" w:hAnsi="楷体" w:eastAsia="楷体" w:cs="Calibri"/>
          <w:b/>
          <w:sz w:val="21"/>
          <w:szCs w:val="21"/>
          <w:highlight w:val="none"/>
        </w:rPr>
        <w:t>调整</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若法律法规、国家监管政策或市场情况发生变化，</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在不改变产品类型的情况下，可对本说明书中已约定的投资范围、投资品种、投资比例</w:t>
      </w:r>
      <w:r>
        <w:rPr>
          <w:rFonts w:hint="eastAsia" w:ascii="楷体" w:hAnsi="楷体" w:eastAsia="楷体"/>
          <w:sz w:val="21"/>
          <w:szCs w:val="21"/>
          <w:highlight w:val="none"/>
          <w:lang w:val="en-US" w:eastAsia="zh-CN"/>
        </w:rPr>
        <w:t>等事项</w:t>
      </w:r>
      <w:r>
        <w:rPr>
          <w:rFonts w:hint="eastAsia" w:ascii="楷体" w:hAnsi="楷体" w:eastAsia="楷体"/>
          <w:sz w:val="21"/>
          <w:szCs w:val="21"/>
          <w:highlight w:val="none"/>
        </w:rPr>
        <w:t>进行调整，产品管理人将于调整事项生效前2个工作日通过短信</w:t>
      </w:r>
      <w:r>
        <w:rPr>
          <w:rFonts w:hint="eastAsia" w:ascii="楷体" w:hAnsi="楷体" w:eastAsia="楷体"/>
          <w:sz w:val="21"/>
          <w:szCs w:val="21"/>
          <w:highlight w:val="none"/>
          <w:lang w:eastAsia="zh-CN"/>
        </w:rPr>
        <w:t>、</w:t>
      </w:r>
      <w:r>
        <w:rPr>
          <w:rFonts w:hint="eastAsia" w:ascii="楷体" w:hAnsi="楷体" w:eastAsia="楷体"/>
          <w:sz w:val="21"/>
          <w:szCs w:val="21"/>
          <w:highlight w:val="none"/>
        </w:rPr>
        <w:t>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highlight w:val="none"/>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numPr>
          <w:ilvl w:val="0"/>
          <w:numId w:val="2"/>
        </w:numPr>
        <w:tabs>
          <w:tab w:val="left" w:pos="1134"/>
        </w:tabs>
        <w:ind w:firstLine="422" w:firstLineChars="200"/>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ind w:firstLine="420" w:firstLineChars="200"/>
        <w:rPr>
          <w:rFonts w:ascii="楷体" w:hAnsi="楷体" w:eastAsia="楷体"/>
          <w:b/>
          <w:bCs/>
          <w:sz w:val="21"/>
          <w:szCs w:val="21"/>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numPr>
          <w:ilvl w:val="0"/>
          <w:numId w:val="2"/>
        </w:numPr>
        <w:tabs>
          <w:tab w:val="left" w:pos="1134"/>
        </w:tabs>
        <w:ind w:firstLine="422" w:firstLineChars="200"/>
        <w:outlineLvl w:val="0"/>
        <w:rPr>
          <w:rFonts w:hint="eastAsia" w:ascii="楷体" w:hAnsi="楷体" w:eastAsia="楷体"/>
          <w:b/>
          <w:bCs/>
          <w:sz w:val="21"/>
          <w:szCs w:val="21"/>
          <w:highlight w:val="none"/>
        </w:rPr>
      </w:pPr>
      <w:r>
        <w:rPr>
          <w:rFonts w:hint="eastAsia" w:ascii="楷体" w:hAnsi="楷体" w:eastAsia="楷体"/>
          <w:b/>
          <w:sz w:val="21"/>
          <w:szCs w:val="21"/>
          <w:highlight w:val="none"/>
        </w:rPr>
        <w:t>产品申购、赎回</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开放计划</w:t>
      </w:r>
    </w:p>
    <w:p>
      <w:pPr>
        <w:ind w:firstLine="420" w:firstLineChars="200"/>
        <w:rPr>
          <w:rFonts w:hint="eastAsia" w:ascii="楷体" w:hAnsi="楷体" w:eastAsia="楷体" w:cs="Times New Roman"/>
          <w:sz w:val="21"/>
          <w:szCs w:val="21"/>
          <w:highlight w:val="none"/>
          <w:lang w:val="en-US" w:eastAsia="zh-CN"/>
        </w:rPr>
      </w:pPr>
      <w:r>
        <w:rPr>
          <w:rFonts w:hint="eastAsia" w:ascii="楷体" w:hAnsi="楷体" w:eastAsia="楷体"/>
          <w:sz w:val="21"/>
          <w:szCs w:val="21"/>
          <w:highlight w:val="none"/>
        </w:rPr>
        <w:t>本产品封闭运作期结束后按周开放，若</w:t>
      </w:r>
      <w:r>
        <w:rPr>
          <w:rFonts w:hint="eastAsia" w:ascii="楷体" w:hAnsi="楷体" w:eastAsia="楷体"/>
          <w:sz w:val="21"/>
          <w:szCs w:val="21"/>
          <w:highlight w:val="none"/>
          <w:lang w:val="en-US" w:eastAsia="zh-CN"/>
        </w:rPr>
        <w:t>周三</w:t>
      </w:r>
      <w:r>
        <w:rPr>
          <w:rFonts w:hint="eastAsia" w:ascii="楷体" w:hAnsi="楷体" w:eastAsia="楷体"/>
          <w:sz w:val="21"/>
          <w:szCs w:val="21"/>
          <w:highlight w:val="none"/>
        </w:rPr>
        <w:t>与</w:t>
      </w:r>
      <w:r>
        <w:rPr>
          <w:rFonts w:hint="eastAsia" w:ascii="楷体" w:hAnsi="楷体" w:eastAsia="楷体"/>
          <w:sz w:val="21"/>
          <w:szCs w:val="21"/>
          <w:highlight w:val="none"/>
          <w:lang w:val="en-US" w:eastAsia="zh-CN"/>
        </w:rPr>
        <w:t>周四</w:t>
      </w:r>
      <w:r>
        <w:rPr>
          <w:rFonts w:hint="eastAsia" w:ascii="楷体" w:hAnsi="楷体" w:eastAsia="楷体"/>
          <w:sz w:val="21"/>
          <w:szCs w:val="21"/>
          <w:highlight w:val="none"/>
        </w:rPr>
        <w:t>为工作日，则</w:t>
      </w:r>
      <w:r>
        <w:rPr>
          <w:rFonts w:hint="eastAsia" w:ascii="楷体" w:hAnsi="楷体" w:eastAsia="楷体"/>
          <w:sz w:val="21"/>
          <w:szCs w:val="21"/>
          <w:highlight w:val="none"/>
          <w:lang w:val="en-US" w:eastAsia="zh-CN"/>
        </w:rPr>
        <w:t>周三</w:t>
      </w:r>
      <w:r>
        <w:rPr>
          <w:rFonts w:hint="eastAsia" w:ascii="楷体" w:hAnsi="楷体" w:eastAsia="楷体"/>
          <w:sz w:val="21"/>
          <w:szCs w:val="21"/>
          <w:highlight w:val="none"/>
        </w:rPr>
        <w:t>为开放日、</w:t>
      </w:r>
      <w:r>
        <w:rPr>
          <w:rFonts w:hint="eastAsia" w:ascii="楷体" w:hAnsi="楷体" w:eastAsia="楷体"/>
          <w:sz w:val="21"/>
          <w:szCs w:val="21"/>
          <w:highlight w:val="none"/>
          <w:lang w:val="en-US" w:eastAsia="zh-CN"/>
        </w:rPr>
        <w:t>周四</w:t>
      </w:r>
      <w:r>
        <w:rPr>
          <w:rFonts w:hint="eastAsia" w:ascii="楷体" w:hAnsi="楷体" w:eastAsia="楷体"/>
          <w:sz w:val="21"/>
          <w:szCs w:val="21"/>
          <w:highlight w:val="none"/>
        </w:rPr>
        <w:t>为确认日</w:t>
      </w:r>
      <w:r>
        <w:rPr>
          <w:rFonts w:hint="eastAsia" w:ascii="楷体" w:hAnsi="楷体" w:eastAsia="楷体"/>
          <w:sz w:val="21"/>
          <w:szCs w:val="21"/>
          <w:highlight w:val="none"/>
          <w:lang w:eastAsia="zh-CN"/>
        </w:rPr>
        <w:t>。</w:t>
      </w:r>
      <w:r>
        <w:rPr>
          <w:rFonts w:hint="eastAsia" w:ascii="楷体" w:hAnsi="楷体" w:eastAsia="楷体" w:cs="Times New Roman"/>
          <w:sz w:val="21"/>
          <w:szCs w:val="21"/>
          <w:highlight w:val="none"/>
          <w:lang w:val="en-US" w:eastAsia="zh-CN"/>
        </w:rPr>
        <w:t>开放日前3个工作日（含开放日）开放申购/赎回，投资者在非开放日的申购/赎回申请行为统一视为在开放日提交申购/赎回申请（开放申购/赎回时间以各销售机构设置为准）。</w:t>
      </w:r>
      <w:r>
        <w:rPr>
          <w:rFonts w:hint="eastAsia" w:ascii="楷体" w:hAnsi="楷体" w:eastAsia="楷体"/>
          <w:sz w:val="21"/>
          <w:szCs w:val="21"/>
          <w:highlight w:val="none"/>
        </w:rPr>
        <w:t>若</w:t>
      </w:r>
      <w:r>
        <w:rPr>
          <w:rFonts w:hint="eastAsia" w:ascii="楷体" w:hAnsi="楷体" w:eastAsia="楷体"/>
          <w:sz w:val="21"/>
          <w:szCs w:val="21"/>
          <w:highlight w:val="none"/>
          <w:lang w:val="en-US" w:eastAsia="zh-CN"/>
        </w:rPr>
        <w:t>周三</w:t>
      </w:r>
      <w:r>
        <w:rPr>
          <w:rFonts w:hint="eastAsia" w:ascii="楷体" w:hAnsi="楷体" w:eastAsia="楷体"/>
          <w:sz w:val="21"/>
          <w:szCs w:val="21"/>
          <w:highlight w:val="none"/>
        </w:rPr>
        <w:t>或</w:t>
      </w:r>
      <w:r>
        <w:rPr>
          <w:rFonts w:hint="eastAsia" w:ascii="楷体" w:hAnsi="楷体" w:eastAsia="楷体"/>
          <w:sz w:val="21"/>
          <w:szCs w:val="21"/>
          <w:highlight w:val="none"/>
          <w:lang w:val="en-US" w:eastAsia="zh-CN"/>
        </w:rPr>
        <w:t>周四</w:t>
      </w:r>
      <w:r>
        <w:rPr>
          <w:rFonts w:hint="eastAsia" w:ascii="楷体" w:hAnsi="楷体" w:eastAsia="楷体"/>
          <w:sz w:val="21"/>
          <w:szCs w:val="21"/>
          <w:highlight w:val="none"/>
        </w:rPr>
        <w:t>为非工作日，则开放日、确认日、投资周期作相应调整，苏银理财将按说明书约定的信息披露方式予以披露，以相关披露内容为准。</w:t>
      </w:r>
      <w:r>
        <w:rPr>
          <w:rFonts w:hint="eastAsia" w:ascii="楷体" w:hAnsi="楷体" w:eastAsia="楷体" w:cs="Times New Roman"/>
          <w:b/>
          <w:sz w:val="21"/>
          <w:szCs w:val="21"/>
          <w:highlight w:val="none"/>
          <w:u w:val="single"/>
        </w:rPr>
        <w:t>其他时间苏银理财不接受客户申购/赎回申请。</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申购、赎回的规则</w:t>
      </w:r>
    </w:p>
    <w:p>
      <w:pPr>
        <w:numPr>
          <w:ilvl w:val="0"/>
          <w:numId w:val="11"/>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numPr>
          <w:ilvl w:val="0"/>
          <w:numId w:val="11"/>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w:t>
      </w:r>
      <w:r>
        <w:rPr>
          <w:rFonts w:hint="eastAsia" w:ascii="楷体" w:hAnsi="楷体" w:eastAsia="楷体" w:cs="Calibri"/>
          <w:sz w:val="21"/>
          <w:szCs w:val="21"/>
          <w:highlight w:val="none"/>
          <w:lang w:val="en-US" w:eastAsia="zh-CN"/>
        </w:rPr>
        <w:t>1</w:t>
      </w:r>
      <w:r>
        <w:rPr>
          <w:rFonts w:hint="eastAsia" w:ascii="楷体" w:hAnsi="楷体" w:eastAsia="楷体" w:cs="Calibri"/>
          <w:sz w:val="21"/>
          <w:szCs w:val="21"/>
          <w:highlight w:val="none"/>
        </w:rPr>
        <w:t>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个工作日内到达投资者资金账户。</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巨额赎回</w:t>
      </w:r>
      <w:r>
        <w:rPr>
          <w:rFonts w:hint="eastAsia" w:ascii="楷体" w:hAnsi="楷体" w:eastAsia="楷体" w:cs="Calibri"/>
          <w:b/>
          <w:sz w:val="21"/>
          <w:szCs w:val="21"/>
          <w:highlight w:val="none"/>
          <w:lang w:eastAsia="zh-CN"/>
        </w:rPr>
        <w:t>：</w:t>
      </w:r>
      <w:r>
        <w:rPr>
          <w:rFonts w:hint="eastAsia" w:ascii="楷体" w:hAnsi="楷体" w:eastAsia="楷体" w:cs="Calibri"/>
          <w:b/>
          <w:sz w:val="21"/>
          <w:szCs w:val="21"/>
          <w:highlight w:val="none"/>
          <w:lang w:val="en-US" w:eastAsia="zh-CN"/>
        </w:rPr>
        <w:t>详见“产品要素”</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特殊情形及处理</w:t>
      </w:r>
    </w:p>
    <w:p>
      <w:pPr>
        <w:ind w:firstLine="422" w:firstLineChars="200"/>
        <w:rPr>
          <w:rFonts w:ascii="楷体" w:hAnsi="楷体" w:eastAsia="楷体"/>
          <w:b/>
          <w:bCs/>
          <w:sz w:val="21"/>
          <w:szCs w:val="21"/>
          <w:highlight w:val="none"/>
        </w:rPr>
      </w:pPr>
      <w:r>
        <w:rPr>
          <w:rFonts w:ascii="楷体" w:hAnsi="楷体" w:eastAsia="楷体"/>
          <w:b/>
          <w:bCs/>
          <w:sz w:val="21"/>
          <w:szCs w:val="21"/>
          <w:highlight w:val="none"/>
        </w:rPr>
        <w:t>1.</w:t>
      </w:r>
      <w:r>
        <w:rPr>
          <w:rFonts w:hint="eastAsia" w:ascii="楷体" w:hAnsi="楷体" w:eastAsia="楷体"/>
          <w:b/>
          <w:bCs/>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2" w:firstLineChars="200"/>
        <w:rPr>
          <w:rFonts w:ascii="楷体" w:hAnsi="楷体" w:eastAsia="楷体"/>
          <w:b/>
          <w:bCs/>
          <w:sz w:val="21"/>
          <w:szCs w:val="21"/>
          <w:highlight w:val="none"/>
        </w:rPr>
      </w:pPr>
      <w:r>
        <w:rPr>
          <w:rFonts w:ascii="楷体" w:hAnsi="楷体" w:eastAsia="楷体"/>
          <w:b/>
          <w:bCs/>
          <w:sz w:val="21"/>
          <w:szCs w:val="21"/>
          <w:highlight w:val="none"/>
        </w:rPr>
        <w:t>2.</w:t>
      </w:r>
      <w:r>
        <w:rPr>
          <w:rFonts w:hint="eastAsia" w:ascii="楷体" w:hAnsi="楷体" w:eastAsia="楷体"/>
          <w:b/>
          <w:bCs/>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numPr>
          <w:ilvl w:val="0"/>
          <w:numId w:val="2"/>
        </w:numPr>
        <w:tabs>
          <w:tab w:val="left" w:pos="1134"/>
        </w:tabs>
        <w:ind w:firstLine="422" w:firstLineChars="200"/>
        <w:outlineLvl w:val="1"/>
        <w:rPr>
          <w:rFonts w:hint="eastAsia" w:ascii="楷体" w:hAnsi="楷体" w:eastAsia="楷体"/>
          <w:b/>
          <w:bCs/>
          <w:sz w:val="21"/>
          <w:szCs w:val="21"/>
          <w:highlight w:val="none"/>
        </w:rPr>
      </w:pPr>
      <w:r>
        <w:rPr>
          <w:rFonts w:hint="eastAsia" w:ascii="楷体" w:hAnsi="楷体" w:eastAsia="楷体"/>
          <w:b/>
          <w:bCs/>
          <w:sz w:val="21"/>
          <w:szCs w:val="21"/>
          <w:highlight w:val="none"/>
        </w:rPr>
        <w:t>产品终止</w:t>
      </w:r>
    </w:p>
    <w:p>
      <w:pPr>
        <w:numPr>
          <w:ilvl w:val="0"/>
          <w:numId w:val="12"/>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提前终止</w:t>
      </w:r>
    </w:p>
    <w:p>
      <w:pPr>
        <w:numPr>
          <w:ilvl w:val="0"/>
          <w:numId w:val="0"/>
        </w:numPr>
        <w:ind w:left="0" w:firstLine="420" w:firstLineChars="200"/>
        <w:rPr>
          <w:rFonts w:hint="eastAsia" w:ascii="楷体" w:hAnsi="楷体" w:eastAsia="楷体"/>
          <w:color w:val="auto"/>
          <w:sz w:val="21"/>
          <w:szCs w:val="21"/>
          <w:highlight w:val="none"/>
        </w:rPr>
      </w:pPr>
      <w:r>
        <w:rPr>
          <w:rFonts w:hint="eastAsia" w:ascii="楷体" w:hAnsi="楷体" w:eastAsia="楷体" w:cs="Calibri"/>
          <w:color w:val="auto"/>
          <w:sz w:val="21"/>
          <w:szCs w:val="21"/>
          <w:highlight w:val="none"/>
        </w:rPr>
        <w:t>在理财产品投资运作期间内，投资者无权要求提前终止该理财产品。在理财产品投资运作期间内，</w:t>
      </w:r>
      <w:r>
        <w:rPr>
          <w:rFonts w:hint="eastAsia" w:ascii="楷体" w:hAnsi="楷体" w:eastAsia="楷体" w:cs="Calibri"/>
          <w:color w:val="auto"/>
          <w:sz w:val="21"/>
          <w:szCs w:val="21"/>
          <w:highlight w:val="none"/>
          <w:lang w:val="en-US" w:eastAsia="zh-CN"/>
        </w:rPr>
        <w:t>包括但不限于</w:t>
      </w:r>
      <w:r>
        <w:rPr>
          <w:rFonts w:hint="eastAsia" w:ascii="楷体" w:hAnsi="楷体" w:eastAsia="楷体" w:cs="Calibri"/>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lang w:val="en-US" w:eastAsia="zh-CN"/>
        </w:rPr>
        <w:t>明确产品终止日</w:t>
      </w:r>
      <w:r>
        <w:rPr>
          <w:rFonts w:hint="eastAsia" w:ascii="楷体" w:hAnsi="楷体" w:eastAsia="楷体"/>
          <w:color w:val="auto"/>
          <w:sz w:val="21"/>
          <w:szCs w:val="21"/>
          <w:highlight w:val="none"/>
        </w:rPr>
        <w:t>。</w:t>
      </w:r>
    </w:p>
    <w:p>
      <w:pPr>
        <w:numPr>
          <w:ilvl w:val="0"/>
          <w:numId w:val="12"/>
        </w:numPr>
        <w:tabs>
          <w:tab w:val="left" w:pos="993"/>
        </w:tabs>
        <w:ind w:left="0" w:firstLine="420" w:firstLineChars="200"/>
        <w:rPr>
          <w:rFonts w:hint="eastAsia" w:ascii="楷体" w:hAnsi="楷体" w:eastAsia="楷体" w:cs="Calibri"/>
          <w:b w:val="0"/>
          <w:color w:val="auto"/>
          <w:sz w:val="21"/>
          <w:szCs w:val="21"/>
          <w:highlight w:val="none"/>
        </w:rPr>
      </w:pPr>
      <w:r>
        <w:rPr>
          <w:rFonts w:hint="eastAsia" w:ascii="楷体" w:hAnsi="楷体" w:eastAsia="楷体" w:cs="Calibri"/>
          <w:b w:val="0"/>
          <w:color w:val="auto"/>
          <w:sz w:val="21"/>
          <w:szCs w:val="21"/>
          <w:highlight w:val="none"/>
          <w:lang w:val="en-US" w:eastAsia="zh-CN"/>
        </w:rPr>
        <w:t>正常终止</w:t>
      </w:r>
    </w:p>
    <w:p>
      <w:pPr>
        <w:ind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投资者持有本理财产品至产品到期日，投资者的投资本金和收益（如有）将在产品到期后一次性支付。</w:t>
      </w:r>
    </w:p>
    <w:p>
      <w:pPr>
        <w:numPr>
          <w:ilvl w:val="0"/>
          <w:numId w:val="12"/>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延期</w:t>
      </w:r>
      <w:r>
        <w:rPr>
          <w:rFonts w:hint="eastAsia" w:ascii="楷体" w:hAnsi="楷体" w:eastAsia="楷体" w:cs="Calibri"/>
          <w:color w:val="auto"/>
          <w:sz w:val="21"/>
          <w:szCs w:val="21"/>
          <w:highlight w:val="none"/>
          <w:lang w:val="en-US" w:eastAsia="zh-CN"/>
        </w:rPr>
        <w:t>终止</w:t>
      </w:r>
    </w:p>
    <w:p>
      <w:pPr>
        <w:ind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lang w:eastAsia="zh-CN"/>
        </w:rPr>
        <w:t>，</w:t>
      </w:r>
      <w:r>
        <w:rPr>
          <w:rFonts w:hint="eastAsia" w:ascii="楷体" w:hAnsi="楷体" w:eastAsia="楷体"/>
          <w:color w:val="auto"/>
          <w:sz w:val="21"/>
          <w:szCs w:val="21"/>
          <w:highlight w:val="none"/>
          <w:lang w:val="en-US" w:eastAsia="zh-CN"/>
        </w:rPr>
        <w:t>明确产品终止日</w:t>
      </w:r>
      <w:r>
        <w:rPr>
          <w:rFonts w:hint="eastAsia" w:ascii="楷体" w:hAnsi="楷体" w:eastAsia="楷体" w:cs="Calibri"/>
          <w:color w:val="auto"/>
          <w:sz w:val="21"/>
          <w:szCs w:val="21"/>
          <w:highlight w:val="none"/>
        </w:rPr>
        <w:t>。</w:t>
      </w:r>
    </w:p>
    <w:p>
      <w:pPr>
        <w:numPr>
          <w:ilvl w:val="0"/>
          <w:numId w:val="12"/>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投资者可得资金计算</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投资者可得资金=投资者持有份额×产品到期</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lang w:val="en-US" w:eastAsia="zh-CN"/>
        </w:rPr>
        <w:t>终止）</w:t>
      </w:r>
      <w:r>
        <w:rPr>
          <w:rFonts w:hint="eastAsia" w:ascii="楷体" w:hAnsi="楷体" w:eastAsia="楷体"/>
          <w:color w:val="auto"/>
          <w:sz w:val="21"/>
          <w:szCs w:val="21"/>
          <w:highlight w:val="none"/>
        </w:rPr>
        <w:t>时单位净值</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投资者可得资金以四舍五入的方法保留到小数点后两位。</w:t>
      </w:r>
    </w:p>
    <w:p>
      <w:pPr>
        <w:numPr>
          <w:ilvl w:val="0"/>
          <w:numId w:val="12"/>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终止</w:t>
      </w:r>
      <w:r>
        <w:rPr>
          <w:rFonts w:hint="eastAsia" w:ascii="楷体" w:hAnsi="楷体" w:eastAsia="楷体" w:cs="Calibri"/>
          <w:color w:val="auto"/>
          <w:sz w:val="21"/>
          <w:szCs w:val="21"/>
          <w:highlight w:val="none"/>
        </w:rPr>
        <w:t>清算</w:t>
      </w:r>
    </w:p>
    <w:p>
      <w:pPr>
        <w:numPr>
          <w:ilvl w:val="0"/>
          <w:numId w:val="0"/>
        </w:numPr>
        <w:tabs>
          <w:tab w:val="left" w:pos="728"/>
        </w:tabs>
        <w:ind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numPr>
          <w:ilvl w:val="0"/>
          <w:numId w:val="2"/>
        </w:numPr>
        <w:tabs>
          <w:tab w:val="left" w:pos="1428"/>
        </w:tabs>
        <w:ind w:firstLine="422" w:firstLineChars="200"/>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numPr>
          <w:ilvl w:val="0"/>
          <w:numId w:val="13"/>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情景一</w:t>
      </w:r>
    </w:p>
    <w:p>
      <w:pPr>
        <w:ind w:firstLine="420" w:firstLineChars="200"/>
        <w:rPr>
          <w:rFonts w:hint="eastAsia" w:ascii="楷体" w:hAnsi="楷体" w:eastAsia="楷体"/>
          <w:sz w:val="21"/>
          <w:szCs w:val="21"/>
          <w:highlight w:val="none"/>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rPr>
        <w:t>对应申购的开放日产品单位净值</w:t>
      </w:r>
      <w:r>
        <w:rPr>
          <w:rFonts w:ascii="楷体" w:hAnsi="楷体" w:eastAsia="楷体"/>
          <w:sz w:val="21"/>
          <w:szCs w:val="21"/>
          <w:highlight w:val="none"/>
        </w:rPr>
        <w:t>为1.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客户申购确认份额为9256.40份，投资者后续提交赎回申请，赎回其所持有全部份额，对应赎回开放日产品单位净值为1.090221</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w:t>
      </w:r>
      <w:r>
        <w:rPr>
          <w:rFonts w:ascii="楷体" w:hAnsi="楷体" w:eastAsia="楷体"/>
          <w:sz w:val="21"/>
          <w:szCs w:val="21"/>
          <w:highlight w:val="none"/>
        </w:rPr>
        <w:t>×</w:t>
      </w:r>
      <w:r>
        <w:rPr>
          <w:rFonts w:hint="eastAsia" w:ascii="楷体" w:hAnsi="楷体" w:eastAsia="楷体"/>
          <w:sz w:val="21"/>
          <w:szCs w:val="21"/>
          <w:highlight w:val="none"/>
        </w:rPr>
        <w:t>1.090221=10091.52元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rPr>
        <w:t>10091.52</w:t>
      </w:r>
      <w:r>
        <w:rPr>
          <w:rFonts w:ascii="楷体" w:hAnsi="楷体" w:eastAsia="楷体"/>
          <w:sz w:val="21"/>
          <w:szCs w:val="21"/>
          <w:highlight w:val="none"/>
        </w:rPr>
        <w:t>-</w:t>
      </w:r>
      <w:r>
        <w:rPr>
          <w:rFonts w:hint="eastAsia" w:ascii="楷体" w:hAnsi="楷体" w:eastAsia="楷体"/>
          <w:sz w:val="21"/>
          <w:szCs w:val="21"/>
          <w:highlight w:val="none"/>
        </w:rPr>
        <w:t>10000=91.52元</w:t>
      </w:r>
    </w:p>
    <w:p>
      <w:pPr>
        <w:numPr>
          <w:ilvl w:val="0"/>
          <w:numId w:val="13"/>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假定投资者申购10000元，对应申购的开放日产品单位净值为1.080334，客户申购确认份额为9256.40份，投资者后续提交赎回申请，赎回其所持有本产品全部份额，对应赎回开放日产品单位净值为1.074231</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投资者赎回兑付金额=9256.40×1.074231=9943.51元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投资者投资收益金额=9943.51-10000=-56.49元</w:t>
      </w:r>
    </w:p>
    <w:p>
      <w:pPr>
        <w:ind w:firstLine="420" w:firstLineChars="200"/>
        <w:rPr>
          <w:rFonts w:ascii="楷体" w:hAnsi="楷体" w:eastAsia="楷体"/>
          <w:b/>
          <w:sz w:val="21"/>
          <w:szCs w:val="21"/>
          <w:highlight w:val="none"/>
          <w:u w:val="single"/>
        </w:rPr>
      </w:pPr>
      <w:r>
        <w:rPr>
          <w:rFonts w:hint="eastAsia" w:ascii="楷体" w:hAnsi="楷体" w:eastAsia="楷体"/>
          <w:sz w:val="21"/>
          <w:szCs w:val="21"/>
          <w:highlight w:val="none"/>
        </w:rPr>
        <w:t>投资者投资本理财产品实际亏损56.49元，</w:t>
      </w:r>
      <w:r>
        <w:rPr>
          <w:rFonts w:hint="eastAsia" w:ascii="楷体" w:hAnsi="楷体" w:eastAsia="楷体"/>
          <w:b/>
          <w:sz w:val="21"/>
          <w:szCs w:val="21"/>
          <w:highlight w:val="none"/>
          <w:u w:val="single"/>
        </w:rPr>
        <w:t>在最不利的情况下，投资者可能损失</w:t>
      </w:r>
      <w:r>
        <w:rPr>
          <w:rFonts w:ascii="楷体" w:hAnsi="楷体" w:eastAsia="楷体"/>
          <w:b/>
          <w:sz w:val="21"/>
          <w:szCs w:val="21"/>
          <w:highlight w:val="none"/>
          <w:u w:val="single"/>
        </w:rPr>
        <w:t>100%</w:t>
      </w:r>
      <w:r>
        <w:rPr>
          <w:rFonts w:hint="eastAsia" w:ascii="楷体" w:hAnsi="楷体" w:eastAsia="楷体"/>
          <w:b/>
          <w:sz w:val="21"/>
          <w:szCs w:val="21"/>
          <w:highlight w:val="none"/>
          <w:u w:val="single"/>
        </w:rPr>
        <w:t>本金。</w:t>
      </w:r>
    </w:p>
    <w:p>
      <w:pPr>
        <w:ind w:firstLine="422" w:firstLineChars="200"/>
        <w:rPr>
          <w:rFonts w:hint="eastAsia"/>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w:t>
      </w:r>
      <w:r>
        <w:rPr>
          <w:rFonts w:hint="eastAsia" w:ascii="楷体" w:hAnsi="楷体" w:eastAsia="楷体"/>
          <w:b/>
          <w:sz w:val="21"/>
          <w:szCs w:val="21"/>
          <w:highlight w:val="none"/>
          <w:u w:val="single"/>
          <w:lang w:val="en-US" w:eastAsia="zh-CN"/>
        </w:rPr>
        <w:t>也不代表</w:t>
      </w:r>
      <w:r>
        <w:rPr>
          <w:rFonts w:hint="eastAsia" w:ascii="楷体" w:hAnsi="楷体" w:eastAsia="楷体"/>
          <w:b/>
          <w:sz w:val="21"/>
          <w:szCs w:val="21"/>
          <w:highlight w:val="none"/>
          <w:u w:val="single"/>
        </w:rPr>
        <w:t>以上所有情形或某一情形一定会发生，或管理人认为发生的可能性很大。投资者获得的最终收益以产品实际运作表现及管理人实际支付为准。</w:t>
      </w:r>
    </w:p>
    <w:p>
      <w:pPr>
        <w:numPr>
          <w:ilvl w:val="0"/>
          <w:numId w:val="2"/>
        </w:numPr>
        <w:tabs>
          <w:tab w:val="left" w:pos="1428"/>
        </w:tabs>
        <w:ind w:firstLine="422" w:firstLineChars="200"/>
        <w:outlineLvl w:val="1"/>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numPr>
          <w:ilvl w:val="0"/>
          <w:numId w:val="14"/>
        </w:numPr>
        <w:tabs>
          <w:tab w:val="left" w:pos="728"/>
        </w:tabs>
        <w:ind w:left="0" w:firstLine="420" w:firstLineChars="200"/>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numPr>
          <w:ilvl w:val="0"/>
          <w:numId w:val="14"/>
        </w:numPr>
        <w:tabs>
          <w:tab w:val="left" w:pos="728"/>
        </w:tabs>
        <w:ind w:left="0" w:firstLine="420" w:firstLineChars="200"/>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numPr>
          <w:ilvl w:val="0"/>
          <w:numId w:val="14"/>
        </w:numPr>
        <w:tabs>
          <w:tab w:val="left" w:pos="728"/>
        </w:tabs>
        <w:ind w:left="0" w:firstLine="420" w:firstLineChars="200"/>
        <w:rPr>
          <w:rFonts w:hint="eastAsia" w:ascii="楷体" w:hAnsi="楷体" w:eastAsia="楷体"/>
          <w:sz w:val="21"/>
          <w:szCs w:val="21"/>
          <w:highlight w:val="none"/>
        </w:rPr>
      </w:pPr>
      <w:r>
        <w:rPr>
          <w:rFonts w:hint="eastAsia" w:ascii="楷体" w:hAnsi="楷体" w:eastAsia="楷体" w:cs="Calibri"/>
          <w:color w:val="auto"/>
          <w:sz w:val="21"/>
          <w:szCs w:val="21"/>
          <w:highlight w:val="none"/>
        </w:rPr>
        <w:t>投资管理费：每日计提，</w:t>
      </w:r>
      <w:r>
        <w:rPr>
          <w:rFonts w:hint="eastAsia" w:ascii="楷体" w:hAnsi="楷体" w:eastAsia="楷体"/>
          <w:sz w:val="21"/>
          <w:szCs w:val="21"/>
          <w:highlight w:val="none"/>
        </w:rPr>
        <w:t>每日应计提的投资管理费＝前一日的产品资产净值×投资管理费率÷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numPr>
          <w:ilvl w:val="0"/>
          <w:numId w:val="1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val="en-US" w:eastAsia="zh-CN"/>
        </w:rPr>
        <w:t>暂无。</w:t>
      </w:r>
    </w:p>
    <w:p>
      <w:pPr>
        <w:numPr>
          <w:ilvl w:val="0"/>
          <w:numId w:val="1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numPr>
          <w:ilvl w:val="0"/>
          <w:numId w:val="14"/>
        </w:numPr>
        <w:tabs>
          <w:tab w:val="left" w:pos="728"/>
        </w:tabs>
        <w:ind w:left="0" w:firstLine="420" w:firstLineChars="200"/>
        <w:rPr>
          <w:rFonts w:hint="eastAsia"/>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numPr>
          <w:ilvl w:val="0"/>
          <w:numId w:val="14"/>
        </w:numPr>
        <w:tabs>
          <w:tab w:val="left" w:pos="728"/>
        </w:tabs>
        <w:ind w:left="0" w:firstLine="420" w:firstLineChars="200"/>
        <w:rPr>
          <w:rFonts w:hint="eastAsia"/>
          <w:highlight w:val="none"/>
        </w:rPr>
      </w:pPr>
      <w:r>
        <w:rPr>
          <w:rFonts w:hint="eastAsia" w:ascii="楷体" w:hAnsi="楷体" w:eastAsia="楷体" w:cs="Calibri"/>
          <w:color w:val="auto"/>
          <w:szCs w:val="21"/>
          <w:highlight w:val="none"/>
        </w:rPr>
        <w:t>本产品不收取认购费用、申购费用、赎回费用。</w:t>
      </w:r>
    </w:p>
    <w:p>
      <w:pPr>
        <w:ind w:firstLine="420" w:firstLineChars="200"/>
        <w:rPr>
          <w:rFonts w:hint="eastAsia"/>
          <w:highlight w:val="none"/>
          <w:lang w:eastAsia="zh-CN"/>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firstLine="422" w:firstLineChars="200"/>
        <w:outlineLvl w:val="1"/>
        <w:rPr>
          <w:rFonts w:ascii="楷体" w:hAnsi="楷体" w:eastAsia="楷体"/>
          <w:b/>
          <w:bCs/>
          <w:sz w:val="21"/>
          <w:szCs w:val="21"/>
          <w:highlight w:val="none"/>
        </w:rPr>
      </w:pPr>
      <w:r>
        <w:rPr>
          <w:rFonts w:hint="eastAsia" w:ascii="楷体" w:hAnsi="楷体" w:eastAsia="楷体"/>
          <w:b/>
          <w:bCs/>
          <w:sz w:val="21"/>
          <w:szCs w:val="21"/>
          <w:highlight w:val="none"/>
        </w:rPr>
        <w:t>产品估值</w:t>
      </w:r>
    </w:p>
    <w:p>
      <w:pPr>
        <w:keepNext w:val="0"/>
        <w:keepLines w:val="0"/>
        <w:pageBreakBefore w:val="0"/>
        <w:widowControl w:val="0"/>
        <w:numPr>
          <w:ilvl w:val="0"/>
          <w:numId w:val="15"/>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5"/>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6"/>
        </w:numPr>
        <w:tabs>
          <w:tab w:val="left" w:pos="728"/>
        </w:tabs>
        <w:kinsoku/>
        <w:wordWrap/>
        <w:overflowPunct/>
        <w:topLinePunct w:val="0"/>
        <w:bidi w:val="0"/>
        <w:snapToGrid/>
        <w:ind w:left="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6"/>
        </w:numPr>
        <w:tabs>
          <w:tab w:val="left" w:pos="728"/>
        </w:tabs>
        <w:kinsoku/>
        <w:wordWrap/>
        <w:overflowPunct/>
        <w:topLinePunct w:val="0"/>
        <w:bidi w:val="0"/>
        <w:snapToGrid/>
        <w:ind w:left="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5"/>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存款类资产、货币市场工具：以本金列示，逐日计提利息。</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货币市场基金：以估值截止时间点能够取得的最新每万份收益进行估值。</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sz w:val="21"/>
          <w:szCs w:val="21"/>
          <w:highlight w:val="none"/>
        </w:rPr>
      </w:pPr>
      <w:r>
        <w:rPr>
          <w:rFonts w:hint="eastAsia" w:ascii="楷体" w:hAnsi="楷体" w:eastAsia="楷体" w:cs="Calibri"/>
          <w:b w:val="0"/>
          <w:bCs w:val="0"/>
          <w:color w:val="auto"/>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5"/>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5"/>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ind w:firstLine="420" w:firstLineChars="200"/>
        <w:rPr>
          <w:rFonts w:ascii="楷体" w:hAnsi="楷体" w:eastAsia="楷体" w:cs="Calibri"/>
          <w:bCs/>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134"/>
          <w:tab w:val="left" w:pos="1414"/>
        </w:tabs>
        <w:ind w:firstLine="422" w:firstLineChars="200"/>
        <w:outlineLvl w:val="1"/>
        <w:rPr>
          <w:rFonts w:ascii="楷体" w:hAnsi="楷体" w:eastAsia="楷体"/>
          <w:b/>
          <w:bCs/>
          <w:sz w:val="21"/>
          <w:szCs w:val="21"/>
          <w:highlight w:val="none"/>
        </w:rPr>
      </w:pPr>
      <w:r>
        <w:rPr>
          <w:rFonts w:hint="eastAsia" w:ascii="楷体" w:hAnsi="楷体" w:eastAsia="楷体"/>
          <w:b/>
          <w:bCs/>
          <w:sz w:val="21"/>
          <w:szCs w:val="21"/>
          <w:highlight w:val="none"/>
        </w:rPr>
        <w:t>信息披露</w:t>
      </w:r>
    </w:p>
    <w:p>
      <w:pPr>
        <w:numPr>
          <w:ilvl w:val="0"/>
          <w:numId w:val="18"/>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numPr>
          <w:ilvl w:val="0"/>
          <w:numId w:val="19"/>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9"/>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8"/>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numPr>
          <w:ilvl w:val="0"/>
          <w:numId w:val="20"/>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20"/>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numPr>
          <w:ilvl w:val="0"/>
          <w:numId w:val="2"/>
        </w:numPr>
        <w:tabs>
          <w:tab w:val="left" w:pos="1134"/>
          <w:tab w:val="left" w:pos="1414"/>
        </w:tabs>
        <w:ind w:firstLine="422" w:firstLineChars="200"/>
        <w:outlineLvl w:val="1"/>
        <w:rPr>
          <w:rFonts w:ascii="楷体" w:hAnsi="楷体" w:eastAsia="楷体"/>
          <w:b/>
          <w:bCs/>
          <w:sz w:val="21"/>
          <w:szCs w:val="21"/>
          <w:highlight w:val="none"/>
        </w:rPr>
      </w:pPr>
      <w:r>
        <w:rPr>
          <w:rFonts w:hint="eastAsia" w:ascii="楷体" w:hAnsi="楷体" w:eastAsia="楷体"/>
          <w:b/>
          <w:bCs/>
          <w:sz w:val="21"/>
          <w:szCs w:val="21"/>
          <w:highlight w:val="none"/>
        </w:rPr>
        <w:t>其他</w:t>
      </w:r>
    </w:p>
    <w:p>
      <w:pPr>
        <w:numPr>
          <w:ilvl w:val="0"/>
          <w:numId w:val="21"/>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21"/>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21"/>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rPr>
          <w:rFonts w:hint="eastAsia"/>
        </w:rPr>
      </w:pP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3" w:type="default"/>
      <w:footerReference r:id="rId4" w:type="default"/>
      <w:pgSz w:w="11906" w:h="16838"/>
      <w:pgMar w:top="1440" w:right="1134" w:bottom="1440"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0288" behindDoc="0" locked="0" layoutInCell="1" allowOverlap="1">
          <wp:simplePos x="0" y="0"/>
          <wp:positionH relativeFrom="column">
            <wp:posOffset>4990465</wp:posOffset>
          </wp:positionH>
          <wp:positionV relativeFrom="paragraph">
            <wp:posOffset>-123825</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4F6B57B"/>
    <w:multiLevelType w:val="singleLevel"/>
    <w:tmpl w:val="04F6B57B"/>
    <w:lvl w:ilvl="0" w:tentative="0">
      <w:start w:val="1"/>
      <w:numFmt w:val="decimal"/>
      <w:suff w:val="nothing"/>
      <w:lvlText w:val="%1、"/>
      <w:lvlJc w:val="left"/>
    </w:lvl>
  </w:abstractNum>
  <w:abstractNum w:abstractNumId="3">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11">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4">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7"/>
  </w:num>
  <w:num w:numId="3">
    <w:abstractNumId w:val="2"/>
  </w:num>
  <w:num w:numId="4">
    <w:abstractNumId w:val="1"/>
  </w:num>
  <w:num w:numId="5">
    <w:abstractNumId w:val="0"/>
  </w:num>
  <w:num w:numId="6">
    <w:abstractNumId w:val="8"/>
  </w:num>
  <w:num w:numId="7">
    <w:abstractNumId w:val="19"/>
  </w:num>
  <w:num w:numId="8">
    <w:abstractNumId w:val="13"/>
  </w:num>
  <w:num w:numId="9">
    <w:abstractNumId w:val="12"/>
  </w:num>
  <w:num w:numId="10">
    <w:abstractNumId w:val="9"/>
  </w:num>
  <w:num w:numId="11">
    <w:abstractNumId w:val="5"/>
  </w:num>
  <w:num w:numId="12">
    <w:abstractNumId w:val="16"/>
  </w:num>
  <w:num w:numId="13">
    <w:abstractNumId w:val="6"/>
  </w:num>
  <w:num w:numId="14">
    <w:abstractNumId w:val="20"/>
  </w:num>
  <w:num w:numId="15">
    <w:abstractNumId w:val="17"/>
  </w:num>
  <w:num w:numId="16">
    <w:abstractNumId w:val="14"/>
  </w:num>
  <w:num w:numId="17">
    <w:abstractNumId w:val="4"/>
  </w:num>
  <w:num w:numId="18">
    <w:abstractNumId w:val="15"/>
  </w:num>
  <w:num w:numId="19">
    <w:abstractNumId w:val="3"/>
  </w:num>
  <w:num w:numId="20">
    <w:abstractNumId w:val="18"/>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E2F"/>
    <w:rsid w:val="00002389"/>
    <w:rsid w:val="00003606"/>
    <w:rsid w:val="000048B0"/>
    <w:rsid w:val="00005B01"/>
    <w:rsid w:val="000101E4"/>
    <w:rsid w:val="0001103A"/>
    <w:rsid w:val="000131EF"/>
    <w:rsid w:val="00013628"/>
    <w:rsid w:val="00014334"/>
    <w:rsid w:val="00015A92"/>
    <w:rsid w:val="00015D58"/>
    <w:rsid w:val="00016232"/>
    <w:rsid w:val="0002052D"/>
    <w:rsid w:val="00020A6F"/>
    <w:rsid w:val="00021007"/>
    <w:rsid w:val="00023BA8"/>
    <w:rsid w:val="000247F9"/>
    <w:rsid w:val="00027E61"/>
    <w:rsid w:val="00027F48"/>
    <w:rsid w:val="0003072E"/>
    <w:rsid w:val="00030D69"/>
    <w:rsid w:val="00031806"/>
    <w:rsid w:val="00031F80"/>
    <w:rsid w:val="00034890"/>
    <w:rsid w:val="0003606E"/>
    <w:rsid w:val="000405B1"/>
    <w:rsid w:val="00043D5F"/>
    <w:rsid w:val="00044CB4"/>
    <w:rsid w:val="000469D0"/>
    <w:rsid w:val="00050975"/>
    <w:rsid w:val="00054854"/>
    <w:rsid w:val="000554B0"/>
    <w:rsid w:val="00060571"/>
    <w:rsid w:val="00061D74"/>
    <w:rsid w:val="00062791"/>
    <w:rsid w:val="00064F2B"/>
    <w:rsid w:val="000656EF"/>
    <w:rsid w:val="00066F56"/>
    <w:rsid w:val="00067074"/>
    <w:rsid w:val="000677EE"/>
    <w:rsid w:val="00071418"/>
    <w:rsid w:val="00071581"/>
    <w:rsid w:val="0007293A"/>
    <w:rsid w:val="00072D1F"/>
    <w:rsid w:val="0007366C"/>
    <w:rsid w:val="00074189"/>
    <w:rsid w:val="00074306"/>
    <w:rsid w:val="00080C2C"/>
    <w:rsid w:val="00081AD6"/>
    <w:rsid w:val="00085378"/>
    <w:rsid w:val="000853F6"/>
    <w:rsid w:val="000867A8"/>
    <w:rsid w:val="00087036"/>
    <w:rsid w:val="00087EDB"/>
    <w:rsid w:val="00093C11"/>
    <w:rsid w:val="00094631"/>
    <w:rsid w:val="00096382"/>
    <w:rsid w:val="0009795C"/>
    <w:rsid w:val="00097F80"/>
    <w:rsid w:val="000A2D2D"/>
    <w:rsid w:val="000A2E68"/>
    <w:rsid w:val="000A45AB"/>
    <w:rsid w:val="000B0078"/>
    <w:rsid w:val="000B1643"/>
    <w:rsid w:val="000B3B58"/>
    <w:rsid w:val="000B3EFD"/>
    <w:rsid w:val="000B659B"/>
    <w:rsid w:val="000B6E9F"/>
    <w:rsid w:val="000C2620"/>
    <w:rsid w:val="000C54ED"/>
    <w:rsid w:val="000C6143"/>
    <w:rsid w:val="000C7382"/>
    <w:rsid w:val="000D35BD"/>
    <w:rsid w:val="000D71CF"/>
    <w:rsid w:val="000D7225"/>
    <w:rsid w:val="000D722C"/>
    <w:rsid w:val="000D774F"/>
    <w:rsid w:val="000E0485"/>
    <w:rsid w:val="000E2E7D"/>
    <w:rsid w:val="000E34F3"/>
    <w:rsid w:val="000E4205"/>
    <w:rsid w:val="000E7CF6"/>
    <w:rsid w:val="000F0433"/>
    <w:rsid w:val="000F1D3C"/>
    <w:rsid w:val="000F35AC"/>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378"/>
    <w:rsid w:val="001126F6"/>
    <w:rsid w:val="00115E7F"/>
    <w:rsid w:val="0011753C"/>
    <w:rsid w:val="00122F58"/>
    <w:rsid w:val="0012352A"/>
    <w:rsid w:val="0012411A"/>
    <w:rsid w:val="001242DE"/>
    <w:rsid w:val="00125B8C"/>
    <w:rsid w:val="0012647A"/>
    <w:rsid w:val="001267AA"/>
    <w:rsid w:val="00130EED"/>
    <w:rsid w:val="00130F7B"/>
    <w:rsid w:val="00131DDF"/>
    <w:rsid w:val="0013364F"/>
    <w:rsid w:val="00133B98"/>
    <w:rsid w:val="0013472F"/>
    <w:rsid w:val="00134733"/>
    <w:rsid w:val="001359ED"/>
    <w:rsid w:val="001377AE"/>
    <w:rsid w:val="00140B25"/>
    <w:rsid w:val="00140ED2"/>
    <w:rsid w:val="001450DF"/>
    <w:rsid w:val="0014734D"/>
    <w:rsid w:val="001516B1"/>
    <w:rsid w:val="00152B36"/>
    <w:rsid w:val="001530B2"/>
    <w:rsid w:val="00153395"/>
    <w:rsid w:val="001543E7"/>
    <w:rsid w:val="00155B77"/>
    <w:rsid w:val="00160569"/>
    <w:rsid w:val="00161E2F"/>
    <w:rsid w:val="001624A3"/>
    <w:rsid w:val="001624DA"/>
    <w:rsid w:val="00162BF5"/>
    <w:rsid w:val="001639CA"/>
    <w:rsid w:val="00165E23"/>
    <w:rsid w:val="00166B3A"/>
    <w:rsid w:val="00170099"/>
    <w:rsid w:val="00170194"/>
    <w:rsid w:val="00170927"/>
    <w:rsid w:val="0017092A"/>
    <w:rsid w:val="00174417"/>
    <w:rsid w:val="001749CF"/>
    <w:rsid w:val="00176B8E"/>
    <w:rsid w:val="00177BCC"/>
    <w:rsid w:val="0018251A"/>
    <w:rsid w:val="001846FB"/>
    <w:rsid w:val="00190736"/>
    <w:rsid w:val="00194E69"/>
    <w:rsid w:val="00197DD9"/>
    <w:rsid w:val="001A05F5"/>
    <w:rsid w:val="001A57DB"/>
    <w:rsid w:val="001A586B"/>
    <w:rsid w:val="001A6EA8"/>
    <w:rsid w:val="001A73F1"/>
    <w:rsid w:val="001B1D26"/>
    <w:rsid w:val="001B1E1E"/>
    <w:rsid w:val="001B2F76"/>
    <w:rsid w:val="001B2F82"/>
    <w:rsid w:val="001B396B"/>
    <w:rsid w:val="001B4B9C"/>
    <w:rsid w:val="001B7D0D"/>
    <w:rsid w:val="001C0786"/>
    <w:rsid w:val="001C13E9"/>
    <w:rsid w:val="001C2C37"/>
    <w:rsid w:val="001C4148"/>
    <w:rsid w:val="001C78FF"/>
    <w:rsid w:val="001D0B29"/>
    <w:rsid w:val="001D1C27"/>
    <w:rsid w:val="001D2A8B"/>
    <w:rsid w:val="001D49AC"/>
    <w:rsid w:val="001D4BC9"/>
    <w:rsid w:val="001D4FE1"/>
    <w:rsid w:val="001D5BF8"/>
    <w:rsid w:val="001D78FF"/>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DF8"/>
    <w:rsid w:val="002024E9"/>
    <w:rsid w:val="002054B3"/>
    <w:rsid w:val="0020639A"/>
    <w:rsid w:val="00210857"/>
    <w:rsid w:val="00211547"/>
    <w:rsid w:val="002119A2"/>
    <w:rsid w:val="0021401C"/>
    <w:rsid w:val="00216172"/>
    <w:rsid w:val="0022162D"/>
    <w:rsid w:val="002222A4"/>
    <w:rsid w:val="0022633B"/>
    <w:rsid w:val="00226F9D"/>
    <w:rsid w:val="00230F4A"/>
    <w:rsid w:val="0023523A"/>
    <w:rsid w:val="002354C6"/>
    <w:rsid w:val="00235E45"/>
    <w:rsid w:val="002366EB"/>
    <w:rsid w:val="0023734F"/>
    <w:rsid w:val="00237FDB"/>
    <w:rsid w:val="0024053C"/>
    <w:rsid w:val="002436C1"/>
    <w:rsid w:val="00243DF5"/>
    <w:rsid w:val="00245106"/>
    <w:rsid w:val="00245D03"/>
    <w:rsid w:val="00247A7D"/>
    <w:rsid w:val="0025150E"/>
    <w:rsid w:val="00252B51"/>
    <w:rsid w:val="00253997"/>
    <w:rsid w:val="0025423C"/>
    <w:rsid w:val="00254A3C"/>
    <w:rsid w:val="00254A8B"/>
    <w:rsid w:val="00256E57"/>
    <w:rsid w:val="0025744E"/>
    <w:rsid w:val="00261876"/>
    <w:rsid w:val="0026641B"/>
    <w:rsid w:val="002672C8"/>
    <w:rsid w:val="00270665"/>
    <w:rsid w:val="00272C53"/>
    <w:rsid w:val="00272E20"/>
    <w:rsid w:val="00273681"/>
    <w:rsid w:val="0027510A"/>
    <w:rsid w:val="002755B0"/>
    <w:rsid w:val="00276883"/>
    <w:rsid w:val="00277C1F"/>
    <w:rsid w:val="00281772"/>
    <w:rsid w:val="002821D7"/>
    <w:rsid w:val="00282F20"/>
    <w:rsid w:val="0029004F"/>
    <w:rsid w:val="00291B84"/>
    <w:rsid w:val="00292B5E"/>
    <w:rsid w:val="002932FC"/>
    <w:rsid w:val="00294431"/>
    <w:rsid w:val="00294B49"/>
    <w:rsid w:val="00295538"/>
    <w:rsid w:val="00297034"/>
    <w:rsid w:val="002A23E0"/>
    <w:rsid w:val="002A2E20"/>
    <w:rsid w:val="002A32DF"/>
    <w:rsid w:val="002A7DF5"/>
    <w:rsid w:val="002A7E94"/>
    <w:rsid w:val="002B0795"/>
    <w:rsid w:val="002B193F"/>
    <w:rsid w:val="002B2620"/>
    <w:rsid w:val="002B3225"/>
    <w:rsid w:val="002B51FD"/>
    <w:rsid w:val="002B5694"/>
    <w:rsid w:val="002C021F"/>
    <w:rsid w:val="002C2056"/>
    <w:rsid w:val="002C23F7"/>
    <w:rsid w:val="002C3367"/>
    <w:rsid w:val="002C4171"/>
    <w:rsid w:val="002C7CB4"/>
    <w:rsid w:val="002D2324"/>
    <w:rsid w:val="002D29FD"/>
    <w:rsid w:val="002D2AEC"/>
    <w:rsid w:val="002D2C1F"/>
    <w:rsid w:val="002D5568"/>
    <w:rsid w:val="002E1382"/>
    <w:rsid w:val="002E6F55"/>
    <w:rsid w:val="002F0E4E"/>
    <w:rsid w:val="002F2C0C"/>
    <w:rsid w:val="002F344B"/>
    <w:rsid w:val="002F709A"/>
    <w:rsid w:val="002F77A8"/>
    <w:rsid w:val="00301619"/>
    <w:rsid w:val="00301AD3"/>
    <w:rsid w:val="00302755"/>
    <w:rsid w:val="00305A15"/>
    <w:rsid w:val="00306353"/>
    <w:rsid w:val="00306D41"/>
    <w:rsid w:val="00307094"/>
    <w:rsid w:val="00307342"/>
    <w:rsid w:val="00310A72"/>
    <w:rsid w:val="00311C18"/>
    <w:rsid w:val="0031298C"/>
    <w:rsid w:val="00313D52"/>
    <w:rsid w:val="00314235"/>
    <w:rsid w:val="00315340"/>
    <w:rsid w:val="0032607C"/>
    <w:rsid w:val="00326E7B"/>
    <w:rsid w:val="0033166C"/>
    <w:rsid w:val="003333F1"/>
    <w:rsid w:val="0033358A"/>
    <w:rsid w:val="003342B8"/>
    <w:rsid w:val="0033504B"/>
    <w:rsid w:val="003362C7"/>
    <w:rsid w:val="00336711"/>
    <w:rsid w:val="00336A5A"/>
    <w:rsid w:val="00336BF1"/>
    <w:rsid w:val="00337AA0"/>
    <w:rsid w:val="00342ADB"/>
    <w:rsid w:val="00343B0F"/>
    <w:rsid w:val="00347006"/>
    <w:rsid w:val="00347D0D"/>
    <w:rsid w:val="003503AE"/>
    <w:rsid w:val="00351D8C"/>
    <w:rsid w:val="0035213A"/>
    <w:rsid w:val="00353419"/>
    <w:rsid w:val="00355D35"/>
    <w:rsid w:val="00360094"/>
    <w:rsid w:val="003627FB"/>
    <w:rsid w:val="00362826"/>
    <w:rsid w:val="0036403D"/>
    <w:rsid w:val="0036455C"/>
    <w:rsid w:val="00366074"/>
    <w:rsid w:val="00367122"/>
    <w:rsid w:val="0037083D"/>
    <w:rsid w:val="00372402"/>
    <w:rsid w:val="003726C4"/>
    <w:rsid w:val="00375BEB"/>
    <w:rsid w:val="003800B4"/>
    <w:rsid w:val="003809E0"/>
    <w:rsid w:val="003814E2"/>
    <w:rsid w:val="00381E88"/>
    <w:rsid w:val="003821F9"/>
    <w:rsid w:val="003827CD"/>
    <w:rsid w:val="00383A99"/>
    <w:rsid w:val="00383D6D"/>
    <w:rsid w:val="003852EF"/>
    <w:rsid w:val="003870EE"/>
    <w:rsid w:val="00393452"/>
    <w:rsid w:val="00394C2C"/>
    <w:rsid w:val="00396F85"/>
    <w:rsid w:val="0039723A"/>
    <w:rsid w:val="003A1CB9"/>
    <w:rsid w:val="003A27B8"/>
    <w:rsid w:val="003A3D8C"/>
    <w:rsid w:val="003A539D"/>
    <w:rsid w:val="003A5FA1"/>
    <w:rsid w:val="003A7623"/>
    <w:rsid w:val="003B324C"/>
    <w:rsid w:val="003B5326"/>
    <w:rsid w:val="003B6220"/>
    <w:rsid w:val="003B7651"/>
    <w:rsid w:val="003B76DC"/>
    <w:rsid w:val="003C1E93"/>
    <w:rsid w:val="003C596C"/>
    <w:rsid w:val="003D03AF"/>
    <w:rsid w:val="003D07CA"/>
    <w:rsid w:val="003D1FE5"/>
    <w:rsid w:val="003D3735"/>
    <w:rsid w:val="003D5148"/>
    <w:rsid w:val="003D6081"/>
    <w:rsid w:val="003D6720"/>
    <w:rsid w:val="003D6B3F"/>
    <w:rsid w:val="003D7951"/>
    <w:rsid w:val="003E030F"/>
    <w:rsid w:val="003E1EFB"/>
    <w:rsid w:val="003E2B26"/>
    <w:rsid w:val="003E2F60"/>
    <w:rsid w:val="003E4299"/>
    <w:rsid w:val="003E70B9"/>
    <w:rsid w:val="003E7812"/>
    <w:rsid w:val="003F2136"/>
    <w:rsid w:val="003F277A"/>
    <w:rsid w:val="003F31E6"/>
    <w:rsid w:val="003F40F9"/>
    <w:rsid w:val="003F4C40"/>
    <w:rsid w:val="003F52FE"/>
    <w:rsid w:val="003F580D"/>
    <w:rsid w:val="003F61D7"/>
    <w:rsid w:val="00401F3A"/>
    <w:rsid w:val="0040272E"/>
    <w:rsid w:val="00402EA0"/>
    <w:rsid w:val="004041C9"/>
    <w:rsid w:val="004079CC"/>
    <w:rsid w:val="004106A7"/>
    <w:rsid w:val="00412823"/>
    <w:rsid w:val="0041382E"/>
    <w:rsid w:val="00413D00"/>
    <w:rsid w:val="00414410"/>
    <w:rsid w:val="00414992"/>
    <w:rsid w:val="0041506E"/>
    <w:rsid w:val="00416ED0"/>
    <w:rsid w:val="004175B0"/>
    <w:rsid w:val="00421C9B"/>
    <w:rsid w:val="00426041"/>
    <w:rsid w:val="00426CBC"/>
    <w:rsid w:val="0043002F"/>
    <w:rsid w:val="004303B3"/>
    <w:rsid w:val="00430927"/>
    <w:rsid w:val="0043308A"/>
    <w:rsid w:val="00433113"/>
    <w:rsid w:val="0043673C"/>
    <w:rsid w:val="00437DA0"/>
    <w:rsid w:val="004412CE"/>
    <w:rsid w:val="00442603"/>
    <w:rsid w:val="00444898"/>
    <w:rsid w:val="00445E88"/>
    <w:rsid w:val="00447FD0"/>
    <w:rsid w:val="00453254"/>
    <w:rsid w:val="0045366F"/>
    <w:rsid w:val="00453891"/>
    <w:rsid w:val="00453F4D"/>
    <w:rsid w:val="00455D49"/>
    <w:rsid w:val="00455DF1"/>
    <w:rsid w:val="00460F22"/>
    <w:rsid w:val="004624E7"/>
    <w:rsid w:val="0046446A"/>
    <w:rsid w:val="004645D0"/>
    <w:rsid w:val="00464A97"/>
    <w:rsid w:val="00464FA6"/>
    <w:rsid w:val="004651E5"/>
    <w:rsid w:val="00466053"/>
    <w:rsid w:val="004676E4"/>
    <w:rsid w:val="0046796E"/>
    <w:rsid w:val="004707EC"/>
    <w:rsid w:val="00470F11"/>
    <w:rsid w:val="0047173F"/>
    <w:rsid w:val="004722FE"/>
    <w:rsid w:val="00472A2C"/>
    <w:rsid w:val="00473397"/>
    <w:rsid w:val="004739B2"/>
    <w:rsid w:val="004761F8"/>
    <w:rsid w:val="0047624F"/>
    <w:rsid w:val="00476551"/>
    <w:rsid w:val="00476764"/>
    <w:rsid w:val="00477506"/>
    <w:rsid w:val="00477994"/>
    <w:rsid w:val="00480ED0"/>
    <w:rsid w:val="00481CB0"/>
    <w:rsid w:val="00482CC2"/>
    <w:rsid w:val="004835E4"/>
    <w:rsid w:val="00484CF0"/>
    <w:rsid w:val="004856F7"/>
    <w:rsid w:val="00487169"/>
    <w:rsid w:val="00490539"/>
    <w:rsid w:val="004907EE"/>
    <w:rsid w:val="004910C2"/>
    <w:rsid w:val="00491342"/>
    <w:rsid w:val="00491B25"/>
    <w:rsid w:val="004925DF"/>
    <w:rsid w:val="004929D1"/>
    <w:rsid w:val="00492F40"/>
    <w:rsid w:val="004939CA"/>
    <w:rsid w:val="00497D5C"/>
    <w:rsid w:val="004A243A"/>
    <w:rsid w:val="004A2756"/>
    <w:rsid w:val="004A49CD"/>
    <w:rsid w:val="004A4AED"/>
    <w:rsid w:val="004A58D1"/>
    <w:rsid w:val="004A5E88"/>
    <w:rsid w:val="004A65C0"/>
    <w:rsid w:val="004A6C11"/>
    <w:rsid w:val="004B1E66"/>
    <w:rsid w:val="004B4001"/>
    <w:rsid w:val="004B4B39"/>
    <w:rsid w:val="004B6A4D"/>
    <w:rsid w:val="004B6EA9"/>
    <w:rsid w:val="004B735F"/>
    <w:rsid w:val="004B77FF"/>
    <w:rsid w:val="004C0F0C"/>
    <w:rsid w:val="004C1C90"/>
    <w:rsid w:val="004C49FA"/>
    <w:rsid w:val="004C4C9B"/>
    <w:rsid w:val="004C7C47"/>
    <w:rsid w:val="004D0388"/>
    <w:rsid w:val="004D0478"/>
    <w:rsid w:val="004D0A93"/>
    <w:rsid w:val="004D20F5"/>
    <w:rsid w:val="004D34DD"/>
    <w:rsid w:val="004D382B"/>
    <w:rsid w:val="004D3B10"/>
    <w:rsid w:val="004D6E8F"/>
    <w:rsid w:val="004D73A7"/>
    <w:rsid w:val="004D7BA3"/>
    <w:rsid w:val="004E3C6A"/>
    <w:rsid w:val="004E645B"/>
    <w:rsid w:val="004F3AC9"/>
    <w:rsid w:val="004F3E60"/>
    <w:rsid w:val="004F46F0"/>
    <w:rsid w:val="004F4F78"/>
    <w:rsid w:val="004F55EC"/>
    <w:rsid w:val="004F6EFB"/>
    <w:rsid w:val="005013A2"/>
    <w:rsid w:val="0050386F"/>
    <w:rsid w:val="00510526"/>
    <w:rsid w:val="00510823"/>
    <w:rsid w:val="0051208D"/>
    <w:rsid w:val="005156DD"/>
    <w:rsid w:val="00515789"/>
    <w:rsid w:val="00516DA1"/>
    <w:rsid w:val="005201F1"/>
    <w:rsid w:val="00520ACC"/>
    <w:rsid w:val="00520B0B"/>
    <w:rsid w:val="005212D4"/>
    <w:rsid w:val="0052415B"/>
    <w:rsid w:val="005266CB"/>
    <w:rsid w:val="00527FBD"/>
    <w:rsid w:val="0053069A"/>
    <w:rsid w:val="005308B0"/>
    <w:rsid w:val="0053429F"/>
    <w:rsid w:val="0053444E"/>
    <w:rsid w:val="0053510C"/>
    <w:rsid w:val="005362B4"/>
    <w:rsid w:val="0053633A"/>
    <w:rsid w:val="0053722E"/>
    <w:rsid w:val="005400DC"/>
    <w:rsid w:val="00540475"/>
    <w:rsid w:val="00542CCA"/>
    <w:rsid w:val="0054309D"/>
    <w:rsid w:val="005436F3"/>
    <w:rsid w:val="00544451"/>
    <w:rsid w:val="005449D5"/>
    <w:rsid w:val="00544A6C"/>
    <w:rsid w:val="00551427"/>
    <w:rsid w:val="00551C0A"/>
    <w:rsid w:val="00554430"/>
    <w:rsid w:val="00554BE4"/>
    <w:rsid w:val="00560551"/>
    <w:rsid w:val="00561FE9"/>
    <w:rsid w:val="00562804"/>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C4D"/>
    <w:rsid w:val="00597498"/>
    <w:rsid w:val="0059767A"/>
    <w:rsid w:val="005A6007"/>
    <w:rsid w:val="005A6752"/>
    <w:rsid w:val="005A6DE4"/>
    <w:rsid w:val="005A7236"/>
    <w:rsid w:val="005B08B3"/>
    <w:rsid w:val="005B0F07"/>
    <w:rsid w:val="005B12CC"/>
    <w:rsid w:val="005B16D7"/>
    <w:rsid w:val="005B1BB5"/>
    <w:rsid w:val="005B3AC2"/>
    <w:rsid w:val="005B62FA"/>
    <w:rsid w:val="005B6576"/>
    <w:rsid w:val="005B77A9"/>
    <w:rsid w:val="005C09F1"/>
    <w:rsid w:val="005C153E"/>
    <w:rsid w:val="005C1CF3"/>
    <w:rsid w:val="005C37A8"/>
    <w:rsid w:val="005C3B0D"/>
    <w:rsid w:val="005C4B2D"/>
    <w:rsid w:val="005C5BC2"/>
    <w:rsid w:val="005C72E9"/>
    <w:rsid w:val="005C79F4"/>
    <w:rsid w:val="005D4D03"/>
    <w:rsid w:val="005D5292"/>
    <w:rsid w:val="005D5470"/>
    <w:rsid w:val="005D637B"/>
    <w:rsid w:val="005E14F6"/>
    <w:rsid w:val="005E162C"/>
    <w:rsid w:val="005E26A1"/>
    <w:rsid w:val="005E2D33"/>
    <w:rsid w:val="005E3431"/>
    <w:rsid w:val="005E494F"/>
    <w:rsid w:val="005E5312"/>
    <w:rsid w:val="005E588E"/>
    <w:rsid w:val="005E5F0F"/>
    <w:rsid w:val="005F0E22"/>
    <w:rsid w:val="005F1604"/>
    <w:rsid w:val="005F24F4"/>
    <w:rsid w:val="005F2903"/>
    <w:rsid w:val="005F31D7"/>
    <w:rsid w:val="005F3AA3"/>
    <w:rsid w:val="005F537F"/>
    <w:rsid w:val="005F7D07"/>
    <w:rsid w:val="0060020D"/>
    <w:rsid w:val="006008D6"/>
    <w:rsid w:val="00602794"/>
    <w:rsid w:val="00604135"/>
    <w:rsid w:val="006058CB"/>
    <w:rsid w:val="0060733C"/>
    <w:rsid w:val="006110AA"/>
    <w:rsid w:val="0061140B"/>
    <w:rsid w:val="00613453"/>
    <w:rsid w:val="0061470B"/>
    <w:rsid w:val="00615C2B"/>
    <w:rsid w:val="006164EC"/>
    <w:rsid w:val="00616AE1"/>
    <w:rsid w:val="00617F6B"/>
    <w:rsid w:val="0062067C"/>
    <w:rsid w:val="006214AD"/>
    <w:rsid w:val="0062249F"/>
    <w:rsid w:val="00625863"/>
    <w:rsid w:val="006260E5"/>
    <w:rsid w:val="006279DA"/>
    <w:rsid w:val="00627B69"/>
    <w:rsid w:val="00633754"/>
    <w:rsid w:val="00635E85"/>
    <w:rsid w:val="006371FF"/>
    <w:rsid w:val="00640718"/>
    <w:rsid w:val="00644A75"/>
    <w:rsid w:val="006472A0"/>
    <w:rsid w:val="006504C7"/>
    <w:rsid w:val="00651512"/>
    <w:rsid w:val="00654956"/>
    <w:rsid w:val="00654DE7"/>
    <w:rsid w:val="0065533C"/>
    <w:rsid w:val="00656A9D"/>
    <w:rsid w:val="00656F5E"/>
    <w:rsid w:val="00662CBC"/>
    <w:rsid w:val="0067038D"/>
    <w:rsid w:val="00671A6A"/>
    <w:rsid w:val="0067345B"/>
    <w:rsid w:val="00673F0C"/>
    <w:rsid w:val="00676A38"/>
    <w:rsid w:val="00680098"/>
    <w:rsid w:val="00680957"/>
    <w:rsid w:val="00686325"/>
    <w:rsid w:val="00686EC4"/>
    <w:rsid w:val="00687063"/>
    <w:rsid w:val="006877B3"/>
    <w:rsid w:val="006905D3"/>
    <w:rsid w:val="00691425"/>
    <w:rsid w:val="00694307"/>
    <w:rsid w:val="00695E17"/>
    <w:rsid w:val="00696763"/>
    <w:rsid w:val="0069734A"/>
    <w:rsid w:val="006A139A"/>
    <w:rsid w:val="006A1939"/>
    <w:rsid w:val="006A303A"/>
    <w:rsid w:val="006A45A4"/>
    <w:rsid w:val="006A5102"/>
    <w:rsid w:val="006B0367"/>
    <w:rsid w:val="006B147C"/>
    <w:rsid w:val="006B202A"/>
    <w:rsid w:val="006B4802"/>
    <w:rsid w:val="006B5097"/>
    <w:rsid w:val="006B5516"/>
    <w:rsid w:val="006B5D36"/>
    <w:rsid w:val="006B7A09"/>
    <w:rsid w:val="006C42CE"/>
    <w:rsid w:val="006C5486"/>
    <w:rsid w:val="006C592D"/>
    <w:rsid w:val="006C74B3"/>
    <w:rsid w:val="006D3791"/>
    <w:rsid w:val="006D465F"/>
    <w:rsid w:val="006D7209"/>
    <w:rsid w:val="006E11C9"/>
    <w:rsid w:val="006E31AE"/>
    <w:rsid w:val="006E4984"/>
    <w:rsid w:val="006E5E71"/>
    <w:rsid w:val="006F10AA"/>
    <w:rsid w:val="006F32BF"/>
    <w:rsid w:val="006F38F6"/>
    <w:rsid w:val="006F3989"/>
    <w:rsid w:val="006F4219"/>
    <w:rsid w:val="006F575A"/>
    <w:rsid w:val="006F6F12"/>
    <w:rsid w:val="00700A73"/>
    <w:rsid w:val="007015E9"/>
    <w:rsid w:val="00702A10"/>
    <w:rsid w:val="00704ED8"/>
    <w:rsid w:val="0070601C"/>
    <w:rsid w:val="00707008"/>
    <w:rsid w:val="0070730B"/>
    <w:rsid w:val="00710993"/>
    <w:rsid w:val="00712884"/>
    <w:rsid w:val="00713C6D"/>
    <w:rsid w:val="00715090"/>
    <w:rsid w:val="00715379"/>
    <w:rsid w:val="0071587A"/>
    <w:rsid w:val="007159EB"/>
    <w:rsid w:val="007160E0"/>
    <w:rsid w:val="00716E3F"/>
    <w:rsid w:val="00717DE7"/>
    <w:rsid w:val="007203E5"/>
    <w:rsid w:val="00720629"/>
    <w:rsid w:val="00720B16"/>
    <w:rsid w:val="007219C5"/>
    <w:rsid w:val="007223FC"/>
    <w:rsid w:val="00725F23"/>
    <w:rsid w:val="007267EB"/>
    <w:rsid w:val="0072737A"/>
    <w:rsid w:val="00730159"/>
    <w:rsid w:val="00730C0D"/>
    <w:rsid w:val="0073129C"/>
    <w:rsid w:val="00732053"/>
    <w:rsid w:val="0073226D"/>
    <w:rsid w:val="007324D2"/>
    <w:rsid w:val="007339DB"/>
    <w:rsid w:val="007356FC"/>
    <w:rsid w:val="00735CE3"/>
    <w:rsid w:val="0074101E"/>
    <w:rsid w:val="0074150A"/>
    <w:rsid w:val="00741FEC"/>
    <w:rsid w:val="00742F74"/>
    <w:rsid w:val="007433D3"/>
    <w:rsid w:val="00743F1B"/>
    <w:rsid w:val="0074430F"/>
    <w:rsid w:val="007448B9"/>
    <w:rsid w:val="007468E9"/>
    <w:rsid w:val="00746BED"/>
    <w:rsid w:val="00747D71"/>
    <w:rsid w:val="00750288"/>
    <w:rsid w:val="00751BF1"/>
    <w:rsid w:val="007537F1"/>
    <w:rsid w:val="007567FF"/>
    <w:rsid w:val="00756DA9"/>
    <w:rsid w:val="0075794D"/>
    <w:rsid w:val="007608C8"/>
    <w:rsid w:val="00761696"/>
    <w:rsid w:val="00761834"/>
    <w:rsid w:val="00761D56"/>
    <w:rsid w:val="007620D8"/>
    <w:rsid w:val="007631A8"/>
    <w:rsid w:val="007634BC"/>
    <w:rsid w:val="0076420A"/>
    <w:rsid w:val="0076492F"/>
    <w:rsid w:val="00764D0F"/>
    <w:rsid w:val="00764ED5"/>
    <w:rsid w:val="007665AE"/>
    <w:rsid w:val="007665E7"/>
    <w:rsid w:val="00773845"/>
    <w:rsid w:val="0077605D"/>
    <w:rsid w:val="00780896"/>
    <w:rsid w:val="00780E48"/>
    <w:rsid w:val="00780FF2"/>
    <w:rsid w:val="007815A1"/>
    <w:rsid w:val="00783133"/>
    <w:rsid w:val="00783BF6"/>
    <w:rsid w:val="0078501F"/>
    <w:rsid w:val="00785229"/>
    <w:rsid w:val="00790EF1"/>
    <w:rsid w:val="0079186B"/>
    <w:rsid w:val="007919EE"/>
    <w:rsid w:val="00793312"/>
    <w:rsid w:val="00796A9E"/>
    <w:rsid w:val="00797687"/>
    <w:rsid w:val="00797E0F"/>
    <w:rsid w:val="007A0BE3"/>
    <w:rsid w:val="007A25AF"/>
    <w:rsid w:val="007A263C"/>
    <w:rsid w:val="007A30A5"/>
    <w:rsid w:val="007A5FB9"/>
    <w:rsid w:val="007A6788"/>
    <w:rsid w:val="007A70C6"/>
    <w:rsid w:val="007B11D0"/>
    <w:rsid w:val="007B1CB5"/>
    <w:rsid w:val="007B27E9"/>
    <w:rsid w:val="007B2987"/>
    <w:rsid w:val="007B6A8F"/>
    <w:rsid w:val="007B70D3"/>
    <w:rsid w:val="007C1116"/>
    <w:rsid w:val="007C3AA6"/>
    <w:rsid w:val="007C4EF2"/>
    <w:rsid w:val="007C55D4"/>
    <w:rsid w:val="007C6164"/>
    <w:rsid w:val="007D093F"/>
    <w:rsid w:val="007D0BE8"/>
    <w:rsid w:val="007D2EDB"/>
    <w:rsid w:val="007D36CA"/>
    <w:rsid w:val="007D4C02"/>
    <w:rsid w:val="007D5920"/>
    <w:rsid w:val="007D6731"/>
    <w:rsid w:val="007D6837"/>
    <w:rsid w:val="007D7001"/>
    <w:rsid w:val="007D782F"/>
    <w:rsid w:val="007D7E87"/>
    <w:rsid w:val="007E1ECC"/>
    <w:rsid w:val="007E2A09"/>
    <w:rsid w:val="007E40DD"/>
    <w:rsid w:val="007E4D5F"/>
    <w:rsid w:val="007E7C73"/>
    <w:rsid w:val="007F0225"/>
    <w:rsid w:val="007F0268"/>
    <w:rsid w:val="007F0AC8"/>
    <w:rsid w:val="007F10CE"/>
    <w:rsid w:val="007F167C"/>
    <w:rsid w:val="007F2066"/>
    <w:rsid w:val="007F2B93"/>
    <w:rsid w:val="007F4005"/>
    <w:rsid w:val="007F64E9"/>
    <w:rsid w:val="007F7EFE"/>
    <w:rsid w:val="0080100B"/>
    <w:rsid w:val="00802684"/>
    <w:rsid w:val="00804380"/>
    <w:rsid w:val="00804490"/>
    <w:rsid w:val="00806B2A"/>
    <w:rsid w:val="00810DA4"/>
    <w:rsid w:val="008111B9"/>
    <w:rsid w:val="00813597"/>
    <w:rsid w:val="00814A29"/>
    <w:rsid w:val="008259B8"/>
    <w:rsid w:val="00825ADA"/>
    <w:rsid w:val="00825DEA"/>
    <w:rsid w:val="00827860"/>
    <w:rsid w:val="008279A8"/>
    <w:rsid w:val="00827E59"/>
    <w:rsid w:val="0083160C"/>
    <w:rsid w:val="0083338A"/>
    <w:rsid w:val="00833923"/>
    <w:rsid w:val="00834CDA"/>
    <w:rsid w:val="00835871"/>
    <w:rsid w:val="008362EF"/>
    <w:rsid w:val="008367C0"/>
    <w:rsid w:val="00836853"/>
    <w:rsid w:val="00840F68"/>
    <w:rsid w:val="00843EBB"/>
    <w:rsid w:val="008443EB"/>
    <w:rsid w:val="00844E1C"/>
    <w:rsid w:val="00855674"/>
    <w:rsid w:val="0085753E"/>
    <w:rsid w:val="0086291A"/>
    <w:rsid w:val="00862D4F"/>
    <w:rsid w:val="00871456"/>
    <w:rsid w:val="00872ABA"/>
    <w:rsid w:val="00872FCE"/>
    <w:rsid w:val="00874EBD"/>
    <w:rsid w:val="008761FC"/>
    <w:rsid w:val="00877D2F"/>
    <w:rsid w:val="008800C1"/>
    <w:rsid w:val="00881137"/>
    <w:rsid w:val="00883A75"/>
    <w:rsid w:val="00883F98"/>
    <w:rsid w:val="00884396"/>
    <w:rsid w:val="008843FC"/>
    <w:rsid w:val="00884D8C"/>
    <w:rsid w:val="008862BD"/>
    <w:rsid w:val="008917E7"/>
    <w:rsid w:val="008962E9"/>
    <w:rsid w:val="0089653C"/>
    <w:rsid w:val="008A0DE6"/>
    <w:rsid w:val="008A1FF5"/>
    <w:rsid w:val="008A233D"/>
    <w:rsid w:val="008A237E"/>
    <w:rsid w:val="008A447D"/>
    <w:rsid w:val="008A4AF5"/>
    <w:rsid w:val="008A62A5"/>
    <w:rsid w:val="008A7E2E"/>
    <w:rsid w:val="008A7F55"/>
    <w:rsid w:val="008B3124"/>
    <w:rsid w:val="008B6744"/>
    <w:rsid w:val="008B72A5"/>
    <w:rsid w:val="008B7762"/>
    <w:rsid w:val="008C0421"/>
    <w:rsid w:val="008C1918"/>
    <w:rsid w:val="008C1A51"/>
    <w:rsid w:val="008C2A4A"/>
    <w:rsid w:val="008C2F29"/>
    <w:rsid w:val="008C4AD0"/>
    <w:rsid w:val="008C4D41"/>
    <w:rsid w:val="008C6B30"/>
    <w:rsid w:val="008C7E05"/>
    <w:rsid w:val="008D3033"/>
    <w:rsid w:val="008D493B"/>
    <w:rsid w:val="008D4A7C"/>
    <w:rsid w:val="008D51DA"/>
    <w:rsid w:val="008D53A9"/>
    <w:rsid w:val="008D5615"/>
    <w:rsid w:val="008D5F0D"/>
    <w:rsid w:val="008D683A"/>
    <w:rsid w:val="008E0359"/>
    <w:rsid w:val="008E0805"/>
    <w:rsid w:val="008E0FFB"/>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6B8"/>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17A9"/>
    <w:rsid w:val="00922F29"/>
    <w:rsid w:val="009231E6"/>
    <w:rsid w:val="00924ED9"/>
    <w:rsid w:val="00927589"/>
    <w:rsid w:val="0093042C"/>
    <w:rsid w:val="00931316"/>
    <w:rsid w:val="00933086"/>
    <w:rsid w:val="009345FE"/>
    <w:rsid w:val="00934A0F"/>
    <w:rsid w:val="00936E55"/>
    <w:rsid w:val="00937ED6"/>
    <w:rsid w:val="009406E7"/>
    <w:rsid w:val="00940B04"/>
    <w:rsid w:val="00944AB3"/>
    <w:rsid w:val="00950141"/>
    <w:rsid w:val="00950FC7"/>
    <w:rsid w:val="00953FB3"/>
    <w:rsid w:val="00954542"/>
    <w:rsid w:val="0095455D"/>
    <w:rsid w:val="0095482D"/>
    <w:rsid w:val="009563AA"/>
    <w:rsid w:val="0095779A"/>
    <w:rsid w:val="00957E0C"/>
    <w:rsid w:val="009623A4"/>
    <w:rsid w:val="00962FDB"/>
    <w:rsid w:val="0096515A"/>
    <w:rsid w:val="00965C79"/>
    <w:rsid w:val="00966601"/>
    <w:rsid w:val="00967094"/>
    <w:rsid w:val="00970079"/>
    <w:rsid w:val="009700A9"/>
    <w:rsid w:val="00970A79"/>
    <w:rsid w:val="00973C9C"/>
    <w:rsid w:val="009752BD"/>
    <w:rsid w:val="009758CF"/>
    <w:rsid w:val="00981235"/>
    <w:rsid w:val="009812AF"/>
    <w:rsid w:val="00982894"/>
    <w:rsid w:val="00983893"/>
    <w:rsid w:val="0098672A"/>
    <w:rsid w:val="00990141"/>
    <w:rsid w:val="00990D6F"/>
    <w:rsid w:val="0099157D"/>
    <w:rsid w:val="00993A67"/>
    <w:rsid w:val="00994D7F"/>
    <w:rsid w:val="009962A0"/>
    <w:rsid w:val="00996341"/>
    <w:rsid w:val="0099644E"/>
    <w:rsid w:val="00996F8C"/>
    <w:rsid w:val="009A0627"/>
    <w:rsid w:val="009A1575"/>
    <w:rsid w:val="009A44CB"/>
    <w:rsid w:val="009A454D"/>
    <w:rsid w:val="009A472B"/>
    <w:rsid w:val="009A5C14"/>
    <w:rsid w:val="009A6E1F"/>
    <w:rsid w:val="009A7763"/>
    <w:rsid w:val="009A7B95"/>
    <w:rsid w:val="009B05E8"/>
    <w:rsid w:val="009B05F1"/>
    <w:rsid w:val="009B126C"/>
    <w:rsid w:val="009B2CF2"/>
    <w:rsid w:val="009B45E7"/>
    <w:rsid w:val="009B493A"/>
    <w:rsid w:val="009B4DE3"/>
    <w:rsid w:val="009B6612"/>
    <w:rsid w:val="009B6A55"/>
    <w:rsid w:val="009C158C"/>
    <w:rsid w:val="009C196E"/>
    <w:rsid w:val="009C3B52"/>
    <w:rsid w:val="009C3BEE"/>
    <w:rsid w:val="009C4A6F"/>
    <w:rsid w:val="009C6025"/>
    <w:rsid w:val="009D0371"/>
    <w:rsid w:val="009D18A0"/>
    <w:rsid w:val="009D1EF0"/>
    <w:rsid w:val="009D2B0D"/>
    <w:rsid w:val="009D478F"/>
    <w:rsid w:val="009D479C"/>
    <w:rsid w:val="009D5125"/>
    <w:rsid w:val="009D705F"/>
    <w:rsid w:val="009D7E79"/>
    <w:rsid w:val="009E1143"/>
    <w:rsid w:val="009E2925"/>
    <w:rsid w:val="009E3EA9"/>
    <w:rsid w:val="009E409E"/>
    <w:rsid w:val="009E4E0B"/>
    <w:rsid w:val="009E63C4"/>
    <w:rsid w:val="009E7131"/>
    <w:rsid w:val="009F0065"/>
    <w:rsid w:val="009F0651"/>
    <w:rsid w:val="009F0908"/>
    <w:rsid w:val="009F1BCB"/>
    <w:rsid w:val="009F2488"/>
    <w:rsid w:val="009F6E81"/>
    <w:rsid w:val="009F7321"/>
    <w:rsid w:val="00A00194"/>
    <w:rsid w:val="00A02BF2"/>
    <w:rsid w:val="00A031F9"/>
    <w:rsid w:val="00A05A0B"/>
    <w:rsid w:val="00A05E0C"/>
    <w:rsid w:val="00A12FE6"/>
    <w:rsid w:val="00A14944"/>
    <w:rsid w:val="00A2017E"/>
    <w:rsid w:val="00A2337E"/>
    <w:rsid w:val="00A24A28"/>
    <w:rsid w:val="00A24FA6"/>
    <w:rsid w:val="00A2547A"/>
    <w:rsid w:val="00A261BA"/>
    <w:rsid w:val="00A348AD"/>
    <w:rsid w:val="00A403A8"/>
    <w:rsid w:val="00A404B2"/>
    <w:rsid w:val="00A41901"/>
    <w:rsid w:val="00A428F3"/>
    <w:rsid w:val="00A446D4"/>
    <w:rsid w:val="00A4582E"/>
    <w:rsid w:val="00A466C5"/>
    <w:rsid w:val="00A472C5"/>
    <w:rsid w:val="00A50CD1"/>
    <w:rsid w:val="00A528CC"/>
    <w:rsid w:val="00A52EF0"/>
    <w:rsid w:val="00A5472F"/>
    <w:rsid w:val="00A54C4F"/>
    <w:rsid w:val="00A560DE"/>
    <w:rsid w:val="00A56F02"/>
    <w:rsid w:val="00A57FD5"/>
    <w:rsid w:val="00A60853"/>
    <w:rsid w:val="00A62028"/>
    <w:rsid w:val="00A6320B"/>
    <w:rsid w:val="00A64491"/>
    <w:rsid w:val="00A66DA4"/>
    <w:rsid w:val="00A7441C"/>
    <w:rsid w:val="00A75036"/>
    <w:rsid w:val="00A7606A"/>
    <w:rsid w:val="00A7702A"/>
    <w:rsid w:val="00A80332"/>
    <w:rsid w:val="00A80D18"/>
    <w:rsid w:val="00A810A5"/>
    <w:rsid w:val="00A84413"/>
    <w:rsid w:val="00A85069"/>
    <w:rsid w:val="00A851D3"/>
    <w:rsid w:val="00A85C99"/>
    <w:rsid w:val="00A86059"/>
    <w:rsid w:val="00A8682A"/>
    <w:rsid w:val="00A877EA"/>
    <w:rsid w:val="00A90434"/>
    <w:rsid w:val="00A90848"/>
    <w:rsid w:val="00A90D5D"/>
    <w:rsid w:val="00A919A8"/>
    <w:rsid w:val="00A95E04"/>
    <w:rsid w:val="00A9702D"/>
    <w:rsid w:val="00AA09CE"/>
    <w:rsid w:val="00AA109A"/>
    <w:rsid w:val="00AA184D"/>
    <w:rsid w:val="00AA3ADF"/>
    <w:rsid w:val="00AA3CD0"/>
    <w:rsid w:val="00AA4945"/>
    <w:rsid w:val="00AA4F18"/>
    <w:rsid w:val="00AA6274"/>
    <w:rsid w:val="00AA7490"/>
    <w:rsid w:val="00AA7EB9"/>
    <w:rsid w:val="00AB0321"/>
    <w:rsid w:val="00AB21EA"/>
    <w:rsid w:val="00AB29DA"/>
    <w:rsid w:val="00AB2D5C"/>
    <w:rsid w:val="00AB3A37"/>
    <w:rsid w:val="00AB51C0"/>
    <w:rsid w:val="00AB538D"/>
    <w:rsid w:val="00AB6DAC"/>
    <w:rsid w:val="00AB70F7"/>
    <w:rsid w:val="00AC12F5"/>
    <w:rsid w:val="00AC56CE"/>
    <w:rsid w:val="00AC59CF"/>
    <w:rsid w:val="00AC604F"/>
    <w:rsid w:val="00AC71B2"/>
    <w:rsid w:val="00AD2B07"/>
    <w:rsid w:val="00AD2F15"/>
    <w:rsid w:val="00AD4224"/>
    <w:rsid w:val="00AD4E75"/>
    <w:rsid w:val="00AD6DC7"/>
    <w:rsid w:val="00AD74C8"/>
    <w:rsid w:val="00AE3181"/>
    <w:rsid w:val="00AE357C"/>
    <w:rsid w:val="00AE7EDF"/>
    <w:rsid w:val="00AF07F9"/>
    <w:rsid w:val="00AF165B"/>
    <w:rsid w:val="00AF3257"/>
    <w:rsid w:val="00AF4186"/>
    <w:rsid w:val="00B01969"/>
    <w:rsid w:val="00B04BED"/>
    <w:rsid w:val="00B063DD"/>
    <w:rsid w:val="00B10470"/>
    <w:rsid w:val="00B10AEC"/>
    <w:rsid w:val="00B12515"/>
    <w:rsid w:val="00B16963"/>
    <w:rsid w:val="00B2044E"/>
    <w:rsid w:val="00B234B3"/>
    <w:rsid w:val="00B24FA2"/>
    <w:rsid w:val="00B25B08"/>
    <w:rsid w:val="00B25FE5"/>
    <w:rsid w:val="00B30BB7"/>
    <w:rsid w:val="00B320FF"/>
    <w:rsid w:val="00B32B9E"/>
    <w:rsid w:val="00B32FB1"/>
    <w:rsid w:val="00B33683"/>
    <w:rsid w:val="00B35AFE"/>
    <w:rsid w:val="00B366A5"/>
    <w:rsid w:val="00B40329"/>
    <w:rsid w:val="00B40B8D"/>
    <w:rsid w:val="00B4103B"/>
    <w:rsid w:val="00B41412"/>
    <w:rsid w:val="00B432A2"/>
    <w:rsid w:val="00B45440"/>
    <w:rsid w:val="00B5466A"/>
    <w:rsid w:val="00B546E5"/>
    <w:rsid w:val="00B54E07"/>
    <w:rsid w:val="00B565C8"/>
    <w:rsid w:val="00B57F78"/>
    <w:rsid w:val="00B62F9E"/>
    <w:rsid w:val="00B67ED0"/>
    <w:rsid w:val="00B70E53"/>
    <w:rsid w:val="00B71451"/>
    <w:rsid w:val="00B74278"/>
    <w:rsid w:val="00B74705"/>
    <w:rsid w:val="00B74730"/>
    <w:rsid w:val="00B75149"/>
    <w:rsid w:val="00B803D6"/>
    <w:rsid w:val="00B82DF0"/>
    <w:rsid w:val="00B83257"/>
    <w:rsid w:val="00B83350"/>
    <w:rsid w:val="00B903E3"/>
    <w:rsid w:val="00B911C2"/>
    <w:rsid w:val="00B91DF8"/>
    <w:rsid w:val="00B93396"/>
    <w:rsid w:val="00B95300"/>
    <w:rsid w:val="00B9543E"/>
    <w:rsid w:val="00B9594C"/>
    <w:rsid w:val="00B96F03"/>
    <w:rsid w:val="00B9734C"/>
    <w:rsid w:val="00B975B8"/>
    <w:rsid w:val="00BA0B05"/>
    <w:rsid w:val="00BA1C6F"/>
    <w:rsid w:val="00BA314C"/>
    <w:rsid w:val="00BA6C1F"/>
    <w:rsid w:val="00BB05FC"/>
    <w:rsid w:val="00BB1E94"/>
    <w:rsid w:val="00BB57F4"/>
    <w:rsid w:val="00BB64DA"/>
    <w:rsid w:val="00BB6685"/>
    <w:rsid w:val="00BB6E21"/>
    <w:rsid w:val="00BB7712"/>
    <w:rsid w:val="00BC0B66"/>
    <w:rsid w:val="00BC0F39"/>
    <w:rsid w:val="00BC177D"/>
    <w:rsid w:val="00BC1A41"/>
    <w:rsid w:val="00BC2114"/>
    <w:rsid w:val="00BC2908"/>
    <w:rsid w:val="00BC3FC3"/>
    <w:rsid w:val="00BC5224"/>
    <w:rsid w:val="00BC6BAB"/>
    <w:rsid w:val="00BC6FDF"/>
    <w:rsid w:val="00BC7299"/>
    <w:rsid w:val="00BC7AE4"/>
    <w:rsid w:val="00BC7D79"/>
    <w:rsid w:val="00BD02DD"/>
    <w:rsid w:val="00BD09E2"/>
    <w:rsid w:val="00BD1502"/>
    <w:rsid w:val="00BD223E"/>
    <w:rsid w:val="00BD4A4B"/>
    <w:rsid w:val="00BD4C27"/>
    <w:rsid w:val="00BD6E92"/>
    <w:rsid w:val="00BE0F25"/>
    <w:rsid w:val="00BE274E"/>
    <w:rsid w:val="00BE336C"/>
    <w:rsid w:val="00BE4D2C"/>
    <w:rsid w:val="00BE7F6B"/>
    <w:rsid w:val="00BF0382"/>
    <w:rsid w:val="00BF082E"/>
    <w:rsid w:val="00BF1E0A"/>
    <w:rsid w:val="00BF27E9"/>
    <w:rsid w:val="00BF6F76"/>
    <w:rsid w:val="00BF7FED"/>
    <w:rsid w:val="00C02978"/>
    <w:rsid w:val="00C034A9"/>
    <w:rsid w:val="00C03859"/>
    <w:rsid w:val="00C05A1D"/>
    <w:rsid w:val="00C05E01"/>
    <w:rsid w:val="00C05E42"/>
    <w:rsid w:val="00C063F1"/>
    <w:rsid w:val="00C078BD"/>
    <w:rsid w:val="00C108D8"/>
    <w:rsid w:val="00C13805"/>
    <w:rsid w:val="00C15CA6"/>
    <w:rsid w:val="00C16807"/>
    <w:rsid w:val="00C2025F"/>
    <w:rsid w:val="00C2167D"/>
    <w:rsid w:val="00C21BCC"/>
    <w:rsid w:val="00C2403A"/>
    <w:rsid w:val="00C24CC2"/>
    <w:rsid w:val="00C266D3"/>
    <w:rsid w:val="00C266DA"/>
    <w:rsid w:val="00C267A0"/>
    <w:rsid w:val="00C26FE9"/>
    <w:rsid w:val="00C27D03"/>
    <w:rsid w:val="00C31095"/>
    <w:rsid w:val="00C32321"/>
    <w:rsid w:val="00C326FF"/>
    <w:rsid w:val="00C33111"/>
    <w:rsid w:val="00C349F0"/>
    <w:rsid w:val="00C34A1E"/>
    <w:rsid w:val="00C3720B"/>
    <w:rsid w:val="00C41423"/>
    <w:rsid w:val="00C4334F"/>
    <w:rsid w:val="00C4434A"/>
    <w:rsid w:val="00C44974"/>
    <w:rsid w:val="00C44E9E"/>
    <w:rsid w:val="00C46098"/>
    <w:rsid w:val="00C46439"/>
    <w:rsid w:val="00C46B32"/>
    <w:rsid w:val="00C47A26"/>
    <w:rsid w:val="00C50E1F"/>
    <w:rsid w:val="00C516EC"/>
    <w:rsid w:val="00C53DC9"/>
    <w:rsid w:val="00C571A9"/>
    <w:rsid w:val="00C615A7"/>
    <w:rsid w:val="00C616BF"/>
    <w:rsid w:val="00C62C5D"/>
    <w:rsid w:val="00C64873"/>
    <w:rsid w:val="00C65A0A"/>
    <w:rsid w:val="00C66628"/>
    <w:rsid w:val="00C67D2F"/>
    <w:rsid w:val="00C7422F"/>
    <w:rsid w:val="00C751BF"/>
    <w:rsid w:val="00C7651A"/>
    <w:rsid w:val="00C77280"/>
    <w:rsid w:val="00C812AA"/>
    <w:rsid w:val="00C81AD1"/>
    <w:rsid w:val="00C83111"/>
    <w:rsid w:val="00C84265"/>
    <w:rsid w:val="00C84ED5"/>
    <w:rsid w:val="00C9070B"/>
    <w:rsid w:val="00C90B40"/>
    <w:rsid w:val="00C94791"/>
    <w:rsid w:val="00C96465"/>
    <w:rsid w:val="00C96D0A"/>
    <w:rsid w:val="00CA001B"/>
    <w:rsid w:val="00CA01AD"/>
    <w:rsid w:val="00CA2625"/>
    <w:rsid w:val="00CA3024"/>
    <w:rsid w:val="00CA3E46"/>
    <w:rsid w:val="00CA5475"/>
    <w:rsid w:val="00CA6FE3"/>
    <w:rsid w:val="00CB19DA"/>
    <w:rsid w:val="00CB1BF5"/>
    <w:rsid w:val="00CB1D8D"/>
    <w:rsid w:val="00CB44F6"/>
    <w:rsid w:val="00CB4923"/>
    <w:rsid w:val="00CB51FF"/>
    <w:rsid w:val="00CC0334"/>
    <w:rsid w:val="00CC1692"/>
    <w:rsid w:val="00CC1B8B"/>
    <w:rsid w:val="00CC1DF5"/>
    <w:rsid w:val="00CC2CB6"/>
    <w:rsid w:val="00CC3A59"/>
    <w:rsid w:val="00CC4253"/>
    <w:rsid w:val="00CC4804"/>
    <w:rsid w:val="00CC5133"/>
    <w:rsid w:val="00CC5F27"/>
    <w:rsid w:val="00CC63FE"/>
    <w:rsid w:val="00CC7437"/>
    <w:rsid w:val="00CD084A"/>
    <w:rsid w:val="00CD1386"/>
    <w:rsid w:val="00CD20E1"/>
    <w:rsid w:val="00CD3BBB"/>
    <w:rsid w:val="00CD3C54"/>
    <w:rsid w:val="00CE30B4"/>
    <w:rsid w:val="00CE3521"/>
    <w:rsid w:val="00CE5723"/>
    <w:rsid w:val="00CF1168"/>
    <w:rsid w:val="00CF1C88"/>
    <w:rsid w:val="00CF3FC7"/>
    <w:rsid w:val="00CF5493"/>
    <w:rsid w:val="00CF67D8"/>
    <w:rsid w:val="00CF694E"/>
    <w:rsid w:val="00CF6BF4"/>
    <w:rsid w:val="00CF7DE9"/>
    <w:rsid w:val="00D01398"/>
    <w:rsid w:val="00D0189D"/>
    <w:rsid w:val="00D04528"/>
    <w:rsid w:val="00D050BA"/>
    <w:rsid w:val="00D05E32"/>
    <w:rsid w:val="00D06FC6"/>
    <w:rsid w:val="00D11032"/>
    <w:rsid w:val="00D11CE7"/>
    <w:rsid w:val="00D12281"/>
    <w:rsid w:val="00D14D03"/>
    <w:rsid w:val="00D152C6"/>
    <w:rsid w:val="00D17296"/>
    <w:rsid w:val="00D2009E"/>
    <w:rsid w:val="00D216AA"/>
    <w:rsid w:val="00D2772F"/>
    <w:rsid w:val="00D3079F"/>
    <w:rsid w:val="00D30C5E"/>
    <w:rsid w:val="00D3100A"/>
    <w:rsid w:val="00D312EB"/>
    <w:rsid w:val="00D31848"/>
    <w:rsid w:val="00D31B88"/>
    <w:rsid w:val="00D32E38"/>
    <w:rsid w:val="00D3348F"/>
    <w:rsid w:val="00D3413F"/>
    <w:rsid w:val="00D3483B"/>
    <w:rsid w:val="00D3497A"/>
    <w:rsid w:val="00D373B0"/>
    <w:rsid w:val="00D4142C"/>
    <w:rsid w:val="00D4229B"/>
    <w:rsid w:val="00D45C32"/>
    <w:rsid w:val="00D462AD"/>
    <w:rsid w:val="00D46FF7"/>
    <w:rsid w:val="00D47AD5"/>
    <w:rsid w:val="00D518C3"/>
    <w:rsid w:val="00D51C09"/>
    <w:rsid w:val="00D532C6"/>
    <w:rsid w:val="00D5426B"/>
    <w:rsid w:val="00D5599A"/>
    <w:rsid w:val="00D55B21"/>
    <w:rsid w:val="00D569AD"/>
    <w:rsid w:val="00D605E5"/>
    <w:rsid w:val="00D62A8B"/>
    <w:rsid w:val="00D659FB"/>
    <w:rsid w:val="00D71595"/>
    <w:rsid w:val="00D71B33"/>
    <w:rsid w:val="00D740F4"/>
    <w:rsid w:val="00D802FD"/>
    <w:rsid w:val="00D869C5"/>
    <w:rsid w:val="00D91951"/>
    <w:rsid w:val="00D932E1"/>
    <w:rsid w:val="00D937A6"/>
    <w:rsid w:val="00D94A5A"/>
    <w:rsid w:val="00D95B09"/>
    <w:rsid w:val="00DA0427"/>
    <w:rsid w:val="00DA05B7"/>
    <w:rsid w:val="00DA266F"/>
    <w:rsid w:val="00DA2928"/>
    <w:rsid w:val="00DA3AE2"/>
    <w:rsid w:val="00DA3B33"/>
    <w:rsid w:val="00DA42A3"/>
    <w:rsid w:val="00DA5B4D"/>
    <w:rsid w:val="00DA5D00"/>
    <w:rsid w:val="00DA7075"/>
    <w:rsid w:val="00DA74A2"/>
    <w:rsid w:val="00DB39F6"/>
    <w:rsid w:val="00DB4F9B"/>
    <w:rsid w:val="00DB52FC"/>
    <w:rsid w:val="00DB6664"/>
    <w:rsid w:val="00DB73FB"/>
    <w:rsid w:val="00DB7CD4"/>
    <w:rsid w:val="00DC0DBE"/>
    <w:rsid w:val="00DC28C2"/>
    <w:rsid w:val="00DC3679"/>
    <w:rsid w:val="00DC429D"/>
    <w:rsid w:val="00DC6E17"/>
    <w:rsid w:val="00DC6F8F"/>
    <w:rsid w:val="00DD26B7"/>
    <w:rsid w:val="00DD35D4"/>
    <w:rsid w:val="00DD4DCA"/>
    <w:rsid w:val="00DD5CCB"/>
    <w:rsid w:val="00DD6003"/>
    <w:rsid w:val="00DD7B1D"/>
    <w:rsid w:val="00DE0F17"/>
    <w:rsid w:val="00DE1A4C"/>
    <w:rsid w:val="00DE285A"/>
    <w:rsid w:val="00DE2F3F"/>
    <w:rsid w:val="00DE5417"/>
    <w:rsid w:val="00DE5630"/>
    <w:rsid w:val="00DE7227"/>
    <w:rsid w:val="00DE76FC"/>
    <w:rsid w:val="00DF1FF6"/>
    <w:rsid w:val="00DF3789"/>
    <w:rsid w:val="00DF3F22"/>
    <w:rsid w:val="00DF4BAB"/>
    <w:rsid w:val="00DF5D14"/>
    <w:rsid w:val="00DF608E"/>
    <w:rsid w:val="00DF6CC5"/>
    <w:rsid w:val="00DF6FF1"/>
    <w:rsid w:val="00DF76E0"/>
    <w:rsid w:val="00E015A9"/>
    <w:rsid w:val="00E02883"/>
    <w:rsid w:val="00E04029"/>
    <w:rsid w:val="00E041D0"/>
    <w:rsid w:val="00E10861"/>
    <w:rsid w:val="00E120BC"/>
    <w:rsid w:val="00E13668"/>
    <w:rsid w:val="00E1376C"/>
    <w:rsid w:val="00E14F99"/>
    <w:rsid w:val="00E15635"/>
    <w:rsid w:val="00E16BEE"/>
    <w:rsid w:val="00E21B02"/>
    <w:rsid w:val="00E23869"/>
    <w:rsid w:val="00E26156"/>
    <w:rsid w:val="00E27323"/>
    <w:rsid w:val="00E3099D"/>
    <w:rsid w:val="00E333FB"/>
    <w:rsid w:val="00E3345C"/>
    <w:rsid w:val="00E35424"/>
    <w:rsid w:val="00E36F7B"/>
    <w:rsid w:val="00E40778"/>
    <w:rsid w:val="00E41FE9"/>
    <w:rsid w:val="00E43F90"/>
    <w:rsid w:val="00E4501A"/>
    <w:rsid w:val="00E4586E"/>
    <w:rsid w:val="00E46BFA"/>
    <w:rsid w:val="00E4763A"/>
    <w:rsid w:val="00E477BE"/>
    <w:rsid w:val="00E47B62"/>
    <w:rsid w:val="00E51517"/>
    <w:rsid w:val="00E51F74"/>
    <w:rsid w:val="00E54533"/>
    <w:rsid w:val="00E55868"/>
    <w:rsid w:val="00E60C14"/>
    <w:rsid w:val="00E61815"/>
    <w:rsid w:val="00E62E3D"/>
    <w:rsid w:val="00E651EB"/>
    <w:rsid w:val="00E65D86"/>
    <w:rsid w:val="00E66967"/>
    <w:rsid w:val="00E67E1C"/>
    <w:rsid w:val="00E70E2A"/>
    <w:rsid w:val="00E72C1A"/>
    <w:rsid w:val="00E74BBE"/>
    <w:rsid w:val="00E7629F"/>
    <w:rsid w:val="00E763CD"/>
    <w:rsid w:val="00E76A0F"/>
    <w:rsid w:val="00E7711B"/>
    <w:rsid w:val="00E8114F"/>
    <w:rsid w:val="00E813BE"/>
    <w:rsid w:val="00E82B64"/>
    <w:rsid w:val="00E83E08"/>
    <w:rsid w:val="00E84C8B"/>
    <w:rsid w:val="00E850A3"/>
    <w:rsid w:val="00E8528B"/>
    <w:rsid w:val="00E86A15"/>
    <w:rsid w:val="00E87034"/>
    <w:rsid w:val="00E90733"/>
    <w:rsid w:val="00E90F26"/>
    <w:rsid w:val="00E931A2"/>
    <w:rsid w:val="00E93D9A"/>
    <w:rsid w:val="00E96340"/>
    <w:rsid w:val="00EA10C5"/>
    <w:rsid w:val="00EA38D5"/>
    <w:rsid w:val="00EA4363"/>
    <w:rsid w:val="00EA5409"/>
    <w:rsid w:val="00EA5F10"/>
    <w:rsid w:val="00EA5F30"/>
    <w:rsid w:val="00EA6F59"/>
    <w:rsid w:val="00EA789A"/>
    <w:rsid w:val="00EB219C"/>
    <w:rsid w:val="00EB321E"/>
    <w:rsid w:val="00EB64FC"/>
    <w:rsid w:val="00EB7B3E"/>
    <w:rsid w:val="00EC0FC7"/>
    <w:rsid w:val="00EC3466"/>
    <w:rsid w:val="00EC37C6"/>
    <w:rsid w:val="00EC3CEA"/>
    <w:rsid w:val="00EC6A61"/>
    <w:rsid w:val="00EC744B"/>
    <w:rsid w:val="00EC778D"/>
    <w:rsid w:val="00EC7B5A"/>
    <w:rsid w:val="00ED0479"/>
    <w:rsid w:val="00ED1573"/>
    <w:rsid w:val="00ED1966"/>
    <w:rsid w:val="00ED419B"/>
    <w:rsid w:val="00ED4DA5"/>
    <w:rsid w:val="00ED5AF3"/>
    <w:rsid w:val="00ED6E55"/>
    <w:rsid w:val="00ED7419"/>
    <w:rsid w:val="00EE050F"/>
    <w:rsid w:val="00EE081A"/>
    <w:rsid w:val="00EE1EB5"/>
    <w:rsid w:val="00EE243B"/>
    <w:rsid w:val="00EE60DB"/>
    <w:rsid w:val="00EE7E38"/>
    <w:rsid w:val="00EE7EEA"/>
    <w:rsid w:val="00EF1D7E"/>
    <w:rsid w:val="00EF39FC"/>
    <w:rsid w:val="00EF4CEE"/>
    <w:rsid w:val="00EF5638"/>
    <w:rsid w:val="00EF6801"/>
    <w:rsid w:val="00EF7F09"/>
    <w:rsid w:val="00F016CA"/>
    <w:rsid w:val="00F01E4F"/>
    <w:rsid w:val="00F04143"/>
    <w:rsid w:val="00F0482C"/>
    <w:rsid w:val="00F05318"/>
    <w:rsid w:val="00F070F6"/>
    <w:rsid w:val="00F0740D"/>
    <w:rsid w:val="00F07750"/>
    <w:rsid w:val="00F07780"/>
    <w:rsid w:val="00F106C0"/>
    <w:rsid w:val="00F10988"/>
    <w:rsid w:val="00F12149"/>
    <w:rsid w:val="00F13587"/>
    <w:rsid w:val="00F1455C"/>
    <w:rsid w:val="00F152E4"/>
    <w:rsid w:val="00F16387"/>
    <w:rsid w:val="00F203C7"/>
    <w:rsid w:val="00F210E0"/>
    <w:rsid w:val="00F21646"/>
    <w:rsid w:val="00F21917"/>
    <w:rsid w:val="00F27A4B"/>
    <w:rsid w:val="00F27BB1"/>
    <w:rsid w:val="00F32B0E"/>
    <w:rsid w:val="00F3317D"/>
    <w:rsid w:val="00F33DC4"/>
    <w:rsid w:val="00F35946"/>
    <w:rsid w:val="00F359C0"/>
    <w:rsid w:val="00F36CF9"/>
    <w:rsid w:val="00F37DBE"/>
    <w:rsid w:val="00F430AC"/>
    <w:rsid w:val="00F451E9"/>
    <w:rsid w:val="00F462D5"/>
    <w:rsid w:val="00F46975"/>
    <w:rsid w:val="00F477B9"/>
    <w:rsid w:val="00F51B7B"/>
    <w:rsid w:val="00F53604"/>
    <w:rsid w:val="00F54A39"/>
    <w:rsid w:val="00F54B2D"/>
    <w:rsid w:val="00F55625"/>
    <w:rsid w:val="00F55FAE"/>
    <w:rsid w:val="00F60171"/>
    <w:rsid w:val="00F6086F"/>
    <w:rsid w:val="00F613FA"/>
    <w:rsid w:val="00F64D8D"/>
    <w:rsid w:val="00F65813"/>
    <w:rsid w:val="00F6631F"/>
    <w:rsid w:val="00F72112"/>
    <w:rsid w:val="00F723D6"/>
    <w:rsid w:val="00F724AB"/>
    <w:rsid w:val="00F77E87"/>
    <w:rsid w:val="00F806A9"/>
    <w:rsid w:val="00F81620"/>
    <w:rsid w:val="00F8217F"/>
    <w:rsid w:val="00F83113"/>
    <w:rsid w:val="00F83C22"/>
    <w:rsid w:val="00F84521"/>
    <w:rsid w:val="00F87451"/>
    <w:rsid w:val="00F906AB"/>
    <w:rsid w:val="00F91766"/>
    <w:rsid w:val="00F91A6E"/>
    <w:rsid w:val="00F94B2E"/>
    <w:rsid w:val="00F96B7D"/>
    <w:rsid w:val="00FA0465"/>
    <w:rsid w:val="00FA0537"/>
    <w:rsid w:val="00FA25EA"/>
    <w:rsid w:val="00FA2ECA"/>
    <w:rsid w:val="00FA2FA8"/>
    <w:rsid w:val="00FA65E5"/>
    <w:rsid w:val="00FA6A63"/>
    <w:rsid w:val="00FB1348"/>
    <w:rsid w:val="00FB1EA0"/>
    <w:rsid w:val="00FB2144"/>
    <w:rsid w:val="00FB2DA4"/>
    <w:rsid w:val="00FB45C2"/>
    <w:rsid w:val="00FB4D20"/>
    <w:rsid w:val="00FB6B51"/>
    <w:rsid w:val="00FC2786"/>
    <w:rsid w:val="00FC36CB"/>
    <w:rsid w:val="00FC3779"/>
    <w:rsid w:val="00FC3A7F"/>
    <w:rsid w:val="00FC400D"/>
    <w:rsid w:val="00FC58AA"/>
    <w:rsid w:val="00FC7979"/>
    <w:rsid w:val="00FC7CE2"/>
    <w:rsid w:val="00FD1489"/>
    <w:rsid w:val="00FD15A5"/>
    <w:rsid w:val="00FD2169"/>
    <w:rsid w:val="00FD24D9"/>
    <w:rsid w:val="00FD2B4A"/>
    <w:rsid w:val="00FD43CA"/>
    <w:rsid w:val="00FD6DF3"/>
    <w:rsid w:val="00FD7C6C"/>
    <w:rsid w:val="00FE54A8"/>
    <w:rsid w:val="00FE6741"/>
    <w:rsid w:val="00FE6B1A"/>
    <w:rsid w:val="00FF06F9"/>
    <w:rsid w:val="00FF0FB4"/>
    <w:rsid w:val="00FF1A88"/>
    <w:rsid w:val="00FF2B2A"/>
    <w:rsid w:val="00FF2B97"/>
    <w:rsid w:val="00FF4EE6"/>
    <w:rsid w:val="00FF56A1"/>
    <w:rsid w:val="00FF683E"/>
    <w:rsid w:val="01121497"/>
    <w:rsid w:val="015E4ACC"/>
    <w:rsid w:val="01C730F2"/>
    <w:rsid w:val="01E43CBF"/>
    <w:rsid w:val="02C07E4D"/>
    <w:rsid w:val="02E37ABF"/>
    <w:rsid w:val="02FB592B"/>
    <w:rsid w:val="030D521D"/>
    <w:rsid w:val="03170A01"/>
    <w:rsid w:val="03283731"/>
    <w:rsid w:val="03733F9F"/>
    <w:rsid w:val="037F0BBF"/>
    <w:rsid w:val="038A5633"/>
    <w:rsid w:val="03A15972"/>
    <w:rsid w:val="03C921F3"/>
    <w:rsid w:val="03D21BAC"/>
    <w:rsid w:val="03D57463"/>
    <w:rsid w:val="03F16F68"/>
    <w:rsid w:val="040A0EAD"/>
    <w:rsid w:val="043B6855"/>
    <w:rsid w:val="04520C0B"/>
    <w:rsid w:val="045673B4"/>
    <w:rsid w:val="04960483"/>
    <w:rsid w:val="04AE6833"/>
    <w:rsid w:val="04B25C1F"/>
    <w:rsid w:val="04EF1AD4"/>
    <w:rsid w:val="054F2D29"/>
    <w:rsid w:val="05503AC8"/>
    <w:rsid w:val="05630093"/>
    <w:rsid w:val="06015ED2"/>
    <w:rsid w:val="06332485"/>
    <w:rsid w:val="065307D7"/>
    <w:rsid w:val="06AE1485"/>
    <w:rsid w:val="06B412C4"/>
    <w:rsid w:val="06B663DD"/>
    <w:rsid w:val="06DB0936"/>
    <w:rsid w:val="071855DF"/>
    <w:rsid w:val="07987386"/>
    <w:rsid w:val="07AF16EA"/>
    <w:rsid w:val="07AF7507"/>
    <w:rsid w:val="07C077AF"/>
    <w:rsid w:val="07CC09E0"/>
    <w:rsid w:val="07CE6FF4"/>
    <w:rsid w:val="07E44547"/>
    <w:rsid w:val="0815348B"/>
    <w:rsid w:val="086F1AF9"/>
    <w:rsid w:val="089C2F2F"/>
    <w:rsid w:val="0903750C"/>
    <w:rsid w:val="09292A93"/>
    <w:rsid w:val="094974E2"/>
    <w:rsid w:val="09931BA1"/>
    <w:rsid w:val="09A76713"/>
    <w:rsid w:val="09C360E6"/>
    <w:rsid w:val="09D232AC"/>
    <w:rsid w:val="09F85AAA"/>
    <w:rsid w:val="0A690D01"/>
    <w:rsid w:val="0A9642EF"/>
    <w:rsid w:val="0AC31CF6"/>
    <w:rsid w:val="0ADF7CF2"/>
    <w:rsid w:val="0B154424"/>
    <w:rsid w:val="0B187D40"/>
    <w:rsid w:val="0B44322A"/>
    <w:rsid w:val="0B763970"/>
    <w:rsid w:val="0B7A0295"/>
    <w:rsid w:val="0BCC3CF8"/>
    <w:rsid w:val="0BD073E6"/>
    <w:rsid w:val="0C2A4705"/>
    <w:rsid w:val="0C453D35"/>
    <w:rsid w:val="0C8C56A3"/>
    <w:rsid w:val="0CAD11F0"/>
    <w:rsid w:val="0D1E3320"/>
    <w:rsid w:val="0D81039E"/>
    <w:rsid w:val="0D886840"/>
    <w:rsid w:val="0DB51EB2"/>
    <w:rsid w:val="0DBA2892"/>
    <w:rsid w:val="0DC230DA"/>
    <w:rsid w:val="0DFC43EE"/>
    <w:rsid w:val="0E071751"/>
    <w:rsid w:val="0E155DCE"/>
    <w:rsid w:val="0EF3581F"/>
    <w:rsid w:val="0FC11C86"/>
    <w:rsid w:val="0FE963AA"/>
    <w:rsid w:val="100030CD"/>
    <w:rsid w:val="1013466D"/>
    <w:rsid w:val="10400C73"/>
    <w:rsid w:val="10541F0B"/>
    <w:rsid w:val="109426A4"/>
    <w:rsid w:val="109E6CEA"/>
    <w:rsid w:val="10B81550"/>
    <w:rsid w:val="10D4332C"/>
    <w:rsid w:val="10E31E45"/>
    <w:rsid w:val="10E55ACF"/>
    <w:rsid w:val="10E91AC8"/>
    <w:rsid w:val="10EA39CE"/>
    <w:rsid w:val="11F76665"/>
    <w:rsid w:val="120F1D9B"/>
    <w:rsid w:val="122B7BDE"/>
    <w:rsid w:val="12353C53"/>
    <w:rsid w:val="12424D64"/>
    <w:rsid w:val="12CD58ED"/>
    <w:rsid w:val="12EF1D83"/>
    <w:rsid w:val="1341040F"/>
    <w:rsid w:val="13422CD3"/>
    <w:rsid w:val="137974FF"/>
    <w:rsid w:val="13923D70"/>
    <w:rsid w:val="13D5154C"/>
    <w:rsid w:val="141E1459"/>
    <w:rsid w:val="149937AD"/>
    <w:rsid w:val="14A565F8"/>
    <w:rsid w:val="14E90996"/>
    <w:rsid w:val="14EA08AB"/>
    <w:rsid w:val="150B2214"/>
    <w:rsid w:val="152C4152"/>
    <w:rsid w:val="153F6DF8"/>
    <w:rsid w:val="154D23DD"/>
    <w:rsid w:val="157D01A5"/>
    <w:rsid w:val="15CB25BB"/>
    <w:rsid w:val="15CE7AD3"/>
    <w:rsid w:val="15F806FD"/>
    <w:rsid w:val="16163B4D"/>
    <w:rsid w:val="163376F8"/>
    <w:rsid w:val="166F4214"/>
    <w:rsid w:val="167666C0"/>
    <w:rsid w:val="16875A75"/>
    <w:rsid w:val="169671CF"/>
    <w:rsid w:val="17123FA4"/>
    <w:rsid w:val="174E6803"/>
    <w:rsid w:val="17581C3A"/>
    <w:rsid w:val="17850FE4"/>
    <w:rsid w:val="178A4950"/>
    <w:rsid w:val="179E4EFF"/>
    <w:rsid w:val="17BB3FD7"/>
    <w:rsid w:val="17EB6EB9"/>
    <w:rsid w:val="1831222E"/>
    <w:rsid w:val="186B13F7"/>
    <w:rsid w:val="186F7073"/>
    <w:rsid w:val="188E5563"/>
    <w:rsid w:val="18A72CC1"/>
    <w:rsid w:val="18B85BA9"/>
    <w:rsid w:val="191531C5"/>
    <w:rsid w:val="197367E7"/>
    <w:rsid w:val="19C870A3"/>
    <w:rsid w:val="19FB511C"/>
    <w:rsid w:val="1A1F2EB6"/>
    <w:rsid w:val="1A2D7F56"/>
    <w:rsid w:val="1A313033"/>
    <w:rsid w:val="1A3D1C5D"/>
    <w:rsid w:val="1A4B2F42"/>
    <w:rsid w:val="1B3308F9"/>
    <w:rsid w:val="1B477AD1"/>
    <w:rsid w:val="1B612829"/>
    <w:rsid w:val="1B9528E2"/>
    <w:rsid w:val="1C603632"/>
    <w:rsid w:val="1D215739"/>
    <w:rsid w:val="1D6A28DA"/>
    <w:rsid w:val="1D97563C"/>
    <w:rsid w:val="1DAA6790"/>
    <w:rsid w:val="1DAB3183"/>
    <w:rsid w:val="1E2C349B"/>
    <w:rsid w:val="1E761E86"/>
    <w:rsid w:val="1E78331A"/>
    <w:rsid w:val="1EDD5919"/>
    <w:rsid w:val="1EEF1D6D"/>
    <w:rsid w:val="1F1548BF"/>
    <w:rsid w:val="1FA71BE0"/>
    <w:rsid w:val="1FAF1515"/>
    <w:rsid w:val="1FBA1788"/>
    <w:rsid w:val="1FFC0970"/>
    <w:rsid w:val="200238BF"/>
    <w:rsid w:val="20263848"/>
    <w:rsid w:val="206F2DBA"/>
    <w:rsid w:val="20821FF1"/>
    <w:rsid w:val="20911C84"/>
    <w:rsid w:val="20A33E2E"/>
    <w:rsid w:val="20AC3427"/>
    <w:rsid w:val="20B46EB2"/>
    <w:rsid w:val="20B545E2"/>
    <w:rsid w:val="20BE2C75"/>
    <w:rsid w:val="20E24722"/>
    <w:rsid w:val="210B4D02"/>
    <w:rsid w:val="211D776A"/>
    <w:rsid w:val="21F330B9"/>
    <w:rsid w:val="221F1203"/>
    <w:rsid w:val="22606D54"/>
    <w:rsid w:val="2263692C"/>
    <w:rsid w:val="22A45C0C"/>
    <w:rsid w:val="22B42013"/>
    <w:rsid w:val="233E1350"/>
    <w:rsid w:val="234209B3"/>
    <w:rsid w:val="23D6622B"/>
    <w:rsid w:val="23EC7071"/>
    <w:rsid w:val="23ED1FA2"/>
    <w:rsid w:val="242E3C98"/>
    <w:rsid w:val="244F1925"/>
    <w:rsid w:val="248C3D5E"/>
    <w:rsid w:val="249C2E19"/>
    <w:rsid w:val="24E95FC5"/>
    <w:rsid w:val="252A56C1"/>
    <w:rsid w:val="253F34C7"/>
    <w:rsid w:val="256A6EF1"/>
    <w:rsid w:val="257655F3"/>
    <w:rsid w:val="260F1BFD"/>
    <w:rsid w:val="26290D8F"/>
    <w:rsid w:val="26532B50"/>
    <w:rsid w:val="269C7E9A"/>
    <w:rsid w:val="269E25CF"/>
    <w:rsid w:val="26B433AC"/>
    <w:rsid w:val="26C72E54"/>
    <w:rsid w:val="26DF3370"/>
    <w:rsid w:val="26F66237"/>
    <w:rsid w:val="27614E87"/>
    <w:rsid w:val="277419C1"/>
    <w:rsid w:val="27AD7C6B"/>
    <w:rsid w:val="27E02339"/>
    <w:rsid w:val="27F86513"/>
    <w:rsid w:val="280F6774"/>
    <w:rsid w:val="2817271F"/>
    <w:rsid w:val="282720DB"/>
    <w:rsid w:val="284B2757"/>
    <w:rsid w:val="28994637"/>
    <w:rsid w:val="29556B72"/>
    <w:rsid w:val="296C600A"/>
    <w:rsid w:val="29970716"/>
    <w:rsid w:val="29A4706D"/>
    <w:rsid w:val="29C72495"/>
    <w:rsid w:val="2A7C7CFB"/>
    <w:rsid w:val="2A9A2A79"/>
    <w:rsid w:val="2AC114E7"/>
    <w:rsid w:val="2AD1024F"/>
    <w:rsid w:val="2AE1038D"/>
    <w:rsid w:val="2B120212"/>
    <w:rsid w:val="2B332CF5"/>
    <w:rsid w:val="2BAC7C5C"/>
    <w:rsid w:val="2BC66E25"/>
    <w:rsid w:val="2BDA47A4"/>
    <w:rsid w:val="2C4A71B7"/>
    <w:rsid w:val="2CA775D1"/>
    <w:rsid w:val="2CE41CD8"/>
    <w:rsid w:val="2D05228B"/>
    <w:rsid w:val="2DF96666"/>
    <w:rsid w:val="2DF96DE2"/>
    <w:rsid w:val="2E4771D2"/>
    <w:rsid w:val="2E57579D"/>
    <w:rsid w:val="2E7C33AF"/>
    <w:rsid w:val="2E804350"/>
    <w:rsid w:val="2EF860E1"/>
    <w:rsid w:val="2FA21269"/>
    <w:rsid w:val="2FAE7E11"/>
    <w:rsid w:val="2FE90968"/>
    <w:rsid w:val="30071E06"/>
    <w:rsid w:val="303061EE"/>
    <w:rsid w:val="30517B26"/>
    <w:rsid w:val="30542480"/>
    <w:rsid w:val="3092573B"/>
    <w:rsid w:val="30C31602"/>
    <w:rsid w:val="30CD0CA4"/>
    <w:rsid w:val="31561413"/>
    <w:rsid w:val="319D46A0"/>
    <w:rsid w:val="31DC3098"/>
    <w:rsid w:val="31E62224"/>
    <w:rsid w:val="32135324"/>
    <w:rsid w:val="321A0F82"/>
    <w:rsid w:val="323B53E8"/>
    <w:rsid w:val="323C0475"/>
    <w:rsid w:val="325470B4"/>
    <w:rsid w:val="325B1CAF"/>
    <w:rsid w:val="3293668C"/>
    <w:rsid w:val="32E20C51"/>
    <w:rsid w:val="331678BB"/>
    <w:rsid w:val="333977DF"/>
    <w:rsid w:val="335C5734"/>
    <w:rsid w:val="339A00B5"/>
    <w:rsid w:val="33DA33B5"/>
    <w:rsid w:val="33EB6F0B"/>
    <w:rsid w:val="34186F10"/>
    <w:rsid w:val="34591CB0"/>
    <w:rsid w:val="345B6845"/>
    <w:rsid w:val="346202B8"/>
    <w:rsid w:val="34745FBD"/>
    <w:rsid w:val="35614329"/>
    <w:rsid w:val="362B5D0F"/>
    <w:rsid w:val="364702E4"/>
    <w:rsid w:val="36643D58"/>
    <w:rsid w:val="368A2987"/>
    <w:rsid w:val="3694371B"/>
    <w:rsid w:val="36D069F3"/>
    <w:rsid w:val="36DE7D55"/>
    <w:rsid w:val="371074F3"/>
    <w:rsid w:val="381C5B91"/>
    <w:rsid w:val="382755B1"/>
    <w:rsid w:val="38E404FD"/>
    <w:rsid w:val="38FB6A2D"/>
    <w:rsid w:val="39153E37"/>
    <w:rsid w:val="393206E7"/>
    <w:rsid w:val="395E44C1"/>
    <w:rsid w:val="398E0DC2"/>
    <w:rsid w:val="399B43FA"/>
    <w:rsid w:val="39B437E8"/>
    <w:rsid w:val="39C26FED"/>
    <w:rsid w:val="39D50F0F"/>
    <w:rsid w:val="39D670F4"/>
    <w:rsid w:val="39F741B1"/>
    <w:rsid w:val="3AA92720"/>
    <w:rsid w:val="3AE86A88"/>
    <w:rsid w:val="3AEC1C37"/>
    <w:rsid w:val="3B82196C"/>
    <w:rsid w:val="3B871DDC"/>
    <w:rsid w:val="3B8D18D7"/>
    <w:rsid w:val="3BC90D38"/>
    <w:rsid w:val="3BD93952"/>
    <w:rsid w:val="3BE028B3"/>
    <w:rsid w:val="3C541E60"/>
    <w:rsid w:val="3C6E3EB5"/>
    <w:rsid w:val="3C841D58"/>
    <w:rsid w:val="3CAF682D"/>
    <w:rsid w:val="3D08605E"/>
    <w:rsid w:val="3D130A9B"/>
    <w:rsid w:val="3D741660"/>
    <w:rsid w:val="3DDC6B80"/>
    <w:rsid w:val="3DDD1BE8"/>
    <w:rsid w:val="3DFF348B"/>
    <w:rsid w:val="3E0C6883"/>
    <w:rsid w:val="3E2C300D"/>
    <w:rsid w:val="3E382B6B"/>
    <w:rsid w:val="3E507B57"/>
    <w:rsid w:val="3E526AD0"/>
    <w:rsid w:val="3E5F54D0"/>
    <w:rsid w:val="3EA83660"/>
    <w:rsid w:val="3EBA30DE"/>
    <w:rsid w:val="3EC62501"/>
    <w:rsid w:val="3EFA6D1F"/>
    <w:rsid w:val="3F223E25"/>
    <w:rsid w:val="3F702284"/>
    <w:rsid w:val="3FD27EA7"/>
    <w:rsid w:val="401471BB"/>
    <w:rsid w:val="403E2824"/>
    <w:rsid w:val="40CD3EC6"/>
    <w:rsid w:val="40CF69F1"/>
    <w:rsid w:val="41195E4D"/>
    <w:rsid w:val="41213C23"/>
    <w:rsid w:val="41A51DC8"/>
    <w:rsid w:val="42A009F3"/>
    <w:rsid w:val="42CA019D"/>
    <w:rsid w:val="42FB2AE8"/>
    <w:rsid w:val="435239B8"/>
    <w:rsid w:val="43852216"/>
    <w:rsid w:val="439D0744"/>
    <w:rsid w:val="43A6005A"/>
    <w:rsid w:val="43A62A6E"/>
    <w:rsid w:val="43B3055F"/>
    <w:rsid w:val="43C3343F"/>
    <w:rsid w:val="43FA63DF"/>
    <w:rsid w:val="440316DD"/>
    <w:rsid w:val="447F5EC2"/>
    <w:rsid w:val="44B74548"/>
    <w:rsid w:val="44C83118"/>
    <w:rsid w:val="44DE7878"/>
    <w:rsid w:val="44E12B8C"/>
    <w:rsid w:val="458610A1"/>
    <w:rsid w:val="45BE54D0"/>
    <w:rsid w:val="46064560"/>
    <w:rsid w:val="460A6120"/>
    <w:rsid w:val="462F25D6"/>
    <w:rsid w:val="464A709F"/>
    <w:rsid w:val="465771CD"/>
    <w:rsid w:val="465E73DB"/>
    <w:rsid w:val="468C126C"/>
    <w:rsid w:val="46F41277"/>
    <w:rsid w:val="471B3203"/>
    <w:rsid w:val="47516290"/>
    <w:rsid w:val="47766E68"/>
    <w:rsid w:val="47782A02"/>
    <w:rsid w:val="47F861C1"/>
    <w:rsid w:val="48145C48"/>
    <w:rsid w:val="487B6332"/>
    <w:rsid w:val="48B41258"/>
    <w:rsid w:val="49627604"/>
    <w:rsid w:val="49B75F2A"/>
    <w:rsid w:val="49C271A3"/>
    <w:rsid w:val="4A0B4352"/>
    <w:rsid w:val="4A2319E6"/>
    <w:rsid w:val="4B142850"/>
    <w:rsid w:val="4B1A7826"/>
    <w:rsid w:val="4B4F092F"/>
    <w:rsid w:val="4B524604"/>
    <w:rsid w:val="4B5651EC"/>
    <w:rsid w:val="4B603B7B"/>
    <w:rsid w:val="4B9F0768"/>
    <w:rsid w:val="4BBC6AA5"/>
    <w:rsid w:val="4BF24EAD"/>
    <w:rsid w:val="4BFC3F7E"/>
    <w:rsid w:val="4C2164FD"/>
    <w:rsid w:val="4C3731E4"/>
    <w:rsid w:val="4C67718C"/>
    <w:rsid w:val="4C7C4B9E"/>
    <w:rsid w:val="4C81399F"/>
    <w:rsid w:val="4CB93147"/>
    <w:rsid w:val="4CBE7F77"/>
    <w:rsid w:val="4CC95F50"/>
    <w:rsid w:val="4CD45FCC"/>
    <w:rsid w:val="4CF75481"/>
    <w:rsid w:val="4D41354B"/>
    <w:rsid w:val="4D452A31"/>
    <w:rsid w:val="4D4E0B28"/>
    <w:rsid w:val="4D670211"/>
    <w:rsid w:val="4E3727B8"/>
    <w:rsid w:val="4E4A0AB9"/>
    <w:rsid w:val="4E586596"/>
    <w:rsid w:val="4E85035F"/>
    <w:rsid w:val="4E8F0FC1"/>
    <w:rsid w:val="4E966553"/>
    <w:rsid w:val="4EBE184A"/>
    <w:rsid w:val="4ED43585"/>
    <w:rsid w:val="4EDE4757"/>
    <w:rsid w:val="4F611A5A"/>
    <w:rsid w:val="4FD2423D"/>
    <w:rsid w:val="50665C75"/>
    <w:rsid w:val="508D0734"/>
    <w:rsid w:val="50A82E1E"/>
    <w:rsid w:val="511E2279"/>
    <w:rsid w:val="511F6FA8"/>
    <w:rsid w:val="51612C25"/>
    <w:rsid w:val="518838DB"/>
    <w:rsid w:val="52276A66"/>
    <w:rsid w:val="523F4E28"/>
    <w:rsid w:val="524203A6"/>
    <w:rsid w:val="524E6042"/>
    <w:rsid w:val="52513BB2"/>
    <w:rsid w:val="529D1751"/>
    <w:rsid w:val="52BE2804"/>
    <w:rsid w:val="52DA1BBD"/>
    <w:rsid w:val="52EB6FC6"/>
    <w:rsid w:val="52F23C47"/>
    <w:rsid w:val="537B4387"/>
    <w:rsid w:val="539A2935"/>
    <w:rsid w:val="541B3592"/>
    <w:rsid w:val="544862AB"/>
    <w:rsid w:val="546078A2"/>
    <w:rsid w:val="54794500"/>
    <w:rsid w:val="549A6D5F"/>
    <w:rsid w:val="54AB1A25"/>
    <w:rsid w:val="54CF07B4"/>
    <w:rsid w:val="55020271"/>
    <w:rsid w:val="553A2DC7"/>
    <w:rsid w:val="5594039F"/>
    <w:rsid w:val="562C1112"/>
    <w:rsid w:val="56584EE3"/>
    <w:rsid w:val="56795557"/>
    <w:rsid w:val="56D57081"/>
    <w:rsid w:val="570609F1"/>
    <w:rsid w:val="57555C04"/>
    <w:rsid w:val="576D77F2"/>
    <w:rsid w:val="578A7A3C"/>
    <w:rsid w:val="57A630C3"/>
    <w:rsid w:val="57DD092D"/>
    <w:rsid w:val="5801123A"/>
    <w:rsid w:val="581B1208"/>
    <w:rsid w:val="58210238"/>
    <w:rsid w:val="58561607"/>
    <w:rsid w:val="586512FC"/>
    <w:rsid w:val="586E66A0"/>
    <w:rsid w:val="58DA7055"/>
    <w:rsid w:val="597B35AF"/>
    <w:rsid w:val="59C82244"/>
    <w:rsid w:val="59CC7EBA"/>
    <w:rsid w:val="59F36B5D"/>
    <w:rsid w:val="5A0C4519"/>
    <w:rsid w:val="5AB82206"/>
    <w:rsid w:val="5ADE7381"/>
    <w:rsid w:val="5AE042FB"/>
    <w:rsid w:val="5B081B97"/>
    <w:rsid w:val="5B170624"/>
    <w:rsid w:val="5B6078B5"/>
    <w:rsid w:val="5BA01879"/>
    <w:rsid w:val="5BD7080F"/>
    <w:rsid w:val="5BEE0310"/>
    <w:rsid w:val="5C163158"/>
    <w:rsid w:val="5C425A9D"/>
    <w:rsid w:val="5C457717"/>
    <w:rsid w:val="5C8728B4"/>
    <w:rsid w:val="5CCE2FD6"/>
    <w:rsid w:val="5CE330EC"/>
    <w:rsid w:val="5D385380"/>
    <w:rsid w:val="5D475B2E"/>
    <w:rsid w:val="5D773C39"/>
    <w:rsid w:val="5D83060D"/>
    <w:rsid w:val="5DD43000"/>
    <w:rsid w:val="5DEF5B5C"/>
    <w:rsid w:val="5E4E6E51"/>
    <w:rsid w:val="5E5A17C7"/>
    <w:rsid w:val="5EA505EB"/>
    <w:rsid w:val="5EA86711"/>
    <w:rsid w:val="5EAB5E7A"/>
    <w:rsid w:val="5EC11CBE"/>
    <w:rsid w:val="5F1D3F91"/>
    <w:rsid w:val="5F351803"/>
    <w:rsid w:val="5F774A68"/>
    <w:rsid w:val="5F83386E"/>
    <w:rsid w:val="5F8C60DC"/>
    <w:rsid w:val="5FA6219D"/>
    <w:rsid w:val="5FAB0129"/>
    <w:rsid w:val="5FB2533A"/>
    <w:rsid w:val="5FF73BFE"/>
    <w:rsid w:val="5FF74192"/>
    <w:rsid w:val="601D10A3"/>
    <w:rsid w:val="60227A27"/>
    <w:rsid w:val="604A54B0"/>
    <w:rsid w:val="608841E1"/>
    <w:rsid w:val="60B72341"/>
    <w:rsid w:val="60C804CA"/>
    <w:rsid w:val="60CA364F"/>
    <w:rsid w:val="60CB6517"/>
    <w:rsid w:val="611761ED"/>
    <w:rsid w:val="617C4FE3"/>
    <w:rsid w:val="61AF02EA"/>
    <w:rsid w:val="61BE75EA"/>
    <w:rsid w:val="61DA4DB5"/>
    <w:rsid w:val="62093DC7"/>
    <w:rsid w:val="621B30FC"/>
    <w:rsid w:val="62C60519"/>
    <w:rsid w:val="63846254"/>
    <w:rsid w:val="63A1662B"/>
    <w:rsid w:val="63C07086"/>
    <w:rsid w:val="63C434FD"/>
    <w:rsid w:val="642F0CE7"/>
    <w:rsid w:val="64511AEF"/>
    <w:rsid w:val="64892BE8"/>
    <w:rsid w:val="64A72D12"/>
    <w:rsid w:val="64C47847"/>
    <w:rsid w:val="64DD3107"/>
    <w:rsid w:val="64FB7AD7"/>
    <w:rsid w:val="652F67A3"/>
    <w:rsid w:val="65770E56"/>
    <w:rsid w:val="65834E5D"/>
    <w:rsid w:val="65CD1750"/>
    <w:rsid w:val="66070BD7"/>
    <w:rsid w:val="66096EDE"/>
    <w:rsid w:val="665A7C67"/>
    <w:rsid w:val="66D91C48"/>
    <w:rsid w:val="66D9725C"/>
    <w:rsid w:val="67134E38"/>
    <w:rsid w:val="6719501E"/>
    <w:rsid w:val="67230891"/>
    <w:rsid w:val="67F4369A"/>
    <w:rsid w:val="68621ACF"/>
    <w:rsid w:val="688D7022"/>
    <w:rsid w:val="68A64D18"/>
    <w:rsid w:val="68D96CEE"/>
    <w:rsid w:val="68EF417F"/>
    <w:rsid w:val="68F30D22"/>
    <w:rsid w:val="69205385"/>
    <w:rsid w:val="693E0C75"/>
    <w:rsid w:val="69991B27"/>
    <w:rsid w:val="69CD45A5"/>
    <w:rsid w:val="69CF6739"/>
    <w:rsid w:val="69F44C97"/>
    <w:rsid w:val="6A0C46C7"/>
    <w:rsid w:val="6A102852"/>
    <w:rsid w:val="6A1E6992"/>
    <w:rsid w:val="6A4526D3"/>
    <w:rsid w:val="6A7B79A9"/>
    <w:rsid w:val="6ADD43E2"/>
    <w:rsid w:val="6AE421D3"/>
    <w:rsid w:val="6B303BF1"/>
    <w:rsid w:val="6B794260"/>
    <w:rsid w:val="6B7D5091"/>
    <w:rsid w:val="6B7E0C5D"/>
    <w:rsid w:val="6B885D4F"/>
    <w:rsid w:val="6B990EC3"/>
    <w:rsid w:val="6C2E088C"/>
    <w:rsid w:val="6C367E96"/>
    <w:rsid w:val="6C6509E5"/>
    <w:rsid w:val="6C706150"/>
    <w:rsid w:val="6CC23729"/>
    <w:rsid w:val="6CE54260"/>
    <w:rsid w:val="6D162C9B"/>
    <w:rsid w:val="6D336DC6"/>
    <w:rsid w:val="6D692A81"/>
    <w:rsid w:val="6E090332"/>
    <w:rsid w:val="6E0948CB"/>
    <w:rsid w:val="6EC45F46"/>
    <w:rsid w:val="6F3D0CD1"/>
    <w:rsid w:val="6F994F6C"/>
    <w:rsid w:val="6F9E4F77"/>
    <w:rsid w:val="6FEA58BE"/>
    <w:rsid w:val="70057F62"/>
    <w:rsid w:val="700B1AE0"/>
    <w:rsid w:val="702A6268"/>
    <w:rsid w:val="70907E6E"/>
    <w:rsid w:val="70E64F1F"/>
    <w:rsid w:val="70EB6D27"/>
    <w:rsid w:val="711602FE"/>
    <w:rsid w:val="714939A4"/>
    <w:rsid w:val="715D0235"/>
    <w:rsid w:val="71E03AE9"/>
    <w:rsid w:val="71FA6D8D"/>
    <w:rsid w:val="720803D1"/>
    <w:rsid w:val="721414FE"/>
    <w:rsid w:val="72832C68"/>
    <w:rsid w:val="72E61A09"/>
    <w:rsid w:val="72FE3595"/>
    <w:rsid w:val="7366709D"/>
    <w:rsid w:val="73A264BE"/>
    <w:rsid w:val="73A90ADD"/>
    <w:rsid w:val="73C0618E"/>
    <w:rsid w:val="74112622"/>
    <w:rsid w:val="743C7FB1"/>
    <w:rsid w:val="74423276"/>
    <w:rsid w:val="744E4297"/>
    <w:rsid w:val="74734C4D"/>
    <w:rsid w:val="74B1689C"/>
    <w:rsid w:val="74B97D5D"/>
    <w:rsid w:val="74E12958"/>
    <w:rsid w:val="74F708D7"/>
    <w:rsid w:val="75040949"/>
    <w:rsid w:val="750477ED"/>
    <w:rsid w:val="758E223D"/>
    <w:rsid w:val="75914FC5"/>
    <w:rsid w:val="75AA0B8D"/>
    <w:rsid w:val="75BD203C"/>
    <w:rsid w:val="75C735CB"/>
    <w:rsid w:val="75E51528"/>
    <w:rsid w:val="75FB0EF0"/>
    <w:rsid w:val="766607C9"/>
    <w:rsid w:val="766D4F2B"/>
    <w:rsid w:val="76C74554"/>
    <w:rsid w:val="77561F4A"/>
    <w:rsid w:val="776D6D58"/>
    <w:rsid w:val="778E18B2"/>
    <w:rsid w:val="779B2CF7"/>
    <w:rsid w:val="77E77FA4"/>
    <w:rsid w:val="78462278"/>
    <w:rsid w:val="788F373B"/>
    <w:rsid w:val="78C16A0F"/>
    <w:rsid w:val="78CF46C8"/>
    <w:rsid w:val="78D25331"/>
    <w:rsid w:val="78FD7BCD"/>
    <w:rsid w:val="790430E5"/>
    <w:rsid w:val="791C3F30"/>
    <w:rsid w:val="79345466"/>
    <w:rsid w:val="79566C8A"/>
    <w:rsid w:val="79665098"/>
    <w:rsid w:val="79B91302"/>
    <w:rsid w:val="79CF5664"/>
    <w:rsid w:val="7A004C29"/>
    <w:rsid w:val="7A0D0584"/>
    <w:rsid w:val="7A2902FC"/>
    <w:rsid w:val="7A483E77"/>
    <w:rsid w:val="7AB514DB"/>
    <w:rsid w:val="7AD52994"/>
    <w:rsid w:val="7B036984"/>
    <w:rsid w:val="7B9874E5"/>
    <w:rsid w:val="7BE56054"/>
    <w:rsid w:val="7BF978CD"/>
    <w:rsid w:val="7BFE209F"/>
    <w:rsid w:val="7C0E7DE9"/>
    <w:rsid w:val="7C112C6C"/>
    <w:rsid w:val="7C812685"/>
    <w:rsid w:val="7CC82660"/>
    <w:rsid w:val="7D1D2865"/>
    <w:rsid w:val="7D1E15D4"/>
    <w:rsid w:val="7D2230A3"/>
    <w:rsid w:val="7D5224E3"/>
    <w:rsid w:val="7D523B0E"/>
    <w:rsid w:val="7D714DF0"/>
    <w:rsid w:val="7D721B23"/>
    <w:rsid w:val="7D8D7692"/>
    <w:rsid w:val="7DB218A7"/>
    <w:rsid w:val="7DFA3729"/>
    <w:rsid w:val="7E161025"/>
    <w:rsid w:val="7E4C5101"/>
    <w:rsid w:val="7EA81185"/>
    <w:rsid w:val="7EB535C8"/>
    <w:rsid w:val="7EF127D4"/>
    <w:rsid w:val="7F344B79"/>
    <w:rsid w:val="7F460233"/>
    <w:rsid w:val="7F556D49"/>
    <w:rsid w:val="7F69293C"/>
    <w:rsid w:val="7F9A2386"/>
    <w:rsid w:val="7FA73F44"/>
    <w:rsid w:val="7FD413BB"/>
    <w:rsid w:val="7FE63F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character" w:customStyle="1" w:styleId="36">
    <w:name w:val="批注文字 字符"/>
    <w:qFormat/>
    <w:uiPriority w:val="99"/>
    <w:rPr>
      <w:kern w:val="2"/>
      <w:sz w:val="21"/>
      <w:szCs w:val="22"/>
    </w:rPr>
  </w:style>
  <w:style w:type="character" w:customStyle="1" w:styleId="37">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21517</Words>
  <Characters>22299</Characters>
  <Lines>217</Lines>
  <Paragraphs>61</Paragraphs>
  <TotalTime>0</TotalTime>
  <ScaleCrop>false</ScaleCrop>
  <LinksUpToDate>false</LinksUpToDate>
  <CharactersWithSpaces>22500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2021-10-29T09:09:00Z</dcterms:created>
  <dc:creator>JSYH</dc:creator>
  <cp:lastModifiedBy>lhy</cp:lastModifiedBy>
  <cp:lastPrinted>2022-07-29T03:17:00Z</cp:lastPrinted>
  <dcterms:modified xsi:type="dcterms:W3CDTF">2025-10-16T11:44:16Z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BA4F2809FF0C43C98C112B21113FE379</vt:lpwstr>
  </property>
</Properties>
</file>