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苏银理财恒源封闭债权254期优选2年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恒源封闭债权254期优选2年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苏银理财恒源封闭债权254期优选2年</w:t>
            </w:r>
            <w:r>
              <w:rPr>
                <w:rStyle w:val="21"/>
                <w:rFonts w:hint="eastAsia" w:ascii="楷体" w:hAnsi="楷体" w:eastAsia="楷体" w:cs="宋体"/>
                <w:color w:val="auto"/>
                <w:spacing w:val="-2"/>
                <w:sz w:val="18"/>
                <w:szCs w:val="18"/>
                <w:lang w:eastAsia="zh-CN"/>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Z7003125000295，</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A份额：苏银理财恒源封闭债权254期优选29月A/J10581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B份额：苏银理财恒源封闭债权254期优选29月B/J10582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C份额：苏银理财恒源封闭债权254期优选29月C/J10583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D份额：苏银理财恒源封闭债权254期优选29月D/J10584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E份额：苏银理财恒源封闭债权254期优选29月E/J10585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F份额：苏银理财恒源封闭债权254期优选29月F/J10586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G份额：苏银理财恒源封闭债权254期优选29月G/J10587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H份额：苏银理财恒源封闭债权254期优选29月H/J10588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I份额：苏银理财恒源封闭债权254期优选29月I/J10589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J份额：苏银理财恒源封闭债权254期优选29月J/J10590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K份额：苏银理财恒源封闭债权254期优选29月K/J10591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L份额：苏银理财恒源封闭债权254期优选29月L/J10592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N份额：苏银理财恒源封闭债权254期优选29月N/J10593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O份额：苏银理财恒源封闭债权254期优选29月O（兰州银行开门红专属）/J10594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Z份额：苏银理财恒源封闭债权254期优选29月Z/J10596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JS份额：苏银理财恒源封闭债权254期优选29月JS鑫福款/J10597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芙蓉锦程·优选份额：苏银理财恒源封闭债权254期优选29月（芙蓉锦程·优选）/J10598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A/B/D/F/G/J/K/L/N/O/Z/JS/芙蓉锦程·优选份额：1元/1元的整数倍；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27</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2025年12月4日，如管理人调整募集期，则产品成立日/份额登记日将相应调整，以管理人公告为准。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4</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874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2.65%-3.05%；B份额：2.60%-3.00%；C份额：2.70%-3.10%；D份额：2.60%-3.00%；E份额：2.75%-3.15%；F份额：2.65%-3.05%；G份额：2.50%-2.90%；H份额：2.55%-2.95%；I份额：2.80%-3.20%；J份额：2.60%-3.00%；K份额：2.55%-2.95%；L份额：2.50%-2.90%；N份额：2.70%-3.10%；O份额：2.65%-3.05%；Z份额：2.75%-3.15%；JS份额：2.65%-3.05%；芙蓉锦程·优选份额：2.70%-3.10%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齐鲁银行股份有限公司/嘉兴银行股份有限公司/甘肃银行股份有限公司/青岛银行股份有限公司/北京农村商业银行股份有限公司/秦皇岛银行股份有限公司/宁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H份额：山</w:t>
      </w:r>
      <w:bookmarkStart w:id="0" w:name="_GoBack"/>
      <w:bookmarkEnd w:id="0"/>
      <w:r>
        <w:rPr>
          <w:rFonts w:hint="eastAsia" w:ascii="楷体" w:hAnsi="楷体" w:eastAsia="楷体"/>
          <w:b w:val="0"/>
          <w:bCs w:val="0"/>
          <w:sz w:val="21"/>
          <w:szCs w:val="21"/>
          <w:highlight w:val="none"/>
          <w:u w:val="none"/>
          <w:lang w:val="en-US" w:eastAsia="zh-CN"/>
        </w:rPr>
        <w:t>西银行股份有限公司/重庆农村商业银行股份有限公司/上海农村商业银行股份有限公司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浙江舟山普陀农村商业银行股份有限公司/浙江桐庐农村商业银行股份有限公司/浙江江山农村商业银行股份有限公司/浙江禾城农村商业银行股份有限公司/浙江永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浙江海宁农村商业银行股份有限公司/浙江舟山定海海洋农村商业银行股份有限公司/浙江龙游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Z份额：郑州银行股份有限公司/莱商银行股份有限公司/青岛银行股份有限公司/齐鲁银行股份有限公司/嘉兴银行股份有限公司/兰州银行股份有限公司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6" w:type="first"/>
      <w:headerReference r:id="rId4" w:type="default"/>
      <w:footerReference r:id="rId7" w:type="default"/>
      <w:headerReference r:id="rId5"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1"/>
        <w:snapToGrid w:val="0"/>
        <w:rPr>
          <w:rFonts w:hint="eastAsia" w:ascii="楷体" w:hAnsi="楷体" w:eastAsia="楷体" w:cs="楷体"/>
        </w:rPr>
      </w:pPr>
      <w:r>
        <w:rPr>
          <w:rStyle w:val="21"/>
          <w:rFonts w:hint="eastAsia" w:ascii="楷体" w:hAnsi="楷体" w:eastAsia="楷体" w:cs="楷体"/>
        </w:rPr>
        <w:footnoteRef/>
      </w:r>
      <w:r>
        <w:rPr>
          <w:rFonts w:hint="eastAsia" w:ascii="楷体" w:hAnsi="楷体" w:eastAsia="楷体" w:cs="楷体"/>
        </w:rPr>
        <w:t>注：本产品计划投资期限为874天（约29个月）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2025-11-20T02:32:47Z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