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苏银理财恒源封闭债权247期</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w:t>
      </w:r>
      <w:r>
        <w:rPr>
          <w:rFonts w:hint="eastAsia" w:ascii="楷体" w:hAnsi="楷体" w:eastAsia="楷体"/>
          <w:sz w:val="21"/>
          <w:szCs w:val="21"/>
          <w:lang w:eastAsia="zh-CN"/>
        </w:rPr>
        <w:t>恒源封闭债权247期</w:t>
      </w:r>
      <w:r>
        <w:rPr>
          <w:rFonts w:hint="eastAsia" w:ascii="楷体" w:hAnsi="楷体" w:eastAsia="楷体"/>
          <w:sz w:val="21"/>
          <w:szCs w:val="21"/>
        </w:rPr>
        <w:t>”理财产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苏银理财恒源封闭债权247期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Z7003125000303，</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w:t>
            </w:r>
            <w:r>
              <w:rPr>
                <w:rFonts w:hint="eastAsia" w:ascii="楷体" w:hAnsi="楷体" w:eastAsia="楷体" w:cs="宋体"/>
                <w:b/>
                <w:color w:val="auto"/>
                <w:spacing w:val="-2"/>
                <w:sz w:val="18"/>
                <w:szCs w:val="18"/>
                <w:highlight w:val="none"/>
                <w:lang w:val="en-US" w:eastAsia="zh-CN"/>
              </w:rPr>
              <w:t>名称</w:t>
            </w:r>
            <w:r>
              <w:rPr>
                <w:rFonts w:hint="eastAsia" w:ascii="楷体" w:hAnsi="楷体" w:eastAsia="楷体" w:cs="宋体"/>
                <w:b/>
                <w:color w:val="auto"/>
                <w:spacing w:val="-2"/>
                <w:sz w:val="18"/>
                <w:szCs w:val="18"/>
                <w:highlight w:val="none"/>
              </w:rPr>
              <w:t>/销售代码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A份额：苏银理财恒源封闭债权247期13月A/J10863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C份额：苏银理财恒源封闭债权247期13月C/J10864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D份额：苏银理财恒源封闭债权247期13月D/J10865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E份额：苏银理财恒源封闭债权247期13月E/J10866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F份额：苏银理财恒源封闭债权247期13月F/J10867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G份额：苏银理财恒源封闭债权247期13月G/J10868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H份额：苏银理财恒源封闭债权247期13月H/J10869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I份额：苏银理财恒源封闭债权247期13月I/J10870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J份额：苏银理财恒源封闭债权247期13月J/J10871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L份额：苏银理财恒源封闭债权247期13月L/J10873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M份额：苏银理财恒源封闭债权247期13月M/J10874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N份额：苏银理财恒源封闭债权247期13月N/J10875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O份额：苏银理财恒源封闭债权247期13月O（兰州银行开门红专属）/J10876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Z份额：苏银理财恒源封闭债权247期13月Z/J10877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JS份额：苏银理财恒源封闭债权247期13月JS鑫福款/J10878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北部湾银行专属份额：苏银理财恒源封闭债权247期13月（北部湾银行专属）/J10879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芙蓉锦程·优选份额：苏银理财恒源封闭债权247期13月（芙蓉锦程·优选）/J10880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M份额面向个人销售；其他份额面向个人和机构投资者销售。</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0"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A/D/F/G/H/I/J/L/N/O/Z/JS/北部湾银行专属/芙蓉锦程·优选份额：1元/1元的整数倍；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C/M份额：10,000元/10,000元的整数倍；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3</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9</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产品成立日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2025年12月10日，如管理人调整募集期，则产品成立日将相应调整，以管理人公告为准。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6</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29</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384</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2.45%-2.85%；C份额：2.50%-2.90%；D份额：2.45%-2.85%；E份额：2.55%-2.95%；F份额：2.45%-2.85%；G份额：2.35%-2.75%；H份额：2.25%-2.65%；I份额：2.45%-2.85%；J份额：2.40%-2.80%；L份额：2.50%-2.90%；M份额：2.30%-2.70%；N份额：2.40%-2.80%；O份额：2.45%-2.85%；Z份额：2.55%-2.95%；JS份额：2.45%-2.85%；北部湾银行专属份额：2.35%-2.75%；芙蓉锦程·优选份额：2.50%-2.90%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H份额：0.40%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M份额：0.35%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北部湾银行专属份额：0.30%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芙蓉锦程·优选份额：0.15%</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E份额：0.05%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M份额：0.10%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北部湾银行专属份额：0.10%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芙蓉锦程·优选份额：0.10%</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5"/>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A份额：江苏高淳农村商业银行股份有限公司/江苏姜堰农村商业银行股份有限公司/江苏常熟农村商业银行股份有限公司/苏银理财有限责任公司/江苏银行股份有限公司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D份额：宁波东海银行股份有限公司/广州农村商业银行股份有限公司/武汉农村商业银行股份有限公司/宁波通商银行股份有限公司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E份额：江苏银行股份有限公司/江苏常熟农村商业银行股份有限公司/苏银理财有限责任公司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莱商银行股份有限公司/威海银行股份有限公司/潍坊银行股份有限公司/齐鲁银行股份有限公司/嘉兴银行股份有限公司/北京农村商业银行股份有限公司/青岛银行股份有限公司/秦皇岛银行股份有限公司/宁夏银行股份有限公司/广州银行股份有限公司/上海浦东发展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G份额：江苏苏州农村商业银行股份有限公司/山西银行股份有限公司/交通银行股份有限公司/东营银行股份有限公司/江苏常熟农村商业银行股份有限公司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H份额：上海农村商业银行股份有限公司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浙江平湖农村商业银行股份有限公司/浙江乐清农村商业银行股份有限公司/杭州联合农村商业银行股份有限公司/浙江萧山农村商业银行股份有限公司/浙江永嘉农村商业银行股份有限公司/浙江嘉善农村商业银行股份有限公司/湖州吴兴农村商业银行股份有限公司/浙江淳安农村商业银行股份有限公司/浙江舟山定海海洋农村商业银行股份有限公司/浙江岱山农村商业银行股份有限公司/浙江绍兴瑞丰农村商业银行股份有限公司/浙江温州龙湾农村商业银行股份有限公司/浙江德清农村商业银行股份有限公司/浙江桐乡农村商业银行股份有限公司/浙江上虞农村商业银行股份有限公司/浙江温州瓯海农村商业银行股份有限公司/浙江兰溪农村商业银行股份有限公司/浙江青田农村商业银行股份有限公司/浙江文成农村商业银行股份有限公司/浙江杭州余杭农村商业银行股份有限公司/浙江舟山普陀农村商业银行股份有限公司/浙江桐庐农村商业银行股份有限公司/浙江禾城农村商业银行股份有限公司/浙江温岭农村商业银行股份有限公司/浙江海盐农村商业银行股份有限公司/浙江南浔农村商业银行股份有限公司/浙江永康农村商业银行股份有限公司/浙江天台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桐庐农村商业银行股份有限公司/浙江新昌农村商业银行股份有限公司/浙江武义农村商业银行股份有限公司/浙江平湖农村商业银行股份有限公司/浙江龙游农村商业银行股份有限公司/浙江兰溪农村商业银行股份有限公司/浙江南浔农村商业银行股份有限公司/浙江海宁农村商业银行股份有限公司/浙江舟山定海海洋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L份额：浙江杭州余杭农村商业银行股份有限公司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M份额：重庆农村商业银行股份有限公司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N份额：青岛银行股份有限公司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Z份额：莱商银行股份有限公司/郑州银行股份有限公司/日照银行股份有限公司/齐鲁银行股份有限公司/兰州银行股份有限公司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紫金农村商业银行股份有限公司/江苏溧水农村商业银行股份有限公司/江苏大丰农村商业银行股份有限公司/江苏扬州农村商业银行股份有限公司/江苏张家港农村商业银行股份有限公司/江苏如东农村商业银行股份有限公司/江苏江南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海安农村商业银行股份有限公司/江苏苏州农村商业银行股份有限公司/江苏建湖农村商业银行股份有限公司/江苏淮安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太仓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北部湾银行专属份额：广西北部湾银行股份有限公司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芙蓉锦程·优选份额：成都银行股份有限公司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hint="eastAsia" w:ascii="楷体" w:hAnsi="楷体" w:eastAsia="楷体"/>
          <w:sz w:val="21"/>
          <w:szCs w:val="21"/>
          <w:lang w:eastAsia="zh-CN"/>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r>
        <w:rPr>
          <w:rFonts w:hint="eastAsia" w:ascii="楷体" w:hAnsi="楷体" w:eastAsia="楷体"/>
          <w:sz w:val="21"/>
          <w:szCs w:val="21"/>
          <w:lang w:eastAsia="zh-CN"/>
        </w:rPr>
        <w:t>。</w:t>
      </w:r>
    </w:p>
    <w:p>
      <w:pPr>
        <w:ind w:firstLine="420" w:firstLineChars="200"/>
        <w:rPr>
          <w:rFonts w:hint="eastAsia" w:ascii="楷体" w:hAnsi="楷体" w:eastAsia="楷体"/>
          <w:szCs w:val="21"/>
          <w:lang w:eastAsia="zh-CN"/>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w:t>
      </w:r>
      <w:r>
        <w:rPr>
          <w:rFonts w:hint="eastAsia" w:ascii="楷体" w:hAnsi="楷体" w:eastAsia="楷体"/>
          <w:szCs w:val="21"/>
          <w:lang w:val="en-US" w:eastAsia="zh-CN"/>
        </w:rPr>
        <w:t>数</w:t>
      </w:r>
      <w:r>
        <w:rPr>
          <w:rFonts w:hint="eastAsia" w:ascii="楷体" w:hAnsi="楷体" w:eastAsia="楷体"/>
          <w:szCs w:val="21"/>
        </w:rPr>
        <w:t>×销售服务费率×产品投资期限天数÷365</w:t>
      </w:r>
      <w:r>
        <w:rPr>
          <w:rFonts w:hint="eastAsia" w:ascii="楷体" w:hAnsi="楷体" w:eastAsia="楷体"/>
          <w:szCs w:val="21"/>
          <w:lang w:eastAsia="zh-CN"/>
        </w:rPr>
        <w:t>。</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Calibri"/>
          <w:color w:val="auto"/>
          <w:szCs w:val="21"/>
          <w:lang w:val="en-US" w:eastAsia="zh-CN"/>
        </w:rPr>
        <w:t>费用计算</w:t>
      </w:r>
      <w:r>
        <w:rPr>
          <w:rFonts w:hint="eastAsia" w:ascii="楷体" w:hAnsi="楷体" w:eastAsia="楷体" w:cs="Calibri"/>
          <w:color w:val="auto"/>
          <w:szCs w:val="21"/>
        </w:rPr>
        <w:t>四舍五入保留至小数点后两位</w:t>
      </w:r>
      <w:r>
        <w:rPr>
          <w:rFonts w:hint="eastAsia" w:ascii="楷体" w:hAnsi="楷体" w:eastAsia="楷体" w:cs="Calibri"/>
          <w:color w:val="auto"/>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361E5"/>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1C4156"/>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C1FEB"/>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2E6219"/>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3E1B5A"/>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7E6326"/>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A29AB"/>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1268B"/>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D86C8B"/>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561614"/>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422F8"/>
    <w:rsid w:val="47A806A6"/>
    <w:rsid w:val="47A81BD4"/>
    <w:rsid w:val="47AB5FB8"/>
    <w:rsid w:val="47B01F63"/>
    <w:rsid w:val="47B57AA9"/>
    <w:rsid w:val="47BD1A01"/>
    <w:rsid w:val="47C75897"/>
    <w:rsid w:val="47D16693"/>
    <w:rsid w:val="47D4301F"/>
    <w:rsid w:val="47FD2131"/>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068C"/>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5A0BBE"/>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473B81"/>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CA08A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7244A"/>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22E5F"/>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45BEF"/>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1F1AD8"/>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14138</Words>
  <Characters>15064</Characters>
  <Lines>243</Lines>
  <Paragraphs>68</Paragraphs>
  <TotalTime>0</TotalTime>
  <ScaleCrop>false</ScaleCrop>
  <LinksUpToDate>false</LinksUpToDate>
  <CharactersWithSpaces>15067</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2025-11-26T02:16:55Z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