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662F5F">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662F5F">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662F5F">
      <w:pPr>
        <w:spacing w:line="360" w:lineRule="auto"/>
        <w:rPr>
          <w:rFonts w:ascii="新宋体" w:eastAsia="新宋体" w:hAnsi="新宋体" w:cs="宋体" w:hint="eastAsia"/>
          <w:b/>
          <w:kern w:val="0"/>
          <w:szCs w:val="21"/>
        </w:rPr>
      </w:pPr>
    </w:p>
    <w:p w:rsidR="00662F5F">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662F5F">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662F5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662F5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662F5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662F5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662F5F">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662F5F">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662F5F">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662F5F">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662F5F">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662F5F">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662F5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662F5F">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662F5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662F5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662F5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662F5F">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662F5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662F5F">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662F5F">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662F5F">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青银理财璀璨人生成就系列人民币理财计划2025年773期</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rPr>
              <w:t>青银理财成就系列（低波共享）2025年773期</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rPr>
              <w:t>CCCJGX25773</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662F5F">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662F5F">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662F5F">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662F5F">
            <w:pPr>
              <w:spacing w:line="360" w:lineRule="auto"/>
              <w:rPr>
                <w:rFonts w:ascii="新宋体" w:eastAsia="新宋体" w:hAnsi="新宋体"/>
              </w:rPr>
            </w:pPr>
            <w:r>
              <w:rPr>
                <w:rFonts w:ascii="新宋体" w:eastAsia="新宋体" w:hAnsi="新宋体" w:hint="eastAsia"/>
              </w:rPr>
              <w:t>A份额，销售代码【CCCJGX25773A】，销售名称：青银理财成就系列（低波共享）2025年773期A份额（理财新客专属）,销售对象【青岛银行及各销售服务渠道个人及机构客户，具体客户类型以销售机构规定为准】</w:t>
              <w:br/>
              <w:t>B份额，销售代码【CCCJGX25773B】，销售名称：青银理财成就系列（低波共享）2025年773期B份额（特邀客户）,销售对象【青岛银行及各销售服务渠道个人及机构客户，具体客户类型以销售机构规定为准】</w:t>
              <w:br/>
              <w:t>C份额，销售代码【CCCJGX25773C】，销售名称：青银理财成就系列（低波共享）2025年773期C份额（代发专属）,销售对象【青岛银行及各销售服务渠道个人及机构客户，具体客户类型以销售机构规定为准】</w:t>
              <w:br/>
              <w:t>D份额，销售代码【CCCJGX25773D】，销售名称：青银理财成就系列（低波共享）2025年773期D份额,销售对象【青岛银行及各销售服务渠道个人及机构客户，具体客户类型以销售机构规定为准】</w:t>
              <w:br/>
              <w:t>E份额，销售代码【CCCJGX25773E】，销售名称：青银理财成就系列（低波共享）2025年773期E份额,销售对象【大连银行及各销售服务渠道个人及机构客户，具体客户类型以销售机构规定为准】</w:t>
              <w:br/>
              <w:t>F份额，销售代码【CCCJGX25773F】，销售名称：青银理财成就系列（低波共享）2025年773期F份额,销售对象【浙江成泰农商银行及各销售服务渠道个人及机构客户，具体客户类型以销售机构规定为准】</w:t>
              <w:br/>
              <w:t>G份额，销售代码【CCCJGX25773G】，销售名称：青银理财成就系列（低波共享）2025年773期G份额,销售对象【青银理财直销APP及各销售服务渠道个人及机构客户，具体客户类型以销售机构规定为准】</w:t>
              <w:br/>
              <w:t>H份额，销售代码【CCCJGX25773H】，销售名称：青银理财成就系列（低波共享）2025年773期H份额,销售对象【珠海农商银行及各销售服务渠道个人及机构客户，具体客户类型以销售机构规定为准】</w:t>
              <w:br/>
              <w:t>I份额，销售代码【CCCJGX25773I】，销售名称：青银理财成就系列（低波共享）2025年773期I份额,销售对象【湖南银行及各销售服务渠道个人及机构客户，具体客户类型以销售机构规定为准】</w:t>
              <w:br/>
              <w:t>J份额，销售代码【CCCJGX25773J】，销售名称：青银理财成就系列（低波共享）2025年773期J份额,销售对象【浙江海宁农商银行及各销售服务渠道个人及机构客户，具体客户类型以销售机构规定为准】</w:t>
              <w:br/>
              <w:t>K份额，销售代码【CCCJGX25773K】，销售名称：青银理财成就系列（低波共享）2025年773期K份额(中山农商银行特邀客户专享）,销售对象【中山农商银行及各销售服务渠道个人及机构客户，具体客户类型以销售机构规定为准】</w:t>
            </w:r>
          </w:p>
          <w:p w:rsidR="00662F5F">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Z7003525000785，可通过中国理财网（http://www.chinawealth.com.cn）查询</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662F5F">
            <w:pPr>
              <w:spacing w:line="360" w:lineRule="auto"/>
              <w:rPr>
                <w:rFonts w:ascii="新宋体" w:eastAsia="新宋体" w:hAnsi="新宋体"/>
              </w:rPr>
            </w:pPr>
            <w:r>
              <w:rPr>
                <w:rFonts w:ascii="新宋体" w:eastAsia="新宋体" w:hAnsi="新宋体"/>
              </w:rPr>
              <w:t>2025年12月24日</w:t>
            </w:r>
            <w:r>
              <w:rPr>
                <w:rFonts w:ascii="新宋体" w:eastAsia="新宋体" w:hAnsi="新宋体" w:hint="eastAsia"/>
              </w:rPr>
              <w:t xml:space="preserve"> 9:00至</w:t>
            </w:r>
            <w:r>
              <w:rPr>
                <w:rFonts w:ascii="新宋体" w:eastAsia="新宋体" w:hAnsi="新宋体"/>
              </w:rPr>
              <w:t>2025年12月30日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662F5F">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662F5F">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rPr>
              <w:t>2025年12月31日</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rPr>
              <w:t>2027年02月03日</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r>
          </w:p>
          <w:p w:rsidR="00662F5F">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662F5F">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662F5F">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662F5F">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662F5F">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大连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中山农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662F5F">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662F5F">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szCs w:val="21"/>
              </w:rPr>
            </w:pPr>
            <w:r>
              <w:rPr>
                <w:rFonts w:ascii="新宋体" w:eastAsia="新宋体" w:hAnsi="新宋体" w:hint="eastAsia"/>
                <w:szCs w:val="21"/>
              </w:rPr>
              <w:t>单一投资者</w:t>
            </w:r>
          </w:p>
          <w:p w:rsidR="00662F5F">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662F5F">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662F5F">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662F5F">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662F5F">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662F5F">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D份额业绩比较基准为2.35%（年化）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K份额业绩比较基准为2.30%（年化）</w:t>
            </w:r>
          </w:p>
          <w:p w:rsidR="00662F5F">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662F5F">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662F5F">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662F5F">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662F5F">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0.21%；B份额固定管理费率（年化）为0.25%；C份额固定管理费率（年化）为0.23%；D份额固定管理费率（年化）为0.26%；E份额固定管理费率（年化）为0.31%；F份额固定管理费率（年化）为0.26%；G份额固定管理费率（年化）为0.06%；H份额固定管理费率（年化）为0.21%；I份额固定管理费率（年化）为0.41%；J份额固定管理费率（年化）为0.11%；K份额固定管理费率（年化）为0.31%</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（A份额2.40%、B份额2.36%、C份额2.38%、D份额2.35%、E份额2.30%、F份额2.35%、G份额2.55%、H份额2.40%、I份额2.20%、J份额2.50%、K份额2.30%），则超出部分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r w:rsidRPr="00D85930" w:rsidR="00D85930">
              <w:rPr>
                <w:rFonts w:ascii="新宋体" w:eastAsia="新宋体" w:hAnsi="新宋体" w:hint="eastAsia"/>
                <w:szCs w:val="21"/>
              </w:rPr>
              <w:t>当本理财到期资产投资运作收益小于</w:t>
            </w:r>
            <w:r w:rsidRPr="00D85930" w:rsidR="00D85930">
              <w:rPr>
                <w:rFonts w:ascii="新宋体" w:eastAsia="新宋体" w:hAnsi="新宋体" w:hint="eastAsia"/>
                <w:szCs w:val="21"/>
              </w:rPr>
              <w:t>“</w:t>
            </w:r>
            <w:r w:rsidRPr="00D85930" w:rsidR="00D85930">
              <w:rPr>
                <w:rFonts w:ascii="新宋体" w:eastAsia="新宋体" w:hAnsi="新宋体" w:hint="eastAsia"/>
                <w:szCs w:val="21"/>
              </w:rPr>
              <w:t>业绩比较基准</w:t>
            </w:r>
            <w:r w:rsidRPr="00D85930" w:rsidR="00D85930">
              <w:rPr>
                <w:rFonts w:ascii="新宋体" w:eastAsia="新宋体" w:hAnsi="新宋体" w:hint="eastAsia"/>
                <w:szCs w:val="21"/>
              </w:rPr>
              <w:t>”</w:t>
            </w:r>
            <w:r w:rsidRPr="00D85930" w:rsidR="00D85930">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662F5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662F5F">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662F5F">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662F5F">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662F5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662F5F">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662F5F">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662F5F">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662F5F">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662F5F">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662F5F">
            <w:pPr>
              <w:spacing w:line="360" w:lineRule="auto"/>
              <w:jc w:val="center"/>
              <w:rPr>
                <w:rFonts w:ascii="新宋体" w:eastAsia="新宋体" w:hAnsi="新宋体"/>
                <w:szCs w:val="21"/>
              </w:rPr>
            </w:pPr>
            <w:r>
              <w:rPr>
                <w:rFonts w:ascii="新宋体" w:eastAsia="新宋体" w:hAnsi="新宋体" w:hint="eastAsia"/>
                <w:szCs w:val="21"/>
              </w:rPr>
              <w:t>0-20%</w:t>
            </w:r>
          </w:p>
        </w:tc>
      </w:tr>
    </w:tbl>
    <w:p w:rsidR="00662F5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662F5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662F5F">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662F5F">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662F5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662F5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662F5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662F5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662F5F">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662F5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662F5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662F5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662F5F">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662F5F">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662F5F">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662F5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662F5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662F5F">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662F5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662F5F">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662F5F">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662F5F">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662F5F">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662F5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662F5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662F5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662F5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662F5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662F5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662F5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662F5F">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662F5F">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0.21%，B份额年化费率为0.25%，C份额年化费率为0.23%，D份额年化费率为0.26%，E份额年化费率为0.31%，F份额年化费率为0.26%，G份额年化费率为0.06%，H份额年化费率为0.21%，I份额年化费率为0.41%，J份额年化费率为0.11%，K份额年化费率为0.31%</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A份额【0.21】%，B份额【0.25】%，C份额【0.23】%，D份额【0.26】%，E份额【0.31】%，F份额【0.26】%，G份额【0.06】%，H份额【0.21】%，I份额【0.41】%，J份额【0.11】%，K份额【0.31】%</w:t>
      </w:r>
      <w:r>
        <w:rPr>
          <w:rFonts w:ascii="新宋体" w:eastAsia="新宋体" w:hAnsi="新宋体" w:cs="新宋体" w:hint="eastAsia"/>
          <w:sz w:val="21"/>
          <w:szCs w:val="21"/>
        </w:rPr>
        <w:t>年费率计提，由理财管理人收取。以A份额为例，计算方法如下：</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662F5F">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D85930" w:rsidRPr="00D85930">
      <w:pPr>
        <w:pStyle w:val="NormalWeb"/>
        <w:spacing w:before="0" w:beforeAutospacing="0" w:after="0" w:afterAutospacing="0" w:line="360" w:lineRule="auto"/>
        <w:ind w:firstLine="420"/>
        <w:rPr>
          <w:rFonts w:ascii="新宋体" w:eastAsia="新宋体" w:hAnsi="新宋体" w:cs="新宋体" w:hint="eastAsia"/>
          <w:sz w:val="21"/>
          <w:szCs w:val="21"/>
        </w:rPr>
      </w:pPr>
      <w:r w:rsidRPr="00D85930">
        <w:rPr>
          <w:rFonts w:ascii="新宋体" w:eastAsia="新宋体" w:hAnsi="新宋体" w:cs="新宋体" w:hint="eastAsia"/>
          <w:sz w:val="21"/>
          <w:szCs w:val="21"/>
        </w:rPr>
        <w:t>当本理财到期资产投资运作收益小于</w:t>
      </w:r>
      <w:r w:rsidRPr="00D85930">
        <w:rPr>
          <w:rFonts w:ascii="新宋体" w:eastAsia="新宋体" w:hAnsi="新宋体" w:cs="新宋体" w:hint="eastAsia"/>
          <w:sz w:val="21"/>
          <w:szCs w:val="21"/>
        </w:rPr>
        <w:t>“</w:t>
      </w:r>
      <w:r w:rsidRPr="00D85930">
        <w:rPr>
          <w:rFonts w:ascii="新宋体" w:eastAsia="新宋体" w:hAnsi="新宋体" w:cs="新宋体" w:hint="eastAsia"/>
          <w:sz w:val="21"/>
          <w:szCs w:val="21"/>
        </w:rPr>
        <w:t>业绩比较基准</w:t>
      </w:r>
      <w:r w:rsidRPr="00D85930">
        <w:rPr>
          <w:rFonts w:ascii="新宋体" w:eastAsia="新宋体" w:hAnsi="新宋体" w:cs="新宋体" w:hint="eastAsia"/>
          <w:sz w:val="21"/>
          <w:szCs w:val="21"/>
        </w:rPr>
        <w:t>”</w:t>
      </w:r>
      <w:r w:rsidRPr="00D85930">
        <w:rPr>
          <w:rFonts w:ascii="新宋体" w:eastAsia="新宋体" w:hAnsi="新宋体" w:cs="新宋体" w:hint="eastAsia"/>
          <w:sz w:val="21"/>
          <w:szCs w:val="21"/>
        </w:rPr>
        <w:t>时，管理人将有权放弃计提的固定管理费，最高为已计提的全部固定管理费。</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662F5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本理财计划项下资产组合收益超出本理财计划业绩基准（A份额2.40%、B份额2.36%、C份额2.38%、D份额2.35%、E份额2.30%、F份额2.35%、G份额2.55%、H份额2.40%、I份额2.20%、J份额2.50%、K份额2.30%）的部分，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662F5F">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662F5F">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662F5F">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662F5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662F5F">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662F5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662F5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662F5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662F5F">
      <w:pPr>
        <w:snapToGrid w:val="0"/>
        <w:spacing w:line="360" w:lineRule="auto"/>
        <w:ind w:firstLine="420" w:firstLineChars="200"/>
        <w:jc w:val="left"/>
        <w:rPr>
          <w:b/>
        </w:rPr>
      </w:pPr>
      <w:r>
        <w:rPr>
          <w:rFonts w:hint="eastAsia"/>
          <w:b/>
        </w:rPr>
        <w:t>（6）</w:t>
      </w:r>
      <w:r>
        <w:rPr>
          <w:b/>
        </w:rPr>
        <w:t>重大事项公告</w:t>
      </w:r>
      <w:r>
        <w:rPr>
          <w:rFonts w:hint="eastAsia"/>
          <w:b/>
        </w:rPr>
        <w:t>。</w:t>
      </w:r>
    </w:p>
    <w:p w:rsidR="00662F5F">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662F5F">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662F5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662F5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662F5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662F5F">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F5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662F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F5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662F5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2F5F"/>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5930"/>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157259041</TotalTime>
  <Pages>16</Pages>
  <Words>2235</Words>
  <Characters>12743</Characters>
  <Application>Microsoft Office Word</Application>
  <DocSecurity>0</DocSecurity>
  <Lines>106</Lines>
  <Paragraphs>29</Paragraphs>
  <ScaleCrop>false</ScaleCrop>
  <Company>WwW.YlmF.CoM</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2025-12-10T09:16:00Z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