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恒源封闭债权262期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w:t>
      </w:r>
      <w:r>
        <w:rPr>
          <w:rFonts w:hint="eastAsia" w:ascii="楷体" w:hAnsi="楷体" w:eastAsia="楷体" w:cs="楷体"/>
          <w:color w:val="auto"/>
          <w:sz w:val="21"/>
          <w:szCs w:val="21"/>
        </w:rPr>
        <w:t>市场平均利率水平变化导致债券价格变化的风险。</w:t>
      </w:r>
      <w:r>
        <w:rPr>
          <w:rFonts w:hint="eastAsia" w:ascii="楷体" w:hAnsi="楷体" w:eastAsia="楷体" w:cs="楷体"/>
          <w:color w:val="auto"/>
          <w:sz w:val="21"/>
          <w:szCs w:val="21"/>
        </w:rPr>
        <w:t>②</w:t>
      </w:r>
      <w:r>
        <w:rPr>
          <w:rFonts w:hint="eastAsia" w:ascii="楷体" w:hAnsi="楷体" w:eastAsia="楷体" w:cs="楷体"/>
          <w:color w:val="auto"/>
          <w:sz w:val="21"/>
          <w:szCs w:val="21"/>
        </w:rPr>
        <w:t>债券市场不同期限、不同类别债券之间的利差变动导致相应期限和类别债券价格变化的风险。</w:t>
      </w:r>
      <w:r>
        <w:rPr>
          <w:rFonts w:hint="eastAsia" w:ascii="楷体" w:hAnsi="楷体" w:eastAsia="楷体" w:cs="楷体"/>
          <w:color w:val="auto"/>
          <w:sz w:val="21"/>
          <w:szCs w:val="21"/>
        </w:rPr>
        <w:t>③</w:t>
      </w:r>
      <w:r>
        <w:rPr>
          <w:rFonts w:hint="eastAsia" w:ascii="楷体" w:hAnsi="楷体" w:eastAsia="楷体" w:cs="楷体"/>
          <w:color w:val="auto"/>
          <w:sz w:val="21"/>
          <w:szCs w:val="21"/>
        </w:rPr>
        <w:t>债券的发行人的经营状况受到多种因素影响，如管理能力、财务状况、市场前景、行业竞争能力、技术更新、研究开发、人员素质等，都会导致发行人盈利发生变化，可能导致债券市场价</w:t>
      </w:r>
      <w:bookmarkStart w:id="0" w:name="_GoBack"/>
      <w:bookmarkEnd w:id="0"/>
      <w:r>
        <w:rPr>
          <w:rFonts w:hint="eastAsia" w:ascii="楷体" w:hAnsi="楷体" w:eastAsia="楷体" w:cs="楷体"/>
          <w:color w:val="auto"/>
          <w:sz w:val="21"/>
          <w:szCs w:val="21"/>
        </w:rPr>
        <w:t>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s="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s="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s="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w:t>
      </w:r>
      <w:r>
        <w:rPr>
          <w:rFonts w:hint="eastAsia" w:ascii="楷体" w:hAnsi="楷体" w:eastAsia="楷体" w:cs="楷体"/>
          <w:b/>
          <w:bCs w:val="0"/>
          <w:color w:val="auto"/>
          <w:sz w:val="21"/>
          <w:szCs w:val="21"/>
        </w:rPr>
        <w:t>国家货币政策、财政政策、产业政策等的变化对证券市场产生一定的影响，导致市场价格水平波动的风险。</w:t>
      </w:r>
      <w:r>
        <w:rPr>
          <w:rFonts w:hint="eastAsia" w:ascii="楷体" w:hAnsi="楷体" w:eastAsia="楷体" w:cs="楷体"/>
          <w:b/>
          <w:bCs w:val="0"/>
          <w:color w:val="auto"/>
          <w:sz w:val="21"/>
          <w:szCs w:val="21"/>
        </w:rPr>
        <w:t>②</w:t>
      </w:r>
      <w:r>
        <w:rPr>
          <w:rFonts w:hint="eastAsia" w:ascii="楷体" w:hAnsi="楷体" w:eastAsia="楷体" w:cs="楷体"/>
          <w:b/>
          <w:bCs w:val="0"/>
          <w:color w:val="auto"/>
          <w:sz w:val="21"/>
          <w:szCs w:val="21"/>
        </w:rPr>
        <w:t>宏观经济运行周期性波动，对股票市场的收益水平产生影响的风险。</w:t>
      </w:r>
      <w:r>
        <w:rPr>
          <w:rFonts w:hint="eastAsia" w:ascii="楷体" w:hAnsi="楷体" w:eastAsia="楷体" w:cs="楷体"/>
          <w:b/>
          <w:bCs w:val="0"/>
          <w:color w:val="auto"/>
          <w:sz w:val="21"/>
          <w:szCs w:val="21"/>
        </w:rPr>
        <w:t>③</w:t>
      </w:r>
      <w:r>
        <w:rPr>
          <w:rFonts w:hint="eastAsia" w:ascii="楷体" w:hAnsi="楷体" w:eastAsia="楷体" w:cs="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w:t>
      </w:r>
      <w:r>
        <w:rPr>
          <w:rFonts w:hint="eastAsia" w:ascii="楷体" w:hAnsi="楷体" w:eastAsia="楷体" w:cs="楷体"/>
          <w:b/>
          <w:color w:val="auto"/>
          <w:sz w:val="21"/>
          <w:szCs w:val="21"/>
          <w:highlight w:val="none"/>
          <w:u w:val="single"/>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w:t>
      </w:r>
      <w:r>
        <w:rPr>
          <w:rFonts w:hint="eastAsia" w:ascii="楷体" w:hAnsi="楷体" w:eastAsia="楷体" w:cs="楷体"/>
          <w:color w:val="auto"/>
          <w:sz w:val="21"/>
          <w:szCs w:val="21"/>
        </w:rPr>
        <w:t>机构</w:t>
      </w:r>
      <w:r>
        <w:rPr>
          <w:rFonts w:hint="eastAsia" w:ascii="楷体" w:hAnsi="楷体" w:eastAsia="楷体" w:cs="楷体"/>
          <w:color w:val="auto"/>
          <w:sz w:val="21"/>
          <w:szCs w:val="21"/>
        </w:rPr>
        <w:t>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w:t>
      </w:r>
      <w:r>
        <w:rPr>
          <w:rFonts w:hint="eastAsia" w:ascii="楷体" w:hAnsi="楷体" w:eastAsia="楷体" w:cs="楷体"/>
          <w:color w:val="auto"/>
          <w:sz w:val="21"/>
          <w:szCs w:val="21"/>
        </w:rPr>
        <w:t>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w:t>
      </w:r>
      <w:r>
        <w:rPr>
          <w:rFonts w:hint="eastAsia" w:ascii="楷体" w:hAnsi="楷体" w:eastAsia="楷体" w:cs="楷体"/>
          <w:color w:val="auto"/>
          <w:sz w:val="21"/>
          <w:szCs w:val="21"/>
        </w:rPr>
        <w:t>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w:t>
      </w:r>
      <w:r>
        <w:rPr>
          <w:rFonts w:hint="eastAsia" w:ascii="楷体" w:hAnsi="楷体" w:eastAsia="楷体" w:cs="楷体"/>
          <w:color w:val="auto"/>
          <w:sz w:val="21"/>
          <w:szCs w:val="21"/>
        </w:rPr>
        <w:t>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w:t>
      </w:r>
      <w:r>
        <w:rPr>
          <w:rFonts w:hint="eastAsia" w:ascii="楷体" w:hAnsi="楷体" w:eastAsia="楷体" w:cs="楷体"/>
          <w:color w:val="auto"/>
          <w:sz w:val="21"/>
          <w:szCs w:val="21"/>
        </w:rPr>
        <w:t>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w:t>
      </w:r>
      <w:r>
        <w:rPr>
          <w:rFonts w:hint="eastAsia" w:ascii="楷体" w:hAnsi="楷体" w:eastAsia="楷体" w:cs="楷体"/>
          <w:sz w:val="21"/>
          <w:szCs w:val="21"/>
          <w:highlight w:val="none"/>
        </w:rPr>
        <w:t>或</w:t>
      </w:r>
      <w:r>
        <w:rPr>
          <w:rFonts w:hint="eastAsia" w:ascii="楷体" w:hAnsi="楷体" w:eastAsia="楷体" w:cs="楷体"/>
          <w:sz w:val="21"/>
          <w:szCs w:val="21"/>
          <w:highlight w:val="none"/>
        </w:rPr>
        <w:t>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2025-12-30T08:08:48Z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