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352FCF">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352FCF">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352FCF">
      <w:pPr>
        <w:spacing w:line="360" w:lineRule="auto"/>
        <w:rPr>
          <w:rFonts w:ascii="新宋体" w:eastAsia="新宋体" w:hAnsi="新宋体" w:cs="宋体" w:hint="eastAsia"/>
          <w:b/>
          <w:kern w:val="0"/>
          <w:szCs w:val="21"/>
        </w:rPr>
      </w:pPr>
    </w:p>
    <w:p w:rsidR="00352FCF">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352FCF">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352FCF">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352FCF">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352FCF">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352FCF">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352FCF">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青银理财璀璨人生成就系列人民币理财计划2026年008期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青银理财成就系列（低波共享）2026年008期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CCCJGX26008</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352FCF">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352FCF">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352FCF">
            <w:pPr>
              <w:spacing w:line="360" w:lineRule="auto"/>
              <w:rPr>
                <w:rFonts w:ascii="新宋体" w:eastAsia="新宋体" w:hAnsi="新宋体"/>
              </w:rPr>
            </w:pPr>
            <w:r>
              <w:rPr>
                <w:rFonts w:ascii="新宋体" w:eastAsia="新宋体" w:hAnsi="新宋体" w:hint="eastAsia"/>
              </w:rPr>
              <w:t>A份额，销售代码【CCCJGX26008A】，销售名称：青银理财成就系列（低波共享）2026年008期A份额,销售对象【青岛银行及各销售服务渠道个人及机构客户，具体客户类型以销售机构规定为准】</w:t>
              <w:br/>
              <w:t>B份额，销售代码【CCCJGX26008B】，销售名称：青银理财成就系列（低波共享）2026年008期B份额（代发专属）,销售对象【青岛银行及各销售服务渠道个人及机构客户，具体客户类型以销售机构规定为准】</w:t>
              <w:br/>
              <w:t>C份额，销售代码【CCCJGX26008C】，销售名称：青银理财成就系列（低波共享）2026年008期C份额,销售对象【珠海农商银行及各销售服务渠道个人及机构客户，具体客户类型以销售机构规定为准】</w:t>
              <w:br/>
              <w:t>D份额，销售代码【CCCJGX26008D】，销售名称：青银理财成就系列（低波共享）2026年008期D份额,销售对象【浙江省联社及各销售服务渠道个人及机构客户，具体客户类型以销售机构规定为准】</w:t>
              <w:br/>
              <w:t>E份额，销售代码【CCCJGX26008E】，销售名称：青银理财成就系列（低波共享）2026年008期E份额,销售对象【大连银行及各销售服务渠道个人及机构客户，具体客户类型以销售机构规定为准】</w:t>
              <w:br/>
              <w:t>F份额，销售代码【CCCJGX26008F】，销售名称：青银理财成就系列（低波共享）2026年008期F份额（年终奖专享）,销售对象【中山农商银行及各销售服务渠道个人及机构客户，具体客户类型以销售机构规定为准】</w:t>
              <w:br/>
              <w:t>G份额，销售代码【CCCJGX26008G】，销售名称：青银理财成就系列（低波共享）2026年008期G份额,销售对象【湖南银行及各销售服务渠道个人及机构客户，具体客户类型以销售机构规定为准】</w:t>
            </w:r>
          </w:p>
          <w:p w:rsidR="00352FCF">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Z7003526000037，可通过中国理财网（http://www.chinawealth.com.cn）查询</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352FCF">
            <w:pPr>
              <w:spacing w:line="360" w:lineRule="auto"/>
              <w:rPr>
                <w:rFonts w:ascii="新宋体" w:eastAsia="新宋体" w:hAnsi="新宋体"/>
              </w:rPr>
            </w:pPr>
            <w:r>
              <w:rPr>
                <w:rFonts w:ascii="新宋体" w:eastAsia="新宋体" w:hAnsi="新宋体"/>
              </w:rPr>
              <w:t>2026年01月27日</w:t>
            </w:r>
            <w:r>
              <w:rPr>
                <w:rFonts w:ascii="新宋体" w:eastAsia="新宋体" w:hAnsi="新宋体" w:hint="eastAsia"/>
              </w:rPr>
              <w:t xml:space="preserve"> 9:00至</w:t>
            </w:r>
            <w:r>
              <w:rPr>
                <w:rFonts w:ascii="新宋体" w:eastAsia="新宋体" w:hAnsi="新宋体"/>
              </w:rPr>
              <w:t>2026年02月03日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352FCF">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352FCF">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2026年02月04日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2027年03月04日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393</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A份额规模上限</w:t>
            </w:r>
            <w:r w:rsidR="003B2C7E">
              <w:rPr>
                <w:rFonts w:ascii="新宋体" w:eastAsia="新宋体" w:hAnsi="新宋体" w:hint="eastAsia"/>
              </w:rPr>
              <w:t>2</w:t>
            </w:r>
            <w:r>
              <w:rPr>
                <w:rFonts w:ascii="新宋体" w:eastAsia="新宋体" w:hAnsi="新宋体" w:hint="eastAsia"/>
              </w:rPr>
              <w:t>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r>
          </w:p>
          <w:p w:rsidR="00352FCF">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352FCF">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352FCF">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352FCF">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珠海农商银行及各销售服务渠道，D份额销售渠道为浙江省联社及各销售服务渠道，E份额销售渠道为大连银行及各销售服务渠道，F份额销售渠道为中山农商银行及各销售服务渠道，G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352FCF">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单一投资者</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352FCF">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352FCF">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352FCF">
            <w:pPr>
              <w:spacing w:line="360" w:lineRule="auto"/>
              <w:rPr>
                <w:rFonts w:ascii="新宋体" w:eastAsia="新宋体" w:hAnsi="新宋体" w:hint="eastAsia"/>
                <w:b/>
              </w:rPr>
            </w:pPr>
            <w:r>
              <w:rPr>
                <w:rFonts w:ascii="新宋体" w:eastAsia="新宋体" w:hAnsi="新宋体" w:hint="eastAsia"/>
                <w:b/>
              </w:rPr>
              <w:t>A份额业绩比较基准为2.25%（年化）</w:t>
              <w:br/>
              <w:t>B份额业绩比较基准为2.28%（年化）</w:t>
              <w:br/>
              <w:t>C份额业绩比较基准为2.25%（年化）</w:t>
              <w:br/>
              <w:t>D份额业绩比较基准为2.20%（年化）</w:t>
              <w:br/>
              <w:t>E份额业绩比较基准为2.15%（年化）</w:t>
              <w:br/>
              <w:t>F份额业绩比较基准为2.15%（年化）</w:t>
              <w:br/>
              <w:t>G份额业绩比较基准为2.05%（年化）</w:t>
            </w:r>
          </w:p>
          <w:p w:rsidR="00352FCF">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352FCF">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352FCF">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0.25%；B份额固定管理费率（年化）为0.22%；C份额固定管理费率（年化）为0.25%；D份额固定管理费率（年化）为0.30%；E份额固定管理费率（年化）为0.35%；F份额固定管理费率（年化）为0.35%；G份额固定管理费率（年化）为0.45%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（A份额2.25%、B份额2.28%、C份额2.25%、D份额2.20%、E份额2.15%、F份额2.15%、G份额2.05%），则超出部分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352FCF">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352FCF">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352FCF">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352FCF">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352FCF">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352FCF">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w:t>
            </w:r>
            <w:r>
              <w:rPr>
                <w:rFonts w:ascii="新宋体" w:eastAsia="新宋体" w:hAnsi="新宋体" w:hint="eastAsia"/>
                <w:szCs w:val="21"/>
              </w:rPr>
              <w:t>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0-20%</w:t>
            </w:r>
          </w:p>
        </w:tc>
      </w:tr>
    </w:tbl>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352FCF">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352FCF">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352FCF">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352FCF">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352FCF">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352FCF">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352FCF">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352FCF">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A份额年化费率为0.25%，B份额年化费率为0.22%，C份额年化费率为0.25%，D份额年化费率为0.30%，E份额年化费率为0.35%，F份额年化费率为0.35%，G份额年化费率为0.45%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A份额【0.25】%，B份额【0.22】%，C份额【0.25】%，D份额【0.30】%，E份额【0.35】%，F份额【0.35】%，G份额【0.45】%</w:t>
      </w:r>
      <w:r>
        <w:rPr>
          <w:rFonts w:ascii="新宋体" w:eastAsia="新宋体" w:hAnsi="新宋体" w:cs="新宋体" w:hint="eastAsia"/>
          <w:sz w:val="21"/>
          <w:szCs w:val="21"/>
        </w:rPr>
        <w:t>年费率计提，由理财管理人收取。以A份额为例，计算方法如下：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0.25%</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352FCF">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本理财计划项下资产组合收益超出本理财计划业绩基准（A份额2.25%、B份额2.28%、C份额2.25%、D份额2.20%、E份额2.15%、F份额2.15%、G份额2.05%）的部分，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352FCF">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352FCF">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352FCF">
      <w:pPr>
        <w:snapToGrid w:val="0"/>
        <w:spacing w:line="360" w:lineRule="auto"/>
        <w:ind w:firstLine="420" w:firstLineChars="200"/>
        <w:jc w:val="left"/>
        <w:rPr>
          <w:b/>
        </w:rPr>
      </w:pPr>
      <w:r>
        <w:rPr>
          <w:rFonts w:hint="eastAsia"/>
          <w:b/>
        </w:rPr>
        <w:t>（6）</w:t>
      </w:r>
      <w:r>
        <w:rPr>
          <w:b/>
        </w:rPr>
        <w:t>重大事项公告</w:t>
      </w:r>
      <w:r>
        <w:rPr>
          <w:rFonts w:hint="eastAsia"/>
          <w:b/>
        </w:rPr>
        <w:t>。</w:t>
      </w:r>
    </w:p>
    <w:p w:rsidR="00352FCF">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352FCF">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352FCF">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352F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67974">
      <w:rPr>
        <w:rStyle w:val="PageNumber"/>
        <w:noProof/>
      </w:rPr>
      <w:t>1</w:t>
    </w:r>
    <w:r>
      <w:fldChar w:fldCharType="end"/>
    </w:r>
  </w:p>
  <w:p w:rsidR="00352FCF">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2FCF"/>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67974"/>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2C7E"/>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47B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43"/>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87C4A"/>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TotalTime>
  <Pages>15</Pages>
  <Words>2084</Words>
  <Characters>11881</Characters>
  <Application>Microsoft Office Word</Application>
  <DocSecurity>0</DocSecurity>
  <Lines>99</Lines>
  <Paragraphs>27</Paragraphs>
  <ScaleCrop>false</ScaleCrop>
  <Company>WwW.YlmF.CoM</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2026-01-05T05:40:00Z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