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苏银理财恒源封闭债权276期优选2年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w:t>
      </w:r>
      <w:bookmarkStart w:id="0" w:name="_GoBack"/>
      <w:bookmarkEnd w:id="0"/>
      <w:r>
        <w:rPr>
          <w:rFonts w:hint="eastAsia" w:ascii="楷体" w:hAnsi="楷体" w:eastAsia="楷体" w:cs="楷体"/>
          <w:b/>
          <w:color w:val="auto"/>
          <w:kern w:val="0"/>
          <w:sz w:val="24"/>
          <w:szCs w:val="24"/>
        </w:rPr>
        <w:t>、投资须谨慎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恒源封闭债权276期优选2年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苏银理财恒源封闭债权276期优选2年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Z7003125000346，</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A份额：苏银理财恒源封闭债权276期优选2年A/J14686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B份额：苏银理财恒源封闭债权276期优选2年B/J14687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C份额：苏银理财恒源封闭债权276期优选2年C/J14688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D份额：苏银理财恒源封闭债权276期优选2年D/J14689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E份额：苏银理财恒源封闭债权276期优选2年E/J14690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F份额：苏银理财恒源封闭债权276期优选2年F/J14691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G份额：苏银理财恒源封闭债权276期优选2年G/J14692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H份额：苏银理财恒源封闭债权276期优选2年H/J14693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I份额：苏银理财恒源封闭债权276期优选2年I/J14694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J份额：苏银理财恒源封闭债权276期优选2年J/J14695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K份额：苏银理财恒源封闭债权276期优选2年K/J14696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L份额：苏银理财恒源封闭债权276期优选2年L/J14697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M份额：苏银理财恒源封闭债权276期优选2年M/J14698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N份额：苏银理财恒源封闭债权276期优选2年N/J14699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O份额：苏银理财恒源封闭债权276期优选2年O（兰州银行开门红专属）/J14700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P份额：苏银理财恒源封闭债权276期优选2年P/J14701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Q份额：苏银理财恒源封闭债权276期优选2年Q/J14702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S份额：苏银理财恒源封闭债权276期优选2年S/J14703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JS份额：苏银理财恒源封闭债权276期优选2年JS鑫福款/J14705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芙蓉锦程·优选份额：苏银理财恒源封闭债权276期优选2年（芙蓉锦程·优选）/J14706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H/Q份额面向个人销售；其他份额面向个人和机构投资者销售。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A/B/D/F/G/J/K/L/M/N/O/P/Q/S/JS/芙蓉锦程·优选份额：1元/1元的整数倍；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26</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4</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2026年3月5日，如管理人调整募集期，则产品成立日/份额登记日将相应调整，以管理人公告为准。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8</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22</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748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2.55%-2.95%；B份额：2.50%-2.90%；C份额：2.60%-3.00%；D份额：2.50%-2.90%；E份额：2.65%-3.05%；F份额：2.55%-2.95%；G份额：2.40%-2.80%；H份额：2.45%-2.85%；I份额：2.70%-3.10%；J份额：2.50%-2.90%；K份额：2.45%-2.85%；L份额：2.50%-2.90%；M份额：2.60%-3.00%；N份额：2.60%-3.00%；O份额：2.55%-2.95%；P份额：2.45%-2.85%；Q份额：2.50%-2.90%；S份额：2.60%-3.00%；JS份额：2.55%-2.95%；芙蓉锦程·优选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I份额：0.14%</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N份额：0.05%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I份额：0.06%</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P份额：0.15%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Q份额：0.10%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E份额：苏银理财有限责任公司/宁波通商银行股份有限公司/江苏银行股份有限公司/江苏常熟农村商业银行股份有限公司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F份额：威海银行股份有限公司/青岛银行股份有限公司/东营银行股份有限公司/齐鲁银行股份有限公司/宁夏银行股份有限公司/莱商银行股份有限公司/嘉兴银行股份有限公司/甘肃银行股份有限公司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H份额：重庆农村商业银行股份有限公司/江苏苏州农村商业银行股份有限公司/江苏常熟农村商业银行股份有限公司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浙江桐庐农村商业银行股份有限公司/浙江永康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P份额：山西银行股份有限公司/广州农村商业银行股份有限公司/北京农村商业银行股份有限公司/秦皇岛银行股份有限公司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Q份额：湖北银行股份有限公司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S份额：郑州银行股份有限公司/齐鲁银行股份有限公司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D63D2"/>
    <w:rsid w:val="15BE493E"/>
    <w:rsid w:val="15CB6368"/>
    <w:rsid w:val="15CF287D"/>
    <w:rsid w:val="15D019D6"/>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0F6B47"/>
    <w:rsid w:val="1C2928C2"/>
    <w:rsid w:val="1C2B71EE"/>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023D6"/>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92E08"/>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57FF2"/>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57895"/>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3B46CB"/>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99629B"/>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BF6020"/>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73D8D"/>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1415F6"/>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CF450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185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41ED4"/>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9A7B40"/>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B7334"/>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14192</Words>
  <Characters>15160</Characters>
  <Lines>243</Lines>
  <Paragraphs>68</Paragraphs>
  <TotalTime>0</TotalTime>
  <ScaleCrop>false</ScaleCrop>
  <LinksUpToDate>false</LinksUpToDate>
  <CharactersWithSpaces>15163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2026-02-11T08:33:59Z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