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苏银理财恒源封闭债权269期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eastAsia="zh-CN"/>
        </w:rPr>
        <w:t>苏银理财恒源封闭债权269期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Z7003125000343，</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A份额：苏银理财恒源封闭债权269期13月A/J15075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B份额：苏银理财恒源封闭债权269期13月B/J15076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C份额：苏银理财恒源封闭债权269期13月C/J15077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D份额：苏银理财恒源封闭债权269期13月D/J15078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E份额：苏银理财恒源封闭债权269期13月E/J15079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F份额：苏银理财恒源封闭债权269期13月F/J15080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G份额：苏银理财恒源封闭债权269期13月G/J15081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H份额：苏银理财恒源封闭债权269期13月H/J15082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I份额：苏银理财恒源封闭债权269期13月I/J15083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J份额：苏银理财恒源封闭债权269期13月J/J15084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K份额：苏银理财恒源封闭债权269期13月K/J15085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L份额：苏银理财恒源封闭债权269期13月L/J15086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M份额：苏银理财恒源封闭债权269期13月M/J15087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N份额：苏银理财恒源封闭债权269期13月N/J15088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O份额：苏银理财恒源封闭债权269期13月O（兰州银行开门红专属）/J15089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P份额：苏银理财恒源封闭债权269期13月P/J15090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Z份额：苏银理财恒源封闭债权269期13月Z/J15091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JS份额：苏银理财恒源封闭债权269期13月JS鑫福款/J15092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芙蓉锦程·优选份额：苏银理财恒源封闭债权269期13月（芙蓉锦程·优选）/J15093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A/B/D/F/G/H/I/J/K/L/N/O/Z/JS/芙蓉锦程·优选份额：1元/1元的整数倍；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C/M/P份额：10,000元/10,000元的整数倍；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4</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2026年3月11日，如管理人调整募集期，则产品成立日将相应调整，以管理人公告为准。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4</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391</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2.40%-2.80%；C份额：2.50%-2.90%；D份额：2.50%-2.90%；E份额：2.55%-2.95%；F份额：2.45%-2.85%；G份额：2.35%-2.75%；H份额：2.45%-2.85%；I份额：2.45%-2.85%；J份额：2.40%-2.80%；K份额：2.50%-2.90%；L份额：2.50%-2.90%；M份额：2.30%-2.70%；N份额：2.40%-2.80%；O份额：2.45%-2.85%；P份额：2.50%-2.90%；Z份额：2.55%-2.95%；JS份额：2.45%-2.85%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。其中D/H份额采用一次性提取模式，其他份额采用每日计提模式。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山西银行股份有限公司/交通银行股份有限公司/江苏常熟农村商业银行股份有限公司/北京农村商业银行股份有限公司/秦皇岛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浙江瑞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1D5F1A"/>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1A1DF2"/>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E0A1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82243"/>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5D6BA7"/>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645BEB"/>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6E0D5C"/>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133B6"/>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15194</Words>
  <Characters>16170</Characters>
  <Lines>243</Lines>
  <Paragraphs>68</Paragraphs>
  <TotalTime>0</TotalTime>
  <ScaleCrop>false</ScaleCrop>
  <LinksUpToDate>false</LinksUpToDate>
  <CharactersWithSpaces>16170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2026-02-26T01:50:37Z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