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w:t>
      </w:r>
      <w:r>
        <w:rPr>
          <w:rFonts w:hint="eastAsia" w:ascii="楷体" w:hAnsi="楷体" w:eastAsia="楷体"/>
          <w:b/>
          <w:color w:val="auto"/>
          <w:sz w:val="28"/>
          <w:szCs w:val="28"/>
          <w:highlight w:val="none"/>
          <w:lang w:eastAsia="zh-CN"/>
        </w:rPr>
        <w:t>苏银理财恒源1年定开39期</w:t>
      </w:r>
      <w:r>
        <w:rPr>
          <w:rFonts w:hint="eastAsia" w:ascii="楷体" w:hAnsi="楷体" w:eastAsia="楷体"/>
          <w:b/>
          <w:color w:val="auto"/>
          <w:sz w:val="28"/>
          <w:szCs w:val="28"/>
          <w:highlight w:val="none"/>
        </w:rPr>
        <w:t>”理财产品说</w:t>
      </w:r>
      <w:r>
        <w:rPr>
          <w:rFonts w:hint="eastAsia" w:ascii="楷体" w:hAnsi="楷体" w:eastAsia="楷体"/>
          <w:b/>
          <w:color w:val="auto"/>
          <w:sz w:val="28"/>
          <w:szCs w:val="28"/>
          <w:highlight w:val="none"/>
          <w:lang w:val="en-US" w:eastAsia="zh-CN"/>
        </w:rPr>
        <w:t>明</w:t>
      </w:r>
      <w:r>
        <w:rPr>
          <w:rFonts w:hint="eastAsia" w:ascii="楷体" w:hAnsi="楷体" w:eastAsia="楷体"/>
          <w:b/>
          <w:color w:val="auto"/>
          <w:sz w:val="28"/>
          <w:szCs w:val="28"/>
          <w:highlight w:val="none"/>
        </w:rPr>
        <w:t>书</w:t>
      </w:r>
    </w:p>
    <w:p>
      <w:pPr>
        <w:pStyle w:val="13"/>
        <w:pageBreakBefore w:val="0"/>
        <w:spacing w:before="0" w:beforeAutospacing="0" w:after="0" w:afterAutospacing="0" w:line="240" w:lineRule="auto"/>
        <w:jc w:val="center"/>
        <w:rPr>
          <w:rFonts w:hint="default" w:ascii="楷体" w:hAnsi="楷体" w:eastAsia="楷体" w:cs="Times New Roman"/>
          <w:kern w:val="2"/>
          <w:sz w:val="21"/>
          <w:szCs w:val="21"/>
          <w:highlight w:val="none"/>
          <w:lang w:val="en-US" w:eastAsia="zh-CN" w:bidi="ar-SA"/>
        </w:rPr>
      </w:pPr>
      <w:r>
        <w:rPr>
          <w:rFonts w:hint="eastAsia" w:ascii="楷体" w:hAnsi="楷体" w:eastAsia="楷体" w:cs="Times New Roman"/>
          <w:kern w:val="2"/>
          <w:sz w:val="21"/>
          <w:szCs w:val="21"/>
          <w:highlight w:val="none"/>
          <w:lang w:val="en-US" w:eastAsia="zh-CN" w:bidi="ar-SA"/>
        </w:rPr>
        <w:t>（2026年3月版）</w:t>
      </w:r>
    </w:p>
    <w:p>
      <w:pPr>
        <w:jc w:val="center"/>
        <w:rPr>
          <w:rFonts w:hint="eastAsia" w:ascii="楷体" w:hAnsi="楷体" w:eastAsia="楷体"/>
          <w:b/>
          <w:sz w:val="24"/>
          <w:szCs w:val="24"/>
        </w:rPr>
      </w:pPr>
      <w:r>
        <w:rPr>
          <w:rFonts w:hint="eastAsia" w:ascii="楷体" w:hAnsi="楷体" w:eastAsia="楷体" w:cs="宋体"/>
          <w:b/>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苏银理财恒源1年定开39期</w:t>
      </w:r>
      <w:r>
        <w:rPr>
          <w:rFonts w:hint="eastAsia" w:ascii="楷体" w:hAnsi="楷体" w:eastAsia="楷体"/>
          <w:sz w:val="21"/>
          <w:szCs w:val="21"/>
        </w:rPr>
        <w:t>”理财产品风险揭示书》的“风险揭示”部分。</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本产品可设置多</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份额可能设置不同的销售对象、销售起点、业绩比较基准等，各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sz w:val="21"/>
          <w:szCs w:val="21"/>
          <w:highlight w:val="none"/>
        </w:rPr>
      </w:pPr>
      <w:r>
        <w:rPr>
          <w:rFonts w:hint="eastAsia" w:ascii="楷体" w:hAnsi="楷体" w:eastAsia="楷体"/>
          <w:b/>
          <w:sz w:val="21"/>
          <w:szCs w:val="21"/>
        </w:rPr>
        <w:t>产品要素</w:t>
      </w:r>
    </w:p>
    <w:p>
      <w:pPr>
        <w:numPr>
          <w:ilvl w:val="0"/>
          <w:numId w:val="0"/>
        </w:numPr>
        <w:tabs>
          <w:tab w:val="left" w:pos="1134"/>
        </w:tabs>
        <w:ind w:left="0" w:leftChars="0" w:firstLine="420" w:firstLineChars="200"/>
        <w:outlineLvl w:val="1"/>
        <w:rPr>
          <w:rFonts w:hint="eastAsia" w:ascii="楷体" w:hAnsi="楷体" w:eastAsia="楷体"/>
          <w:sz w:val="21"/>
          <w:szCs w:val="21"/>
          <w:highlight w:val="none"/>
        </w:rPr>
      </w:pPr>
      <w:r>
        <w:rPr>
          <w:rFonts w:hint="eastAsia" w:ascii="楷体" w:hAnsi="楷体" w:eastAsia="楷体"/>
          <w:sz w:val="21"/>
          <w:szCs w:val="21"/>
          <w:highlight w:val="none"/>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2"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产品名称</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highlight w:val="none"/>
                <w:lang w:eastAsia="zh-CN"/>
              </w:rPr>
              <w:t>苏银理财恒源1年定开39期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lang w:eastAsia="zh-CN"/>
              </w:rPr>
              <w:t>Z7003122000163，</w:t>
            </w:r>
            <w:r>
              <w:rPr>
                <w:rFonts w:hint="eastAsia" w:ascii="楷体" w:hAnsi="楷体" w:eastAsia="楷体" w:cs="宋体"/>
                <w:spacing w:val="-2"/>
                <w:sz w:val="18"/>
                <w:szCs w:val="18"/>
              </w:rPr>
              <w:t>投资者可依据该编码在中国理财网</w:t>
            </w:r>
            <w:r>
              <w:rPr>
                <w:rFonts w:ascii="楷体" w:hAnsi="楷体" w:eastAsia="楷体" w:cs="宋体"/>
                <w:spacing w:val="-2"/>
                <w:sz w:val="18"/>
                <w:szCs w:val="18"/>
              </w:rPr>
              <w:fldChar w:fldCharType="begin"/>
            </w:r>
            <w:r>
              <w:rPr>
                <w:rFonts w:ascii="楷体" w:hAnsi="楷体" w:eastAsia="楷体" w:cs="宋体"/>
                <w:spacing w:val="-2"/>
                <w:sz w:val="18"/>
                <w:szCs w:val="18"/>
              </w:rPr>
              <w:instrText xml:space="preserve"> HYPERLINK "http://www.chinawealth.com.cn/" </w:instrText>
            </w:r>
            <w:r>
              <w:rPr>
                <w:rFonts w:ascii="楷体" w:hAnsi="楷体" w:eastAsia="楷体" w:cs="宋体"/>
                <w:spacing w:val="-2"/>
                <w:sz w:val="18"/>
                <w:szCs w:val="18"/>
              </w:rPr>
              <w:fldChar w:fldCharType="separate"/>
            </w:r>
            <w:r>
              <w:rPr>
                <w:rFonts w:ascii="楷体" w:hAnsi="楷体" w:eastAsia="楷体" w:cs="宋体"/>
                <w:spacing w:val="-2"/>
                <w:sz w:val="18"/>
                <w:szCs w:val="18"/>
              </w:rPr>
              <w:t>www.chinawealth.com.cn</w:t>
            </w:r>
            <w:r>
              <w:rPr>
                <w:rFonts w:ascii="楷体" w:hAnsi="楷体" w:eastAsia="楷体" w:cs="宋体"/>
                <w:spacing w:val="-2"/>
                <w:sz w:val="18"/>
                <w:szCs w:val="18"/>
              </w:rPr>
              <w:fldChar w:fldCharType="end"/>
            </w:r>
            <w:r>
              <w:rPr>
                <w:rFonts w:hint="eastAsia" w:ascii="楷体" w:hAnsi="楷体" w:eastAsia="楷体" w:cs="宋体"/>
                <w:spacing w:val="-2"/>
                <w:sz w:val="18"/>
                <w:szCs w:val="18"/>
              </w:rPr>
              <w:t>查询产品信息</w:t>
            </w:r>
            <w:r>
              <w:rPr>
                <w:rFonts w:hint="eastAsia" w:ascii="楷体" w:hAnsi="楷体" w:eastAsia="楷体" w:cs="宋体"/>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A份额:苏银理财恒源1年定开39期A/J02224</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B份额:苏银理财恒源1年定开39期B/J02225</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C份额:苏银理财恒源1年定开39期C/J14796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D份额:苏银理财恒源1年定开39期D/J03075</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F份额:苏银理财恒源1年定开39期F/J03076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G份额:苏银理财恒源1年定开39期G/J02226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J份额:苏银理财恒源1年定开39期J/J03077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P份额:苏银理财恒源1年定开39期P/J14798</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O份额:苏银理财恒源1年定开39期O（兰州银行开门红专属）/J14799</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U份额:苏银理财恒源1年定开39期U/J14800</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Z份额:苏银理财恒源1年定开39期Z/J14801</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ZA份额:苏银理财恒源1年定开39期ZA鑫福款（自动赎回）/J03078</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ZF份额:苏银理财恒源1年定开39期ZF（自动赎回）/J03079</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ZF2份额:苏银理财恒源1年定开39期ZF2（自动赎回）/J14802</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ZN份额:苏银理财恒源1年定开39期ZN（自动赎回）/J03808</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ZC份额:苏银理财恒源1年定开39期ZC鑫福优享（自动赎回）/J14803</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ZK份额:苏银理财恒源1年定开39期ZK鑫福尊享（自动赎回）/J14804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产品类型</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spacing w:val="-2"/>
                <w:kern w:val="0"/>
                <w:sz w:val="18"/>
                <w:szCs w:val="18"/>
                <w:u w:val="single"/>
                <w:lang w:val="en-US" w:eastAsia="zh-CN" w:bidi="ar-SA"/>
              </w:rPr>
            </w:pPr>
            <w:r>
              <w:rPr>
                <w:rFonts w:hint="eastAsia" w:ascii="楷体" w:hAnsi="楷体" w:eastAsia="楷体" w:cs="宋体"/>
                <w:b/>
                <w:spacing w:val="-2"/>
                <w:sz w:val="18"/>
                <w:szCs w:val="18"/>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产品内部风险评级</w:t>
            </w:r>
          </w:p>
        </w:tc>
        <w:tc>
          <w:tcPr>
            <w:tcW w:w="7937" w:type="dxa"/>
            <w:noWrap w:val="0"/>
            <w:vAlign w:val="center"/>
          </w:tcPr>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销售对象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D份额销售机构江苏银行个人投资者仅限财富客户购买，江苏银行财富客户指在江苏银行日均资产大于等于200万元的个人客户；机构投资者具体以销售机构设置为准。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币种</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rPr>
            </w:pPr>
            <w:r>
              <w:rPr>
                <w:rFonts w:hint="eastAsia" w:ascii="楷体" w:hAnsi="楷体" w:eastAsia="楷体" w:cs="宋体"/>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份额面值</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lang w:eastAsia="zh-CN"/>
              </w:rPr>
              <w:t>1元</w:t>
            </w:r>
            <w:r>
              <w:rPr>
                <w:rFonts w:hint="eastAsia" w:ascii="楷体" w:hAnsi="楷体" w:eastAsia="楷体" w:cs="宋体"/>
                <w:spacing w:val="-2"/>
                <w:sz w:val="18"/>
                <w:szCs w:val="1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投资周期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b/>
                <w:spacing w:val="-2"/>
                <w:sz w:val="18"/>
                <w:szCs w:val="18"/>
                <w:highlight w:val="none"/>
                <w:lang w:val="en-US" w:eastAsia="zh-CN"/>
              </w:rPr>
            </w:pPr>
            <w:r>
              <w:rPr>
                <w:rFonts w:hint="eastAsia" w:ascii="楷体" w:hAnsi="楷体" w:eastAsia="楷体" w:cs="宋体"/>
                <w:spacing w:val="-2"/>
                <w:sz w:val="18"/>
                <w:szCs w:val="18"/>
                <w:highlight w:val="none"/>
                <w:lang w:val="en-US" w:eastAsia="zh-CN"/>
              </w:rPr>
              <w:t>1年左右，具体天数以实际投资为准。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计划发行规模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val="en-US" w:eastAsia="zh-CN"/>
              </w:rPr>
              <w:t>本产品计划发行规模为</w:t>
            </w:r>
            <w:r>
              <w:rPr>
                <w:rFonts w:hint="eastAsia" w:ascii="楷体" w:hAnsi="楷体" w:eastAsia="楷体" w:cs="宋体"/>
                <w:spacing w:val="-2"/>
                <w:sz w:val="18"/>
                <w:szCs w:val="18"/>
                <w:highlight w:val="none"/>
                <w:lang w:val="en-US" w:eastAsia="zh-CN"/>
              </w:rPr>
              <w:t>100000万元</w:t>
            </w:r>
            <w:r>
              <w:rPr>
                <w:rFonts w:hint="eastAsia" w:ascii="楷体" w:hAnsi="楷体" w:eastAsia="楷体" w:cs="宋体"/>
                <w:spacing w:val="-2"/>
                <w:sz w:val="18"/>
                <w:szCs w:val="18"/>
                <w:lang w:val="en-US" w:eastAsia="zh-CN"/>
              </w:rPr>
              <w:t>，管理人有权根据实际需要调整计划发行规模。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最低发行规模</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lang w:val="en-US" w:eastAsia="zh-CN"/>
              </w:rPr>
            </w:pPr>
            <w:r>
              <w:rPr>
                <w:rFonts w:hint="eastAsia" w:ascii="楷体" w:hAnsi="楷体" w:eastAsia="楷体" w:cs="宋体"/>
                <w:spacing w:val="-2"/>
                <w:sz w:val="18"/>
                <w:szCs w:val="18"/>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rPr>
              <w:t>，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A份额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B份额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200,000元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C份额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D份额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个人投资者：500,000元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3</w:t>
            </w:r>
            <w:r>
              <w:rPr>
                <w:rFonts w:hint="eastAsia" w:ascii="楷体" w:hAnsi="楷体" w:eastAsia="楷体"/>
                <w:sz w:val="18"/>
                <w:szCs w:val="18"/>
                <w:highlight w:val="none"/>
              </w:rPr>
              <w:t>0,000,000元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F份额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G份额</w:t>
            </w:r>
            <w:r>
              <w:rPr>
                <w:rFonts w:hint="eastAsia" w:ascii="楷体" w:hAnsi="楷体" w:eastAsia="楷体"/>
                <w:sz w:val="18"/>
                <w:szCs w:val="18"/>
                <w:highlight w:val="none"/>
                <w:lang w:val="en-US" w:eastAsia="zh-CN"/>
              </w:rPr>
              <w:t>:20</w:t>
            </w:r>
            <w:r>
              <w:rPr>
                <w:rFonts w:hint="eastAsia" w:ascii="楷体" w:hAnsi="楷体" w:eastAsia="楷体"/>
                <w:sz w:val="18"/>
                <w:szCs w:val="18"/>
                <w:highlight w:val="none"/>
              </w:rPr>
              <w:t>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J份额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eastAsia="楷体"/>
                <w:lang w:val="en-US" w:eastAsia="zh-CN"/>
              </w:rPr>
            </w:pPr>
            <w:r>
              <w:rPr>
                <w:rFonts w:hint="eastAsia" w:ascii="楷体" w:hAnsi="楷体" w:eastAsia="楷体"/>
                <w:sz w:val="18"/>
                <w:szCs w:val="18"/>
                <w:highlight w:val="none"/>
              </w:rPr>
              <w:t>P份额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O份额:</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U份额:</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Z份额:</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ZA份额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ZF份额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ZF2份额:</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ZN份额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w:t>
            </w:r>
            <w:r>
              <w:rPr>
                <w:rFonts w:hint="eastAsia" w:ascii="楷体" w:hAnsi="楷体" w:eastAsia="楷体"/>
                <w:sz w:val="18"/>
                <w:szCs w:val="18"/>
                <w:highlight w:val="none"/>
                <w:lang w:val="en-US" w:eastAsia="zh-CN"/>
              </w:rPr>
              <w:t>C</w:t>
            </w:r>
            <w:r>
              <w:rPr>
                <w:rFonts w:hint="eastAsia" w:ascii="楷体" w:hAnsi="楷体" w:eastAsia="楷体"/>
                <w:sz w:val="18"/>
                <w:szCs w:val="18"/>
                <w:highlight w:val="none"/>
              </w:rPr>
              <w:t>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w:t>
            </w:r>
            <w:r>
              <w:rPr>
                <w:rFonts w:hint="eastAsia" w:ascii="楷体" w:hAnsi="楷体" w:eastAsia="楷体"/>
                <w:sz w:val="18"/>
                <w:szCs w:val="18"/>
                <w:highlight w:val="none"/>
                <w:lang w:val="en-US" w:eastAsia="zh-CN"/>
              </w:rPr>
              <w:t>K</w:t>
            </w:r>
            <w:r>
              <w:rPr>
                <w:rFonts w:hint="eastAsia" w:ascii="楷体" w:hAnsi="楷体" w:eastAsia="楷体"/>
                <w:sz w:val="18"/>
                <w:szCs w:val="18"/>
                <w:highlight w:val="none"/>
              </w:rPr>
              <w:t>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个人投资者：500,000元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3</w:t>
            </w:r>
            <w:r>
              <w:rPr>
                <w:rFonts w:hint="eastAsia" w:ascii="楷体" w:hAnsi="楷体" w:eastAsia="楷体"/>
                <w:sz w:val="18"/>
                <w:szCs w:val="18"/>
                <w:highlight w:val="none"/>
              </w:rPr>
              <w:t>0,000,000元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lang w:eastAsia="zh-CN"/>
              </w:rPr>
            </w:pPr>
            <w:r>
              <w:rPr>
                <w:rFonts w:hint="eastAsia" w:ascii="楷体" w:hAnsi="楷体" w:eastAsia="楷体"/>
                <w:sz w:val="18"/>
                <w:szCs w:val="18"/>
              </w:rPr>
              <w:t>苏银理财有权对上述起点金额和</w:t>
            </w:r>
            <w:r>
              <w:rPr>
                <w:rFonts w:hint="eastAsia" w:ascii="楷体" w:hAnsi="楷体" w:eastAsia="楷体"/>
                <w:sz w:val="18"/>
                <w:szCs w:val="18"/>
                <w:lang w:val="en-US" w:eastAsia="zh-CN"/>
              </w:rPr>
              <w:t>追加</w:t>
            </w:r>
            <w:r>
              <w:rPr>
                <w:rFonts w:hint="eastAsia" w:ascii="楷体" w:hAnsi="楷体" w:eastAsia="楷体"/>
                <w:sz w:val="18"/>
                <w:szCs w:val="18"/>
              </w:rPr>
              <w:t>金额进行调整，并在调整前进行公告。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募集期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eastAsia="zh-CN"/>
              </w:rPr>
              <w:t>202</w:t>
            </w:r>
            <w:r>
              <w:rPr>
                <w:rFonts w:hint="eastAsia" w:ascii="楷体" w:hAnsi="楷体" w:eastAsia="楷体" w:cs="宋体"/>
                <w:spacing w:val="-2"/>
                <w:sz w:val="18"/>
                <w:szCs w:val="18"/>
                <w:lang w:val="en-US" w:eastAsia="zh-CN"/>
              </w:rPr>
              <w:t>3</w:t>
            </w:r>
            <w:r>
              <w:rPr>
                <w:rFonts w:hint="eastAsia" w:ascii="楷体" w:hAnsi="楷体" w:eastAsia="楷体" w:cs="宋体"/>
                <w:spacing w:val="-2"/>
                <w:sz w:val="18"/>
                <w:szCs w:val="18"/>
                <w:lang w:eastAsia="zh-CN"/>
              </w:rPr>
              <w:t>年</w:t>
            </w:r>
            <w:r>
              <w:rPr>
                <w:rFonts w:hint="eastAsia" w:ascii="楷体" w:hAnsi="楷体" w:eastAsia="楷体" w:cs="宋体"/>
                <w:spacing w:val="-2"/>
                <w:sz w:val="18"/>
                <w:szCs w:val="18"/>
                <w:lang w:val="en-US" w:eastAsia="zh-CN"/>
              </w:rPr>
              <w:t>1</w:t>
            </w:r>
            <w:r>
              <w:rPr>
                <w:rFonts w:hint="eastAsia" w:ascii="楷体" w:hAnsi="楷体" w:eastAsia="楷体" w:cs="宋体"/>
                <w:spacing w:val="-2"/>
                <w:sz w:val="18"/>
                <w:szCs w:val="18"/>
                <w:lang w:eastAsia="zh-CN"/>
              </w:rPr>
              <w:t>月</w:t>
            </w:r>
            <w:r>
              <w:rPr>
                <w:rFonts w:hint="eastAsia" w:ascii="楷体" w:hAnsi="楷体" w:eastAsia="楷体" w:cs="宋体"/>
                <w:spacing w:val="-2"/>
                <w:sz w:val="18"/>
                <w:szCs w:val="18"/>
                <w:lang w:val="en-US" w:eastAsia="zh-CN"/>
              </w:rPr>
              <w:t>20</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至</w:t>
            </w:r>
            <w:r>
              <w:rPr>
                <w:rFonts w:hint="eastAsia" w:ascii="楷体" w:hAnsi="楷体" w:eastAsia="楷体" w:cs="宋体"/>
                <w:spacing w:val="-2"/>
                <w:sz w:val="18"/>
                <w:szCs w:val="18"/>
                <w:lang w:eastAsia="zh-CN"/>
              </w:rPr>
              <w:t>202</w:t>
            </w:r>
            <w:r>
              <w:rPr>
                <w:rFonts w:hint="eastAsia" w:ascii="楷体" w:hAnsi="楷体" w:eastAsia="楷体" w:cs="宋体"/>
                <w:spacing w:val="-2"/>
                <w:sz w:val="18"/>
                <w:szCs w:val="18"/>
                <w:lang w:val="en-US" w:eastAsia="zh-CN"/>
              </w:rPr>
              <w:t>3</w:t>
            </w:r>
            <w:r>
              <w:rPr>
                <w:rFonts w:hint="eastAsia" w:ascii="楷体" w:hAnsi="楷体" w:eastAsia="楷体" w:cs="宋体"/>
                <w:spacing w:val="-2"/>
                <w:sz w:val="18"/>
                <w:szCs w:val="18"/>
                <w:lang w:eastAsia="zh-CN"/>
              </w:rPr>
              <w:t>年1月</w:t>
            </w:r>
            <w:r>
              <w:rPr>
                <w:rFonts w:hint="eastAsia" w:ascii="楷体" w:hAnsi="楷体" w:eastAsia="楷体" w:cs="宋体"/>
                <w:spacing w:val="-2"/>
                <w:sz w:val="18"/>
                <w:szCs w:val="18"/>
                <w:lang w:val="en-US" w:eastAsia="zh-CN"/>
              </w:rPr>
              <w:t>29</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eastAsia="zh-CN"/>
              </w:rPr>
              <w:t>202</w:t>
            </w:r>
            <w:r>
              <w:rPr>
                <w:rFonts w:hint="eastAsia" w:ascii="楷体" w:hAnsi="楷体" w:eastAsia="楷体" w:cs="宋体"/>
                <w:spacing w:val="-2"/>
                <w:sz w:val="18"/>
                <w:szCs w:val="18"/>
                <w:lang w:val="en-US" w:eastAsia="zh-CN"/>
              </w:rPr>
              <w:t>3</w:t>
            </w:r>
            <w:r>
              <w:rPr>
                <w:rFonts w:hint="eastAsia" w:ascii="楷体" w:hAnsi="楷体" w:eastAsia="楷体" w:cs="宋体"/>
                <w:spacing w:val="-2"/>
                <w:sz w:val="18"/>
                <w:szCs w:val="18"/>
                <w:lang w:eastAsia="zh-CN"/>
              </w:rPr>
              <w:t>年1月</w:t>
            </w:r>
            <w:r>
              <w:rPr>
                <w:rFonts w:hint="eastAsia" w:ascii="楷体" w:hAnsi="楷体" w:eastAsia="楷体" w:cs="宋体"/>
                <w:spacing w:val="-2"/>
                <w:sz w:val="18"/>
                <w:szCs w:val="18"/>
                <w:lang w:val="en-US" w:eastAsia="zh-CN"/>
              </w:rPr>
              <w:t>30</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before="0" w:line="0" w:lineRule="atLeast"/>
              <w:ind w:left="0"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color w:val="auto"/>
                <w:spacing w:val="-2"/>
                <w:sz w:val="18"/>
                <w:szCs w:val="18"/>
              </w:rPr>
              <w:t>到期日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lang w:eastAsia="zh-CN"/>
              </w:rPr>
              <w:t>203</w:t>
            </w:r>
            <w:r>
              <w:rPr>
                <w:rFonts w:hint="eastAsia" w:ascii="楷体" w:hAnsi="楷体" w:eastAsia="楷体" w:cs="宋体"/>
                <w:color w:val="auto"/>
                <w:spacing w:val="-2"/>
                <w:sz w:val="18"/>
                <w:szCs w:val="18"/>
                <w:lang w:val="en-US" w:eastAsia="zh-CN"/>
              </w:rPr>
              <w:t>3</w:t>
            </w:r>
            <w:r>
              <w:rPr>
                <w:rFonts w:hint="eastAsia" w:ascii="楷体" w:hAnsi="楷体" w:eastAsia="楷体" w:cs="宋体"/>
                <w:color w:val="auto"/>
                <w:spacing w:val="-2"/>
                <w:sz w:val="18"/>
                <w:szCs w:val="18"/>
                <w:lang w:eastAsia="zh-CN"/>
              </w:rPr>
              <w:t>年</w:t>
            </w:r>
            <w:r>
              <w:rPr>
                <w:rFonts w:hint="eastAsia" w:ascii="楷体" w:hAnsi="楷体" w:eastAsia="楷体" w:cs="宋体"/>
                <w:color w:val="auto"/>
                <w:spacing w:val="-2"/>
                <w:sz w:val="18"/>
                <w:szCs w:val="18"/>
                <w:lang w:val="en-US" w:eastAsia="zh-CN"/>
              </w:rPr>
              <w:t>2</w:t>
            </w:r>
            <w:r>
              <w:rPr>
                <w:rFonts w:hint="eastAsia" w:ascii="楷体" w:hAnsi="楷体" w:eastAsia="楷体" w:cs="宋体"/>
                <w:color w:val="auto"/>
                <w:spacing w:val="-2"/>
                <w:sz w:val="18"/>
                <w:szCs w:val="18"/>
                <w:lang w:eastAsia="zh-CN"/>
              </w:rPr>
              <w:t>月</w:t>
            </w:r>
            <w:r>
              <w:rPr>
                <w:rFonts w:hint="eastAsia" w:ascii="楷体" w:hAnsi="楷体" w:eastAsia="楷体" w:cs="宋体"/>
                <w:color w:val="auto"/>
                <w:spacing w:val="-2"/>
                <w:sz w:val="18"/>
                <w:szCs w:val="18"/>
                <w:lang w:val="en-US" w:eastAsia="zh-CN"/>
              </w:rPr>
              <w:t>25</w:t>
            </w:r>
            <w:r>
              <w:rPr>
                <w:rFonts w:hint="eastAsia" w:ascii="楷体" w:hAnsi="楷体" w:eastAsia="楷体" w:cs="宋体"/>
                <w:color w:val="auto"/>
                <w:spacing w:val="-2"/>
                <w:sz w:val="18"/>
                <w:szCs w:val="18"/>
                <w:lang w:eastAsia="zh-CN"/>
              </w:rPr>
              <w:t>日，</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yellow"/>
              </w:rPr>
            </w:pPr>
            <w:r>
              <w:rPr>
                <w:rFonts w:hint="eastAsia" w:ascii="楷体" w:hAnsi="楷体" w:eastAsia="楷体" w:cs="宋体"/>
                <w:b/>
                <w:spacing w:val="-2"/>
                <w:sz w:val="18"/>
                <w:szCs w:val="18"/>
                <w:highlight w:val="none"/>
              </w:rPr>
              <w:t>开放计划</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u w:val="single"/>
                <w:lang w:val="en-US" w:eastAsia="zh-CN"/>
              </w:rPr>
            </w:pPr>
            <w:r>
              <w:rPr>
                <w:rFonts w:hint="eastAsia" w:ascii="楷体" w:hAnsi="楷体" w:eastAsia="楷体" w:cs="宋体"/>
                <w:spacing w:val="-2"/>
                <w:sz w:val="18"/>
                <w:szCs w:val="18"/>
                <w:highlight w:val="none"/>
                <w:lang w:val="en-US" w:eastAsia="zh-CN"/>
              </w:rPr>
              <w:t>本产品</w:t>
            </w:r>
            <w:r>
              <w:rPr>
                <w:rFonts w:hint="eastAsia" w:ascii="楷体" w:hAnsi="楷体" w:eastAsia="楷体" w:cs="宋体"/>
                <w:spacing w:val="-2"/>
                <w:sz w:val="18"/>
                <w:szCs w:val="18"/>
                <w:highlight w:val="none"/>
              </w:rPr>
              <w:t>按投资周期开放申购与赎回，</w:t>
            </w:r>
            <w:r>
              <w:rPr>
                <w:rFonts w:hint="eastAsia" w:ascii="楷体" w:hAnsi="楷体" w:eastAsia="楷体" w:cs="宋体"/>
                <w:spacing w:val="-2"/>
                <w:sz w:val="18"/>
                <w:szCs w:val="18"/>
                <w:highlight w:val="none"/>
                <w:lang w:val="en-US" w:eastAsia="zh-CN"/>
              </w:rPr>
              <w:t>最新投资周期（2026年3月17日-2027年4月6日）开放申购与赎回时间为：</w:t>
            </w:r>
            <w:r>
              <w:rPr>
                <w:rFonts w:hint="eastAsia" w:ascii="楷体" w:hAnsi="楷体" w:eastAsia="楷体" w:cs="宋体"/>
                <w:b/>
                <w:bCs/>
                <w:spacing w:val="-2"/>
                <w:sz w:val="18"/>
                <w:szCs w:val="18"/>
                <w:highlight w:val="none"/>
                <w:lang w:val="en-US" w:eastAsia="zh-CN"/>
              </w:rPr>
              <w:t>2026年3月6日至2026年3月16日（</w:t>
            </w:r>
            <w:r>
              <w:rPr>
                <w:rFonts w:hint="eastAsia" w:ascii="楷体" w:hAnsi="楷体" w:eastAsia="楷体" w:cs="宋体"/>
                <w:spacing w:val="-2"/>
                <w:sz w:val="18"/>
                <w:szCs w:val="18"/>
                <w:highlight w:val="none"/>
              </w:rPr>
              <w:t>以各销售机构设置的时间为准</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投资者可在</w:t>
            </w:r>
            <w:r>
              <w:rPr>
                <w:rFonts w:hint="eastAsia" w:ascii="楷体" w:hAnsi="楷体" w:eastAsia="楷体" w:cs="宋体"/>
                <w:spacing w:val="-2"/>
                <w:sz w:val="18"/>
                <w:szCs w:val="18"/>
                <w:highlight w:val="none"/>
                <w:lang w:val="en-US" w:eastAsia="zh-CN"/>
              </w:rPr>
              <w:t>此期间提交申购/赎回申请，</w:t>
            </w:r>
            <w:r>
              <w:rPr>
                <w:rFonts w:hint="eastAsia" w:ascii="楷体" w:hAnsi="楷体" w:eastAsia="楷体" w:cs="宋体"/>
                <w:b w:val="0"/>
                <w:bCs w:val="0"/>
                <w:spacing w:val="-2"/>
                <w:sz w:val="18"/>
                <w:szCs w:val="18"/>
                <w:highlight w:val="none"/>
                <w:lang w:val="en-US" w:eastAsia="zh-CN"/>
              </w:rPr>
              <w:t>投资者</w:t>
            </w:r>
            <w:r>
              <w:rPr>
                <w:rFonts w:hint="eastAsia" w:ascii="楷体" w:hAnsi="楷体" w:eastAsia="楷体" w:cs="宋体"/>
                <w:spacing w:val="-2"/>
                <w:sz w:val="18"/>
                <w:szCs w:val="18"/>
                <w:highlight w:val="none"/>
              </w:rPr>
              <w:t>未赎回的部分自动进入下一个投资周期</w:t>
            </w:r>
            <w:r>
              <w:rPr>
                <w:rFonts w:hint="eastAsia" w:ascii="楷体" w:hAnsi="楷体" w:eastAsia="楷体" w:cs="宋体"/>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(其中ZA份额/ZF份额/ZF2份额/ZN份额/ZC份额/ZK份额由系统主动发起赎回申请，投资者无须发起赎回申请</w:t>
            </w:r>
            <w:r>
              <w:rPr>
                <w:rFonts w:hint="eastAsia" w:ascii="楷体" w:hAnsi="楷体" w:eastAsia="楷体" w:cs="宋体"/>
                <w:b/>
                <w:bCs/>
                <w:color w:val="auto"/>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w:t>
            </w:r>
            <w:r>
              <w:rPr>
                <w:rFonts w:hint="eastAsia" w:ascii="楷体" w:hAnsi="楷体" w:eastAsia="楷体" w:cs="宋体"/>
                <w:b/>
                <w:bCs/>
                <w:spacing w:val="-2"/>
                <w:sz w:val="18"/>
                <w:szCs w:val="18"/>
                <w:u w:val="single"/>
              </w:rPr>
              <w:t>除开放计划外的其他时间，管理人不接受投资者申购、赎回申请</w:t>
            </w:r>
            <w:r>
              <w:rPr>
                <w:rFonts w:hint="eastAsia" w:ascii="楷体" w:hAnsi="楷体" w:eastAsia="楷体" w:cs="宋体"/>
                <w:b/>
                <w:bCs/>
                <w:spacing w:val="-2"/>
                <w:sz w:val="18"/>
                <w:szCs w:val="18"/>
                <w:u w:val="single"/>
                <w:lang w:eastAsia="zh-CN"/>
              </w:rPr>
              <w:t>。</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yellow"/>
              </w:rPr>
            </w:pPr>
            <w:r>
              <w:rPr>
                <w:rFonts w:hint="eastAsia" w:ascii="楷体" w:hAnsi="楷体" w:eastAsia="楷体" w:cs="宋体"/>
                <w:spacing w:val="-2"/>
                <w:sz w:val="18"/>
                <w:szCs w:val="18"/>
                <w:highlight w:val="none"/>
              </w:rPr>
              <w:t>管理人有权根据资产运作情况、节假日安排调整开放计划，并在调整前进行公告。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单个</w:t>
            </w:r>
            <w:r>
              <w:rPr>
                <w:rFonts w:hint="eastAsia" w:ascii="楷体" w:hAnsi="楷体" w:eastAsia="楷体" w:cs="宋体"/>
                <w:b/>
                <w:spacing w:val="-2"/>
                <w:sz w:val="18"/>
                <w:szCs w:val="18"/>
                <w:lang w:eastAsia="zh-CN"/>
              </w:rPr>
              <w:t>投资者</w:t>
            </w:r>
            <w:r>
              <w:rPr>
                <w:rFonts w:hint="eastAsia" w:ascii="楷体" w:hAnsi="楷体" w:eastAsia="楷体" w:cs="宋体"/>
                <w:b/>
                <w:spacing w:val="-2"/>
                <w:sz w:val="18"/>
                <w:szCs w:val="18"/>
              </w:rPr>
              <w:t>单笔</w:t>
            </w:r>
            <w:r>
              <w:rPr>
                <w:rFonts w:hint="eastAsia" w:ascii="楷体" w:hAnsi="楷体" w:eastAsia="楷体" w:cs="宋体"/>
                <w:b/>
                <w:spacing w:val="-2"/>
                <w:sz w:val="18"/>
                <w:szCs w:val="18"/>
                <w:lang w:val="en-US" w:eastAsia="zh-CN"/>
              </w:rPr>
              <w:t>购买</w:t>
            </w:r>
            <w:r>
              <w:rPr>
                <w:rFonts w:hint="eastAsia" w:ascii="楷体" w:hAnsi="楷体" w:eastAsia="楷体" w:cs="宋体"/>
                <w:b/>
                <w:spacing w:val="-2"/>
                <w:sz w:val="18"/>
                <w:szCs w:val="18"/>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rPr>
              <w:t>超过购买上限时，管理人有权拒绝投资者</w:t>
            </w:r>
            <w:r>
              <w:rPr>
                <w:rFonts w:hint="eastAsia" w:ascii="楷体" w:hAnsi="楷体" w:eastAsia="楷体" w:cs="宋体"/>
                <w:spacing w:val="-2"/>
                <w:sz w:val="18"/>
                <w:szCs w:val="18"/>
                <w:lang w:val="en-US" w:eastAsia="zh-CN"/>
              </w:rPr>
              <w:t>购买</w:t>
            </w:r>
            <w:r>
              <w:rPr>
                <w:rFonts w:hint="eastAsia" w:ascii="楷体" w:hAnsi="楷体" w:eastAsia="楷体" w:cs="宋体"/>
                <w:spacing w:val="-2"/>
                <w:sz w:val="18"/>
                <w:szCs w:val="18"/>
              </w:rPr>
              <w:t>申请。产品存续期</w:t>
            </w:r>
            <w:r>
              <w:rPr>
                <w:rFonts w:ascii="楷体" w:hAnsi="楷体" w:eastAsia="楷体" w:cs="宋体"/>
                <w:spacing w:val="-2"/>
                <w:sz w:val="18"/>
                <w:szCs w:val="18"/>
              </w:rPr>
              <w:t>内管理人有权根据实际情况调整</w:t>
            </w:r>
            <w:r>
              <w:rPr>
                <w:rFonts w:hint="eastAsia" w:ascii="楷体" w:hAnsi="楷体" w:eastAsia="楷体" w:cs="宋体"/>
                <w:spacing w:val="-2"/>
                <w:sz w:val="18"/>
                <w:szCs w:val="18"/>
              </w:rPr>
              <w:t>单个</w:t>
            </w:r>
            <w:r>
              <w:rPr>
                <w:rFonts w:hint="eastAsia" w:ascii="楷体" w:hAnsi="楷体" w:eastAsia="楷体" w:cs="宋体"/>
                <w:spacing w:val="-2"/>
                <w:sz w:val="18"/>
                <w:szCs w:val="18"/>
                <w:lang w:eastAsia="zh-CN"/>
              </w:rPr>
              <w:t>投资者</w:t>
            </w:r>
            <w:r>
              <w:rPr>
                <w:rFonts w:hint="eastAsia" w:ascii="楷体" w:hAnsi="楷体" w:eastAsia="楷体" w:cs="宋体"/>
                <w:spacing w:val="-2"/>
                <w:sz w:val="18"/>
                <w:szCs w:val="18"/>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lang w:val="en-US" w:eastAsia="zh-CN"/>
              </w:rPr>
              <w:t>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单个</w:t>
            </w:r>
            <w:r>
              <w:rPr>
                <w:rFonts w:hint="eastAsia" w:ascii="楷体" w:hAnsi="楷体" w:eastAsia="楷体" w:cs="宋体"/>
                <w:b/>
                <w:spacing w:val="-2"/>
                <w:sz w:val="18"/>
                <w:szCs w:val="18"/>
                <w:lang w:eastAsia="zh-CN"/>
              </w:rPr>
              <w:t>投资者</w:t>
            </w:r>
            <w:r>
              <w:rPr>
                <w:rFonts w:hint="eastAsia" w:ascii="楷体" w:hAnsi="楷体" w:eastAsia="楷体" w:cs="宋体"/>
                <w:b/>
                <w:spacing w:val="-2"/>
                <w:sz w:val="18"/>
                <w:szCs w:val="18"/>
              </w:rPr>
              <w:t>持有比例上限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lang w:val="en-US" w:eastAsia="zh-CN"/>
              </w:rPr>
              <w:t>购买</w:t>
            </w:r>
            <w:r>
              <w:rPr>
                <w:rFonts w:hint="eastAsia" w:ascii="楷体" w:hAnsi="楷体" w:eastAsia="楷体" w:cs="宋体"/>
                <w:spacing w:val="-2"/>
                <w:sz w:val="18"/>
                <w:szCs w:val="18"/>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巨额申购</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kern w:val="0"/>
                <w:sz w:val="18"/>
                <w:szCs w:val="18"/>
              </w:rPr>
              <w:t>本产品单个开放日投资者净申购额（申购申请份额总数扣除赎回申请份额总数）超</w:t>
            </w:r>
            <w:r>
              <w:rPr>
                <w:rFonts w:hint="eastAsia" w:ascii="楷体" w:hAnsi="楷体" w:eastAsia="楷体" w:cs="宋体"/>
                <w:spacing w:val="-2"/>
                <w:kern w:val="0"/>
                <w:sz w:val="18"/>
                <w:szCs w:val="18"/>
                <w:highlight w:val="none"/>
              </w:rPr>
              <w:t>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w:t>
            </w:r>
            <w:r>
              <w:rPr>
                <w:rFonts w:hint="eastAsia" w:ascii="楷体" w:hAnsi="楷体" w:eastAsia="楷体" w:cs="宋体"/>
                <w:b/>
                <w:bCs/>
                <w:spacing w:val="-2"/>
                <w:kern w:val="0"/>
                <w:sz w:val="18"/>
                <w:szCs w:val="18"/>
                <w:u w:val="single"/>
              </w:rPr>
              <w:t>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巨额赎回</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rPr>
              <w:t>本产品</w:t>
            </w:r>
            <w:r>
              <w:rPr>
                <w:rFonts w:hint="eastAsia" w:ascii="楷体" w:hAnsi="楷体" w:eastAsia="楷体" w:cs="宋体"/>
                <w:b/>
                <w:bCs/>
                <w:spacing w:val="-2"/>
                <w:sz w:val="18"/>
                <w:szCs w:val="18"/>
                <w:u w:val="single"/>
                <w:lang w:val="en-US" w:eastAsia="zh-CN"/>
              </w:rPr>
              <w:t>单</w:t>
            </w:r>
            <w:r>
              <w:rPr>
                <w:rFonts w:hint="eastAsia" w:ascii="楷体" w:hAnsi="楷体" w:eastAsia="楷体" w:cs="宋体"/>
                <w:b/>
                <w:bCs/>
                <w:spacing w:val="-2"/>
                <w:sz w:val="18"/>
                <w:szCs w:val="18"/>
                <w:u w:val="single"/>
              </w:rPr>
              <w:t>个开放日投资者净赎回额（赎回申请份额总数扣除申购申请份额总数）超过</w:t>
            </w:r>
            <w:r>
              <w:rPr>
                <w:rFonts w:hint="eastAsia" w:ascii="楷体" w:hAnsi="楷体" w:eastAsia="楷体" w:cs="宋体"/>
                <w:b/>
                <w:bCs/>
                <w:spacing w:val="-2"/>
                <w:sz w:val="18"/>
                <w:szCs w:val="18"/>
                <w:highlight w:val="none"/>
                <w:u w:val="single"/>
              </w:rPr>
              <w:t>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2.部分赎回</w:t>
            </w:r>
            <w:r>
              <w:rPr>
                <w:rFonts w:ascii="楷体" w:hAnsi="楷体" w:eastAsia="楷体" w:cs="宋体"/>
                <w:b w:val="0"/>
                <w:bCs/>
                <w:spacing w:val="-2"/>
                <w:sz w:val="18"/>
                <w:szCs w:val="18"/>
                <w:u w:val="none"/>
              </w:rPr>
              <w:t>：</w:t>
            </w:r>
            <w:r>
              <w:rPr>
                <w:rFonts w:hint="eastAsia" w:ascii="楷体" w:hAnsi="楷体" w:eastAsia="楷体" w:cs="宋体"/>
                <w:b w:val="0"/>
                <w:bCs/>
                <w:spacing w:val="-2"/>
                <w:sz w:val="18"/>
                <w:szCs w:val="18"/>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u w:val="none"/>
                <w:lang w:val="en-US" w:eastAsia="zh-CN"/>
              </w:rPr>
              <w:t>日</w:t>
            </w:r>
            <w:r>
              <w:rPr>
                <w:rFonts w:hint="eastAsia" w:ascii="楷体" w:hAnsi="楷体" w:eastAsia="楷体" w:cs="宋体"/>
                <w:b w:val="0"/>
                <w:bCs/>
                <w:spacing w:val="-2"/>
                <w:sz w:val="18"/>
                <w:szCs w:val="18"/>
                <w:u w:val="none"/>
              </w:rPr>
              <w:t>日终理财产品总份额的10%，对其余赎回申请管理人有权暂停接受或延期办理。对该产品单个</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u w:val="none"/>
              </w:rPr>
              <w:t>的赎回申请，按照其申请占当日申请赎回总份额的比例，确定该</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spacing w:line="0" w:lineRule="atLeast"/>
              <w:ind w:left="0" w:leftChars="0" w:right="0" w:rightChars="0"/>
              <w:textAlignment w:val="auto"/>
              <w:rPr>
                <w:rFonts w:ascii="楷体" w:hAnsi="楷体" w:eastAsia="楷体" w:cs="宋体"/>
                <w:b/>
                <w:spacing w:val="-2"/>
                <w:sz w:val="18"/>
                <w:szCs w:val="18"/>
                <w:u w:val="single"/>
              </w:rPr>
            </w:pPr>
            <w:r>
              <w:rPr>
                <w:rFonts w:hint="eastAsia" w:ascii="楷体" w:hAnsi="楷体" w:eastAsia="楷体" w:cs="宋体"/>
                <w:b w:val="0"/>
                <w:bCs/>
                <w:spacing w:val="-2"/>
                <w:sz w:val="18"/>
                <w:szCs w:val="18"/>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业绩比较基准（年化）</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w:t>
            </w:r>
            <w:r>
              <w:rPr>
                <w:rFonts w:hint="eastAsia" w:ascii="楷体" w:hAnsi="楷体" w:eastAsia="楷体" w:cs="宋体"/>
                <w:b/>
                <w:bCs/>
                <w:spacing w:val="-2"/>
                <w:sz w:val="18"/>
                <w:szCs w:val="18"/>
                <w:u w:val="single"/>
                <w:lang w:val="en-US" w:eastAsia="zh-CN"/>
              </w:rPr>
              <w:t>银行存款（含结构性存款）、</w:t>
            </w:r>
            <w:r>
              <w:rPr>
                <w:rFonts w:ascii="楷体" w:hAnsi="楷体" w:eastAsia="楷体" w:cs="宋体"/>
                <w:b/>
                <w:bCs/>
                <w:spacing w:val="-2"/>
                <w:sz w:val="18"/>
                <w:szCs w:val="18"/>
                <w:u w:val="single"/>
              </w:rPr>
              <w:t>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highlight w:val="none"/>
                <w:u w:val="single"/>
              </w:rPr>
              <w:t>等</w:t>
            </w:r>
            <w:r>
              <w:rPr>
                <w:rFonts w:ascii="楷体" w:hAnsi="楷体" w:eastAsia="楷体" w:cs="宋体"/>
                <w:b/>
                <w:bCs/>
                <w:spacing w:val="-2"/>
                <w:sz w:val="18"/>
                <w:szCs w:val="18"/>
                <w:u w:val="single"/>
              </w:rPr>
              <w:t>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收益水平，在产品说明书约定的投资范围和投资比例内</w:t>
            </w:r>
            <w:r>
              <w:rPr>
                <w:rFonts w:hint="eastAsia" w:ascii="楷体" w:hAnsi="楷体" w:eastAsia="楷体" w:cs="宋体"/>
                <w:b/>
                <w:bCs/>
                <w:spacing w:val="-2"/>
                <w:sz w:val="18"/>
                <w:szCs w:val="18"/>
                <w:u w:val="single"/>
              </w:rPr>
              <w:t>，综合考虑各</w:t>
            </w:r>
            <w:r>
              <w:rPr>
                <w:rFonts w:hint="eastAsia" w:ascii="楷体" w:hAnsi="楷体" w:eastAsia="楷体" w:cs="宋体"/>
                <w:b/>
                <w:bCs/>
                <w:spacing w:val="-2"/>
                <w:sz w:val="18"/>
                <w:szCs w:val="18"/>
                <w:u w:val="single"/>
                <w:lang w:val="en-US" w:eastAsia="zh-CN"/>
              </w:rPr>
              <w:t>类</w:t>
            </w:r>
            <w:r>
              <w:rPr>
                <w:rFonts w:hint="eastAsia" w:ascii="楷体" w:hAnsi="楷体" w:eastAsia="楷体" w:cs="宋体"/>
                <w:b/>
                <w:bCs/>
                <w:spacing w:val="-2"/>
                <w:sz w:val="18"/>
                <w:szCs w:val="18"/>
                <w:u w:val="single"/>
              </w:rPr>
              <w:t>份额收取的销售服务费和投资管理费</w:t>
            </w:r>
            <w:r>
              <w:rPr>
                <w:rFonts w:hint="eastAsia" w:ascii="楷体" w:hAnsi="楷体" w:eastAsia="楷体" w:cs="宋体"/>
                <w:b/>
                <w:bCs/>
                <w:spacing w:val="-2"/>
                <w:sz w:val="18"/>
                <w:szCs w:val="18"/>
                <w:u w:val="single"/>
                <w:lang w:val="en-US" w:eastAsia="zh-CN"/>
              </w:rPr>
              <w:t>等费用</w:t>
            </w:r>
            <w:r>
              <w:rPr>
                <w:rFonts w:hint="eastAsia" w:ascii="楷体" w:hAnsi="楷体" w:eastAsia="楷体" w:cs="宋体"/>
                <w:b/>
                <w:bCs/>
                <w:spacing w:val="-2"/>
                <w:sz w:val="18"/>
                <w:szCs w:val="18"/>
                <w:u w:val="single"/>
              </w:rPr>
              <w:t>情况，</w:t>
            </w:r>
            <w:r>
              <w:rPr>
                <w:rFonts w:ascii="楷体" w:hAnsi="楷体" w:eastAsia="楷体" w:cs="宋体"/>
                <w:b/>
                <w:bCs/>
                <w:spacing w:val="-2"/>
                <w:sz w:val="18"/>
                <w:szCs w:val="18"/>
                <w:u w:val="single"/>
              </w:rPr>
              <w:t>模拟测算得出</w:t>
            </w:r>
            <w:r>
              <w:rPr>
                <w:rFonts w:hint="eastAsia" w:ascii="楷体" w:hAnsi="楷体" w:eastAsia="楷体" w:cs="宋体"/>
                <w:b/>
                <w:bCs/>
                <w:spacing w:val="-2"/>
                <w:sz w:val="18"/>
                <w:szCs w:val="18"/>
                <w:u w:val="single"/>
              </w:rPr>
              <w:t>业绩比较基准。</w:t>
            </w:r>
          </w:p>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bCs/>
                <w:spacing w:val="-2"/>
                <w:sz w:val="18"/>
                <w:szCs w:val="18"/>
                <w:u w:val="single"/>
              </w:rPr>
              <w:t>。</w:t>
            </w:r>
            <w:r>
              <w:rPr>
                <w:rFonts w:hint="eastAsia" w:ascii="楷体" w:hAnsi="楷体" w:eastAsia="楷体" w:cs="宋体"/>
                <w:spacing w:val="-2"/>
                <w:kern w:val="0"/>
                <w:sz w:val="18"/>
                <w:szCs w:val="18"/>
                <w:lang w:val="en-US" w:eastAsia="zh-CN" w:bidi="ar-SA"/>
              </w:rPr>
              <w:t>各类份额最新投资周期（</w:t>
            </w:r>
            <w:r>
              <w:rPr>
                <w:rFonts w:hint="eastAsia" w:ascii="楷体" w:hAnsi="楷体" w:eastAsia="楷体" w:cs="宋体"/>
                <w:spacing w:val="-2"/>
                <w:kern w:val="0"/>
                <w:sz w:val="18"/>
                <w:szCs w:val="18"/>
                <w:highlight w:val="none"/>
                <w:u w:val="single"/>
                <w:lang w:val="en-US" w:eastAsia="zh-CN" w:bidi="ar-SA"/>
              </w:rPr>
              <w:t>2026年3月17日-2027年4月6日</w:t>
            </w:r>
            <w:r>
              <w:rPr>
                <w:rFonts w:hint="eastAsia" w:ascii="楷体" w:hAnsi="楷体" w:eastAsia="楷体" w:cs="宋体"/>
                <w:spacing w:val="-2"/>
                <w:kern w:val="0"/>
                <w:sz w:val="18"/>
                <w:szCs w:val="18"/>
                <w:lang w:val="en-US" w:eastAsia="zh-CN" w:bidi="ar-SA"/>
              </w:rPr>
              <w:t>）业绩比较基准如下：</w:t>
            </w:r>
          </w:p>
          <w:tbl>
            <w:tblPr>
              <w:tblStyle w:val="15"/>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03"/>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rPr>
                  </w:pPr>
                  <w:r>
                    <w:rPr>
                      <w:rFonts w:hint="eastAsia" w:ascii="楷体" w:hAnsi="楷体" w:eastAsia="楷体"/>
                      <w:sz w:val="18"/>
                      <w:szCs w:val="18"/>
                    </w:rPr>
                    <w:t>投资周期</w:t>
                  </w:r>
                </w:p>
              </w:tc>
              <w:tc>
                <w:tcPr>
                  <w:tcW w:w="1871" w:type="dxa"/>
                  <w:vAlign w:val="center"/>
                </w:tcPr>
                <w:p>
                  <w:pPr>
                    <w:jc w:val="center"/>
                    <w:rPr>
                      <w:rFonts w:hint="eastAsia" w:ascii="楷体" w:hAnsi="楷体" w:eastAsia="楷体"/>
                      <w:sz w:val="18"/>
                      <w:szCs w:val="18"/>
                    </w:rPr>
                  </w:pPr>
                  <w:r>
                    <w:rPr>
                      <w:rFonts w:hint="eastAsia" w:ascii="楷体" w:hAnsi="楷体" w:eastAsia="楷体"/>
                      <w:sz w:val="18"/>
                      <w:szCs w:val="18"/>
                    </w:rPr>
                    <w:t>投资周期起始日</w:t>
                  </w:r>
                </w:p>
              </w:tc>
              <w:tc>
                <w:tcPr>
                  <w:tcW w:w="1803" w:type="dxa"/>
                  <w:vAlign w:val="center"/>
                </w:tcPr>
                <w:p>
                  <w:pPr>
                    <w:jc w:val="center"/>
                    <w:rPr>
                      <w:rFonts w:hint="eastAsia" w:ascii="楷体" w:hAnsi="楷体" w:eastAsia="楷体"/>
                      <w:sz w:val="18"/>
                      <w:szCs w:val="18"/>
                    </w:rPr>
                  </w:pPr>
                  <w:r>
                    <w:rPr>
                      <w:rFonts w:hint="eastAsia" w:ascii="楷体" w:hAnsi="楷体" w:eastAsia="楷体"/>
                      <w:sz w:val="18"/>
                      <w:szCs w:val="18"/>
                    </w:rPr>
                    <w:t>投资周期终止日</w:t>
                  </w:r>
                </w:p>
              </w:tc>
              <w:tc>
                <w:tcPr>
                  <w:tcW w:w="2701"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业绩比较基准</w:t>
                  </w:r>
                </w:p>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1</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highlight w:val="none"/>
                      <w:lang w:eastAsia="zh-CN"/>
                    </w:rPr>
                    <w:t>2023年1月30日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lang w:eastAsia="zh-CN"/>
                    </w:rPr>
                    <w:t>2024年2月5日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A份额</w:t>
                  </w:r>
                  <w:r>
                    <w:rPr>
                      <w:rFonts w:hint="eastAsia" w:ascii="楷体" w:hAnsi="楷体" w:eastAsia="楷体"/>
                      <w:sz w:val="18"/>
                      <w:szCs w:val="18"/>
                      <w:lang w:val="en-US" w:eastAsia="zh-CN"/>
                    </w:rPr>
                    <w:t xml:space="preserve"> 4.10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B份额</w:t>
                  </w:r>
                  <w:r>
                    <w:rPr>
                      <w:rFonts w:hint="eastAsia" w:ascii="楷体" w:hAnsi="楷体" w:eastAsia="楷体"/>
                      <w:sz w:val="18"/>
                      <w:szCs w:val="18"/>
                      <w:lang w:val="en-US" w:eastAsia="zh-CN"/>
                    </w:rPr>
                    <w:t xml:space="preserve"> 4.13</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G份额 4.20</w:t>
                  </w:r>
                  <w:r>
                    <w:rPr>
                      <w:rFonts w:hint="default" w:ascii="楷体" w:hAnsi="楷体" w:eastAsia="楷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2</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cs="宋体"/>
                      <w:spacing w:val="-2"/>
                      <w:sz w:val="18"/>
                      <w:szCs w:val="18"/>
                      <w:lang w:val="en-US" w:eastAsia="zh-CN"/>
                    </w:rPr>
                    <w:t>2024年2月6日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2025年2月18日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A份额3.30%-3.90%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B份额3.33%-3.93%</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D份额3.45%-4.05%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F份额3.30%-3.90%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G份额3.40%-4.00%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J份额3.40%-4.00%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ZA份额3.30%-3.90%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sz w:val="18"/>
                      <w:szCs w:val="18"/>
                      <w:lang w:val="en-US" w:eastAsia="zh-CN"/>
                    </w:rPr>
                  </w:pPr>
                  <w:r>
                    <w:rPr>
                      <w:rFonts w:hint="default" w:ascii="楷体" w:hAnsi="楷体" w:eastAsia="楷体" w:cs="Times New Roman"/>
                      <w:sz w:val="18"/>
                      <w:szCs w:val="18"/>
                      <w:lang w:val="en-US" w:eastAsia="zh-CN"/>
                    </w:rPr>
                    <w:t>ZF份额3.30%-3.90%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3</w:t>
                  </w:r>
                </w:p>
              </w:tc>
              <w:tc>
                <w:tcPr>
                  <w:tcW w:w="1871" w:type="dxa"/>
                  <w:vAlign w:val="center"/>
                </w:tcPr>
                <w:p>
                  <w:pPr>
                    <w:jc w:val="center"/>
                    <w:rPr>
                      <w:rFonts w:hint="default" w:ascii="楷体" w:hAnsi="楷体" w:eastAsia="楷体"/>
                      <w:sz w:val="18"/>
                      <w:szCs w:val="18"/>
                      <w:lang w:val="en-US" w:eastAsia="zh-CN"/>
                    </w:rPr>
                  </w:pPr>
                  <w:r>
                    <w:rPr>
                      <w:rFonts w:hint="eastAsia" w:ascii="楷体" w:hAnsi="楷体" w:eastAsia="楷体" w:cs="宋体"/>
                      <w:spacing w:val="-2"/>
                      <w:sz w:val="18"/>
                      <w:szCs w:val="18"/>
                      <w:lang w:val="en-US" w:eastAsia="zh-CN"/>
                    </w:rPr>
                    <w:t>2025年2月19日</w:t>
                  </w:r>
                </w:p>
              </w:tc>
              <w:tc>
                <w:tcPr>
                  <w:tcW w:w="1803"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2026年3月16日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A份额</w:t>
                  </w:r>
                  <w:r>
                    <w:rPr>
                      <w:rFonts w:hint="eastAsia" w:ascii="楷体" w:hAnsi="楷体" w:eastAsia="楷体" w:cs="Times New Roman"/>
                      <w:sz w:val="18"/>
                      <w:szCs w:val="18"/>
                      <w:lang w:val="en-US" w:eastAsia="zh-CN"/>
                    </w:rPr>
                    <w:t>2.65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B份额</w:t>
                  </w:r>
                  <w:r>
                    <w:rPr>
                      <w:rFonts w:hint="eastAsia" w:ascii="楷体" w:hAnsi="楷体" w:eastAsia="楷体" w:cs="Times New Roman"/>
                      <w:sz w:val="18"/>
                      <w:szCs w:val="18"/>
                      <w:lang w:val="en-US" w:eastAsia="zh-CN"/>
                    </w:rPr>
                    <w:t>2.68</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28</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D份额</w:t>
                  </w:r>
                  <w:r>
                    <w:rPr>
                      <w:rFonts w:hint="eastAsia" w:ascii="楷体" w:hAnsi="楷体" w:eastAsia="楷体" w:cs="Times New Roman"/>
                      <w:sz w:val="18"/>
                      <w:szCs w:val="18"/>
                      <w:lang w:val="en-US" w:eastAsia="zh-CN"/>
                    </w:rPr>
                    <w:t>2.80</w:t>
                  </w:r>
                  <w:r>
                    <w:rPr>
                      <w:rFonts w:hint="default" w:ascii="楷体" w:hAnsi="楷体" w:eastAsia="楷体" w:cs="Times New Roman"/>
                      <w:sz w:val="18"/>
                      <w:szCs w:val="18"/>
                      <w:lang w:val="en-US" w:eastAsia="zh-CN"/>
                    </w:rPr>
                    <w:t>%-</w:t>
                  </w:r>
                  <w:r>
                    <w:rPr>
                      <w:rFonts w:hint="eastAsia" w:ascii="楷体" w:hAnsi="楷体" w:eastAsia="楷体" w:cs="Times New Roman"/>
                      <w:sz w:val="18"/>
                      <w:szCs w:val="18"/>
                      <w:lang w:val="en-US" w:eastAsia="zh-CN"/>
                    </w:rPr>
                    <w:t>3.40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F份额</w:t>
                  </w:r>
                  <w:r>
                    <w:rPr>
                      <w:rFonts w:hint="eastAsia" w:ascii="楷体" w:hAnsi="楷体" w:eastAsia="楷体" w:cs="Times New Roman"/>
                      <w:sz w:val="18"/>
                      <w:szCs w:val="18"/>
                      <w:lang w:val="en-US" w:eastAsia="zh-CN"/>
                    </w:rPr>
                    <w:t>2.65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G份额2.70%-3.30%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J份额</w:t>
                  </w:r>
                  <w:r>
                    <w:rPr>
                      <w:rFonts w:hint="eastAsia" w:ascii="楷体" w:hAnsi="楷体" w:eastAsia="楷体" w:cs="Times New Roman"/>
                      <w:sz w:val="18"/>
                      <w:szCs w:val="18"/>
                      <w:lang w:val="en-US" w:eastAsia="zh-CN"/>
                    </w:rPr>
                    <w:t>2.75</w:t>
                  </w:r>
                  <w:r>
                    <w:rPr>
                      <w:rFonts w:hint="default" w:ascii="楷体" w:hAnsi="楷体" w:eastAsia="楷体" w:cs="Times New Roman"/>
                      <w:sz w:val="18"/>
                      <w:szCs w:val="18"/>
                      <w:lang w:val="en-US" w:eastAsia="zh-CN"/>
                    </w:rPr>
                    <w:t>%-</w:t>
                  </w:r>
                  <w:r>
                    <w:rPr>
                      <w:rFonts w:hint="eastAsia" w:ascii="楷体" w:hAnsi="楷体" w:eastAsia="楷体" w:cs="Times New Roman"/>
                      <w:sz w:val="18"/>
                      <w:szCs w:val="18"/>
                      <w:lang w:val="en-US" w:eastAsia="zh-CN"/>
                    </w:rPr>
                    <w:t>3.35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ZA份</w:t>
                  </w:r>
                  <w:r>
                    <w:rPr>
                      <w:rFonts w:hint="eastAsia" w:ascii="楷体" w:hAnsi="楷体" w:eastAsia="楷体" w:cs="Times New Roman"/>
                      <w:sz w:val="18"/>
                      <w:szCs w:val="18"/>
                      <w:lang w:val="en-US" w:eastAsia="zh-CN"/>
                    </w:rPr>
                    <w:t>额2.65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ZF份</w:t>
                  </w:r>
                  <w:r>
                    <w:rPr>
                      <w:rFonts w:hint="eastAsia" w:ascii="楷体" w:hAnsi="楷体" w:eastAsia="楷体" w:cs="Times New Roman"/>
                      <w:sz w:val="18"/>
                      <w:szCs w:val="18"/>
                      <w:lang w:val="en-US" w:eastAsia="zh-CN"/>
                    </w:rPr>
                    <w:t>额2.65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ZN份额2.80%-3.40%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eastAsia" w:ascii="楷体" w:hAnsi="楷体" w:eastAsia="楷体" w:cs="Times New Roman"/>
                      <w:sz w:val="18"/>
                      <w:szCs w:val="18"/>
                      <w:lang w:val="en-US" w:eastAsia="zh-CN"/>
                    </w:rPr>
                    <w:t>ZS份额2.75</w:t>
                  </w:r>
                  <w:r>
                    <w:rPr>
                      <w:rFonts w:hint="default" w:ascii="楷体" w:hAnsi="楷体" w:eastAsia="楷体" w:cs="Times New Roman"/>
                      <w:sz w:val="18"/>
                      <w:szCs w:val="18"/>
                      <w:lang w:val="en-US" w:eastAsia="zh-CN"/>
                    </w:rPr>
                    <w:t>%-</w:t>
                  </w:r>
                  <w:r>
                    <w:rPr>
                      <w:rFonts w:hint="eastAsia" w:ascii="楷体" w:hAnsi="楷体" w:eastAsia="楷体" w:cs="Times New Roman"/>
                      <w:sz w:val="18"/>
                      <w:szCs w:val="18"/>
                      <w:lang w:val="en-US" w:eastAsia="zh-CN"/>
                    </w:rPr>
                    <w:t>3.35</w:t>
                  </w:r>
                  <w:r>
                    <w:rPr>
                      <w:rFonts w:hint="default" w:ascii="楷体" w:hAnsi="楷体" w:eastAsia="楷体" w:cs="Times New Roman"/>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4</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2026年3月17日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2027年4月6日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A份额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B份额 2.48%-3.08%</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C份额 2.50%-3.10%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D份额 2.60%-3.20%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F份额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G份额 2.48%-3.08%</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J份额 2.55%-3.15%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P份额 2.65%-3.25%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O份额 2.55%-3.15%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U份额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ZA份额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ZF份额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ZF2份额 2.55%-3.15%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ZN份额 2.55%-3.15%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ZC份额 2.50%-3.10%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sz w:val="18"/>
                      <w:szCs w:val="18"/>
                      <w:lang w:val="en-US" w:eastAsia="zh-CN"/>
                    </w:rPr>
                  </w:pPr>
                  <w:r>
                    <w:rPr>
                      <w:rFonts w:hint="default" w:ascii="楷体" w:hAnsi="楷体" w:eastAsia="楷体" w:cs="Times New Roman"/>
                      <w:sz w:val="18"/>
                      <w:szCs w:val="18"/>
                      <w:lang w:val="en-US" w:eastAsia="zh-CN"/>
                    </w:rPr>
                    <w:t>ZK份额 2.60%-3.20%</w:t>
                  </w:r>
                </w:p>
              </w:tc>
            </w:tr>
          </w:tbl>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u w:val="single"/>
                <w:lang w:val="en-US" w:eastAsia="zh-CN"/>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spacing w:val="-2"/>
                <w:sz w:val="18"/>
                <w:szCs w:val="18"/>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spacing w:val="-2"/>
                <w:sz w:val="18"/>
                <w:szCs w:val="18"/>
              </w:rPr>
            </w:pPr>
            <w:r>
              <w:rPr>
                <w:rFonts w:hint="eastAsia" w:ascii="楷体" w:hAnsi="楷体" w:eastAsia="楷体" w:cs="宋体"/>
                <w:b/>
                <w:spacing w:val="-2"/>
                <w:sz w:val="18"/>
                <w:szCs w:val="18"/>
              </w:rPr>
              <w:t>产品费用</w:t>
            </w:r>
          </w:p>
        </w:tc>
        <w:tc>
          <w:tcPr>
            <w:tcW w:w="7937" w:type="dxa"/>
            <w:noWrap w:val="0"/>
            <w:vAlign w:val="center"/>
          </w:tcPr>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本产品费用包括托管费、销售服务费、投资管理费、超额业绩报酬（如有）以及产品运作和清算中产生的其他费用等。</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1.托管费率（年化）：0.02%。</w:t>
            </w:r>
          </w:p>
          <w:p>
            <w:pPr>
              <w:keepNext w:val="0"/>
              <w:keepLines w:val="0"/>
              <w:pageBreakBefore w:val="0"/>
              <w:numPr>
                <w:ilvl w:val="0"/>
                <w:numId w:val="0"/>
              </w:numPr>
              <w:wordWrap/>
              <w:topLinePunct w:val="0"/>
              <w:bidi w:val="0"/>
              <w:snapToGrid/>
              <w:spacing w:line="0" w:lineRule="atLeast"/>
              <w:ind w:right="0" w:rightChars="0"/>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2.销售服务费率（年化）：A份额 0.50%,B份额 0.50%,C份额 0.50%,D份额 0.50%,F份额 0.65%,G份额 0.55%,J份额 0.50%,P份额 0.45%,O份额 0.55%,U份额 0.60%,Z份额 0.65%,ZA份额 0.65%,ZF份额 0.65%,ZF2份额 0.60%,ZN份额 0.55%,ZC份额 0.60%,ZK份额 0.50%。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3.投资管理费率（年化）：A份额 0.80%,B份额 0.77%,C份额 0.75%,D份额 0.65%,F份额 0.65%,G份额 0.72%,J份额 0.70%,P份额 0.65%,O份额 0.65%,U份额 0.70%,Z份额 0.65%,ZA份额 0.65%,ZF份额 0.65%,ZF2份额 0.60%,ZN份额 0.65%,ZC份额 0.65%,ZK份额 0.65%。</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4</w:t>
            </w:r>
            <w:r>
              <w:rPr>
                <w:rFonts w:hint="eastAsia" w:ascii="楷体" w:hAnsi="楷体" w:eastAsia="楷体" w:cs="宋体"/>
                <w:color w:val="auto"/>
                <w:spacing w:val="-2"/>
                <w:sz w:val="18"/>
                <w:szCs w:val="18"/>
                <w:highlight w:val="none"/>
              </w:rPr>
              <w:t>.超额业绩报酬：</w:t>
            </w:r>
            <w:r>
              <w:rPr>
                <w:rFonts w:hint="eastAsia" w:ascii="楷体" w:hAnsi="楷体" w:eastAsia="楷体" w:cs="宋体"/>
                <w:color w:val="auto"/>
                <w:spacing w:val="-2"/>
                <w:sz w:val="18"/>
                <w:szCs w:val="18"/>
              </w:rPr>
              <w:t>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r>
              <w:rPr>
                <w:rFonts w:hint="eastAsia" w:ascii="楷体" w:hAnsi="楷体" w:eastAsia="楷体" w:cs="宋体"/>
                <w:color w:val="auto"/>
                <w:spacing w:val="-2"/>
                <w:sz w:val="18"/>
                <w:szCs w:val="18"/>
                <w:highlight w:val="none"/>
              </w:rPr>
              <w:t>。</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单一投资周期运作期间内理财产品将每日暂估超额业绩报酬，仅用于理财产品会计核算，并将扣除“暂估超额业绩报酬”后的理财产品份额净值按照说明书约定向投资者进行披露。理财产品实际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highlight w:val="none"/>
                <w:lang w:val="en-US" w:eastAsia="zh-CN"/>
              </w:rPr>
              <w:t>收取</w:t>
            </w:r>
            <w:r>
              <w:rPr>
                <w:rFonts w:hint="eastAsia" w:ascii="楷体" w:hAnsi="楷体" w:eastAsia="楷体" w:cs="宋体"/>
                <w:color w:val="auto"/>
                <w:spacing w:val="-2"/>
                <w:sz w:val="18"/>
                <w:szCs w:val="18"/>
                <w:highlight w:val="none"/>
              </w:rPr>
              <w:t>的超额业绩报酬以投资周期终止日计提核算的数值为准。</w:t>
            </w:r>
          </w:p>
          <w:p>
            <w:pPr>
              <w:keepNext w:val="0"/>
              <w:keepLines w:val="0"/>
              <w:pageBreakBefore w:val="0"/>
              <w:widowControl w:val="0"/>
              <w:wordWrap/>
              <w:topLinePunct w:val="0"/>
              <w:bidi w:val="0"/>
              <w:snapToGrid/>
              <w:spacing w:line="0" w:lineRule="atLeast"/>
              <w:ind w:left="0" w:leftChars="0" w:right="0" w:rightChars="0"/>
              <w:textAlignment w:val="auto"/>
              <w:rPr>
                <w:sz w:val="18"/>
                <w:szCs w:val="18"/>
              </w:rPr>
            </w:pPr>
            <w:r>
              <w:rPr>
                <w:rFonts w:hint="eastAsia" w:ascii="楷体" w:hAnsi="楷体" w:eastAsia="楷体" w:cs="宋体"/>
                <w:b/>
                <w:spacing w:val="-2"/>
                <w:sz w:val="18"/>
                <w:szCs w:val="18"/>
                <w:u w:val="single"/>
              </w:rPr>
              <w:t>本产品设置</w:t>
            </w:r>
            <w:r>
              <w:rPr>
                <w:rFonts w:hint="eastAsia" w:ascii="楷体" w:hAnsi="楷体" w:eastAsia="楷体" w:cs="宋体"/>
                <w:b/>
                <w:bCs w:val="0"/>
                <w:spacing w:val="-2"/>
                <w:kern w:val="0"/>
                <w:sz w:val="18"/>
                <w:szCs w:val="18"/>
                <w:highlight w:val="none"/>
                <w:u w:val="single"/>
                <w:lang w:val="en-US" w:eastAsia="zh-CN" w:bidi="ar-SA"/>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pStyle w:val="34"/>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0" w:lineRule="atLeast"/>
              <w:ind w:left="0" w:leftChars="0" w:right="0" w:rightChars="0" w:firstLine="0" w:firstLineChars="0"/>
              <w:jc w:val="both"/>
              <w:textAlignment w:val="auto"/>
              <w:rPr>
                <w:rFonts w:ascii="楷体" w:hAnsi="楷体" w:eastAsia="楷体"/>
                <w:sz w:val="18"/>
                <w:szCs w:val="18"/>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收益分配</w:t>
            </w:r>
          </w:p>
        </w:tc>
        <w:tc>
          <w:tcPr>
            <w:tcW w:w="7937" w:type="dxa"/>
            <w:tcBorders>
              <w:bottom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rPr>
              <w:t>本产品</w:t>
            </w:r>
            <w:r>
              <w:rPr>
                <w:rFonts w:hint="eastAsia" w:ascii="楷体" w:hAnsi="楷体" w:eastAsia="楷体" w:cs="宋体"/>
                <w:spacing w:val="-2"/>
                <w:sz w:val="18"/>
                <w:szCs w:val="18"/>
                <w:highlight w:val="none"/>
              </w:rPr>
              <w:t>按投资周期进行现金分红</w:t>
            </w:r>
            <w:r>
              <w:rPr>
                <w:rFonts w:hint="eastAsia" w:ascii="楷体" w:hAnsi="楷体" w:eastAsia="楷体" w:cs="宋体"/>
                <w:spacing w:val="-2"/>
                <w:sz w:val="18"/>
                <w:szCs w:val="18"/>
                <w:lang w:eastAsia="zh-CN"/>
              </w:rPr>
              <w:t>。</w:t>
            </w:r>
            <w:r>
              <w:rPr>
                <w:rFonts w:hint="eastAsia" w:ascii="楷体" w:hAnsi="楷体" w:eastAsia="楷体" w:cs="宋体"/>
                <w:spacing w:val="-2"/>
                <w:sz w:val="18"/>
                <w:szCs w:val="18"/>
              </w:rPr>
              <w:t>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 w:val="18"/>
                <w:szCs w:val="18"/>
              </w:rPr>
              <w:t>详见下文</w:t>
            </w:r>
            <w:r>
              <w:rPr>
                <w:rFonts w:hint="eastAsia" w:ascii="楷体" w:hAnsi="楷体" w:eastAsia="楷体" w:cs="宋体"/>
                <w:spacing w:val="-2"/>
                <w:sz w:val="18"/>
                <w:szCs w:val="18"/>
              </w:rPr>
              <w:t>“收益分配”。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default" w:ascii="楷体" w:hAnsi="楷体" w:eastAsia="楷体" w:cs="宋体"/>
                <w:b/>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产品管理人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本产品管理人为</w:t>
      </w:r>
      <w:r>
        <w:rPr>
          <w:rFonts w:hint="eastAsia" w:ascii="楷体" w:hAnsi="楷体" w:eastAsia="楷体" w:cs="Calibri"/>
          <w:b/>
          <w:bCs/>
          <w:sz w:val="21"/>
          <w:szCs w:val="21"/>
          <w:u w:val="single"/>
        </w:rPr>
        <w:t>苏银理财有限责任公司</w:t>
      </w:r>
      <w:r>
        <w:rPr>
          <w:rFonts w:hint="eastAsia" w:ascii="楷体" w:hAnsi="楷体" w:eastAsia="楷体" w:cs="Calibri"/>
          <w:sz w:val="21"/>
          <w:szCs w:val="21"/>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产品托管人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楷体"/>
          <w:b/>
          <w:bCs/>
          <w:sz w:val="21"/>
          <w:szCs w:val="21"/>
          <w:u w:val="single"/>
        </w:rPr>
      </w:pPr>
      <w:r>
        <w:rPr>
          <w:rFonts w:hint="eastAsia" w:ascii="楷体" w:hAnsi="楷体" w:eastAsia="楷体"/>
          <w:color w:val="auto"/>
          <w:sz w:val="21"/>
          <w:szCs w:val="21"/>
          <w:highlight w:val="none"/>
        </w:rPr>
        <w:t>本产品托管人为</w:t>
      </w:r>
      <w:r>
        <w:rPr>
          <w:rFonts w:hint="eastAsia" w:ascii="楷体" w:hAnsi="楷体" w:eastAsia="楷体" w:cs="Calibri"/>
          <w:b/>
          <w:bCs/>
          <w:sz w:val="21"/>
          <w:szCs w:val="21"/>
          <w:u w:val="single"/>
          <w:lang w:val="en-US" w:eastAsia="zh-CN"/>
        </w:rPr>
        <w:t>江苏银行股份有限</w:t>
      </w:r>
      <w:r>
        <w:rPr>
          <w:rFonts w:hint="eastAsia" w:ascii="楷体" w:hAnsi="楷体" w:eastAsia="楷体" w:cs="Calibri"/>
          <w:b/>
          <w:bCs/>
          <w:sz w:val="21"/>
          <w:szCs w:val="21"/>
          <w:u w:val="single"/>
        </w:rPr>
        <w:t>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pStyle w:val="2"/>
        <w:keepNext w:val="0"/>
        <w:keepLines w:val="0"/>
        <w:pageBreakBefore w:val="0"/>
        <w:widowControl w:val="0"/>
        <w:kinsoku/>
        <w:wordWrap/>
        <w:overflowPunct/>
        <w:topLinePunct w:val="0"/>
        <w:bidi w:val="0"/>
        <w:snapToGrid/>
        <w:spacing w:before="0"/>
        <w:ind w:left="0" w:firstLine="420" w:firstLineChars="20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A份额：兴业银行股份有限公司/上海银行股份有限公司/上海农村商业银行股份有限公司/江苏银行股份有限公司/江苏江阴农村商业银行股份有限公司/宁波东海银行股份有限公司/齐鲁银行股份有限公司/苏银理财有限责任公司/九江银行股份有限公司/江苏扬州农村商业银行股份有限公司/江苏阜宁农村商业银行股份有限公司/江苏丹阳农村商业银行股份有限公司/江苏新沂农村商业银行股份有限公司/江苏如东农村商业银行股份有限公司/江苏东台农村商业银行股份有限公司/江苏泰兴农村商业银行股份有限公司/江苏扬中农村商业银行股份有限公司/江苏靖江农村商业银行股份有限公司/徐州农村商业银行股份有限公司/江苏南通农村商业银行股份有限公司/江苏洪泽农村商业银行股份有限公司/江苏邳州农村商业银行股份有限公司/江苏淮安农村商业银行股份有限公司/江苏紫金农村商业银行股份有限公司/江苏涟水农村商业银行股份有限公司/江苏高邮农村商业银行股份有限公司/江苏句容农村商业银行股份有限公司/江苏沭阳农村商业银行股份有限公司/江苏盱眙农村商业银行股份有限公司/江苏宜兴农村商业银行股份有限公司/江苏溧水农村商业银行股份有限公司/江苏海安农村商业银行股份有限公司/江苏如皋农村商业银行股份有限公司/江苏仪征农村商业银行股份有限公司/江苏高淳农村商业银行股份有限公司/威海银行股份有限公司</w:t>
      </w:r>
    </w:p>
    <w:p>
      <w:pPr>
        <w:pStyle w:val="2"/>
        <w:keepNext w:val="0"/>
        <w:keepLines w:val="0"/>
        <w:pageBreakBefore w:val="0"/>
        <w:widowControl w:val="0"/>
        <w:kinsoku/>
        <w:wordWrap/>
        <w:overflowPunct/>
        <w:topLinePunct w:val="0"/>
        <w:bidi w:val="0"/>
        <w:snapToGrid/>
        <w:spacing w:before="0"/>
        <w:ind w:left="0" w:firstLine="420" w:firstLineChars="20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B份额：兴业银行股份有限公司/江苏银行股份有限公司/宁波东海银行股份有限公司/齐鲁银行股份有限公司/苏银理财有限责任公司/江苏扬州农村商业银行股份有限公司/江苏阜宁农村商业银行股份有限公司/江苏丹阳农村商业银行股份有限公司/江苏新沂农村商业银行股份有限公司/江苏如东农村商业银行股份有限公司/江苏东台农村商业银行股份有限公司/江苏泰兴农村商业银行股份有限公司/江苏扬中农村商业银行股份有限公司/江苏靖江农村商业银行股份有限公司/徐州农村商业银行股份有限公司/江苏南通农村商业银行股份有限公司/江苏洪泽农村商业银行股份有限公司/江苏邳州农村商业银行股份有限公司/江苏淮安农村商业银行股份有限公司/江苏紫金农村商业银行股份有限公司/江苏涟水农村商业银行股份有限公司/江苏高邮农村商业银行股份有限公司/江苏句容农村商业银行股份有限公司/江苏沭阳农村商业银行股份有限公司/江苏盱眙农村商业银行股份有限公司/江苏宜兴农村商业银行股份有限公司/江苏溧水农村商业银行股份有限公司/江苏海安农村商业银行股份有限公司/江苏如皋农村商业银行股份有限公司/江苏仪征农村商业银行股份有限公司/江苏高淳农村商业银行股份有限公司/威海银行股份有限公司</w:t>
      </w:r>
    </w:p>
    <w:p>
      <w:pPr>
        <w:pStyle w:val="2"/>
        <w:keepNext w:val="0"/>
        <w:keepLines w:val="0"/>
        <w:pageBreakBefore w:val="0"/>
        <w:widowControl w:val="0"/>
        <w:kinsoku/>
        <w:wordWrap/>
        <w:overflowPunct/>
        <w:topLinePunct w:val="0"/>
        <w:bidi w:val="0"/>
        <w:snapToGrid/>
        <w:spacing w:before="0"/>
        <w:ind w:left="0" w:firstLine="420" w:firstLineChars="20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C份额：江苏银行股份有限公司/苏银理财有限责任公司</w:t>
      </w:r>
    </w:p>
    <w:p>
      <w:pPr>
        <w:pStyle w:val="2"/>
        <w:keepNext w:val="0"/>
        <w:keepLines w:val="0"/>
        <w:pageBreakBefore w:val="0"/>
        <w:widowControl w:val="0"/>
        <w:kinsoku/>
        <w:wordWrap/>
        <w:overflowPunct/>
        <w:topLinePunct w:val="0"/>
        <w:bidi w:val="0"/>
        <w:snapToGrid/>
        <w:spacing w:before="0"/>
        <w:ind w:left="0" w:firstLine="420" w:firstLineChars="20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D份额：江苏江阴农村商业银行股份有限公司/江苏南通农村商业银行股份有限公司/江苏银行股份有限公司/上海银行股份有限公司</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F份额：交通银行股份有限公司/北京农村商业银行股份有限公司/深圳农村商业银行股份有限公司/广州银行股份有限公司/广州农村商业银行股份有限公司/苏州银行股份有限公司/杭州联合农村商业银行股份有限公司/华侨银行有限公司/日照银行股份有限公司/浙江绍兴瑞丰农村商业银行股份有限公司/浙江温州龙湾农村商业银行股份有限公司/潍坊银行股份有限公司/甘肃银行股份有限公司/台州银行股份有限公司/浙江乐清农村商业银行股份有限公司/浙江临海农村商业银行股份有限公司/山西银行股份有限公司/浙江义乌农村商业银行股份有限公司/浙江杭州余杭农村商业银行股份有限公司/浙江德清农村商业银行股份有限公司/浙江萧山农村商业银行股份有限公司/宁波慈溪农村商业银行股份有限公司/浙江温州瓯海农村商业银行股份有限公司/九江银行股份有限公司/浙商银行股份有限公司/浙江永康农村商业银行股份有限公司/浙江武义农村商业银行股份有限公司/浙江江山农村商业银行股份有限公司/浙江开化农村商业银行股份有限公司/浙江青田农村商业银行股份有限公司/浙江舟山定海海洋农村商业银行股份有限公司/浙江岱山农村商业银行股份有限公司/宁波通商银行股份有限公司/中邮邮惠万家银行有限责任公司/浙江桐庐农村商业银行股份有限公司/浙江淳安农村商业银行股份有限公司/宁波余姚农村商业银行股份有限公司/宁波镇海农村商业银行股份有限公司/浙江永嘉农村商业银行股份有限公司/浙江泰顺农村商业银行股份有限公司/浙江嘉善农村商业银行股份有限公司/浙江海宁农村商业银行股份有限公司/浙江长兴农村商业银行股份有限公司/浙江上虞农村商业银行股份有限公司/兴业银行股份有限公司</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G份额：徽商银行股份有限公司/深圳农村商业银行股份有限公司/广州银行股份有限公司/广州农村商业银行股份有限公司/杭州联合农村商业银行股份有限公司/浙江绍兴瑞丰农村商业银行股份有限公司/山西银行股份有限公司/浙江杭州余杭农村商业银行股份有限公司/浙江德清农村商业银行股份有限公司/九江银行股份有限公司/浙商银行股份有限公司/浙江衢州衢江农村商业银行股份有限公司/浙江舟山定海海洋农村商业银行股份有限公司/浙江岱山农村商业银行股份有限公司/宁波通商银行股份有限公司/浙江桐庐农村商业银行股份有限公司/浙江淳安农村商业银行股份有限公司/宁波余姚农村商业银行股份有限公司/浙江永嘉农村商业银行股份有限公司/浙江嘉善农村商业银行股份有限公司/浙江海宁农村商业银行股份有限公司/浙江上虞农村商业银行股份有限公司/兴业银行股份有限公司</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J份额：江苏如皋农村商业银行股份有限公司/江苏银行股份有限公司/上海银行股份有限公司/威海银行股份有限公司/苏银理财有限责任公司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P份额：甘肃银行股份有限公司/郑州银行股份有限公司</w:t>
      </w:r>
    </w:p>
    <w:p>
      <w:pPr>
        <w:ind w:firstLine="420" w:firstLineChars="200"/>
        <w:jc w:val="both"/>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O份额：兰州银行股份有限公司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U份额：徽商银行股份有限公司</w:t>
      </w:r>
    </w:p>
    <w:p>
      <w:pPr>
        <w:ind w:firstLine="420" w:firstLineChars="200"/>
        <w:jc w:val="both"/>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Z份额：上海农村商业银行股份有限公司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A份额：江苏常熟农村商业银行股份有限公司/江苏苏州农村商业银行股份有限公司/江苏扬州农村商业银行股份有限公司/江苏阜宁农村商业银行股份有限公司/江苏丹阳农村商业银行股份有限公司/江苏新沂农村商业银行股份有限公司/江苏盐城农村商业银行股份有限公司/江苏如东农村商业银行股份有限公司/江苏东台农村商业银行股份有限公司/江苏江都农村商业银行股份有限公司/江苏泰兴农村商业银行股份有限公司/江苏扬中农村商业银行股份有限公司/江苏靖江农村商业银行股份有限公司/徐州农村商业银行股份有限公司/江苏南通农村商业银行股份有限公司/江苏灌南农村商业银行股份有限公司/江苏洪泽农村商业银行股份有限公司/江苏邳州农村商业银行股份有限公司/江苏金湖农村商业银行股份有限公司/江苏灌云农村商业银行股份有限公司/江苏淮安农村商业银行股份有限公司/江苏紫金农村商业银行股份有限公司/江苏东海农村商业银行股份有限公司/连云港东方农村商业银行股份有限公司/江苏高邮农村商业银行股份有限公司/江苏句容农村商业银行股份有限公司/江苏沭阳农村商业银行股份有限公司/江苏泗阳农村商业银行股份有限公司/江苏睢宁农村商业银行股份有限公司/江苏盱眙农村商业银行股份有限公司/江苏镇江农村商业银行股份有限公司/江苏宜兴农村商业银行股份有限公司/江苏溧水农村商业银行股份有限公司/江苏大丰农村商业银行股份有限公司/江苏泗洪农村商业银行股份有限公司/江苏启东农村商业银行股份有限公司/江苏海安农村商业银行股份有限公司/江苏如皋农村商业银行股份有限公司/江苏仪征农村商业银行股份有限公司/江苏姜堰农村商业银行股份有限公司/江苏高淳农村商业银行股份有限公司/江苏丰县农村商业银行股份有限公司/江苏建湖农村商业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F份额：汉口银行股份有限公司/江苏张家港农村商业银行股份有限公司/浙江民泰商业银行股份有限公司/河北银行股份有限公司/嘉兴银行股份有限公司/江苏江南农村商业银行股份有限公司/厦门银行股份有限公司/苏州银行股份有限公司/浙江温州龙湾农村商业银行股份有限公司/浙江临海农村商业银行股份有限公司/浙江新昌农村商业银行股份有限公司/浙江义乌农村商业银行股份有限公司/浙江杭州余杭农村商业银行股份有限公司/浙江德清农村商业银行股份有限公司/浙江萧山农村商业银行股份有限公司/宁波慈溪农村商业银行股份有限公司/浙江温州瓯海农村商业银行股份有限公司/莱商银行股份有限公司/浙江兰溪农村商业银行股份有限公司/浙江永康农村商业银行股份有限公司/浙江浦江农村商业银行股份有限公司/浙江衢州柯城农村商业银行股份有限公司/浙江衢州衢江农村商业银行股份有限公司/浙江江山农村商业银行股份有限公司/浙江青田农村商业银行股份有限公司/浙江温岭农村商业银行股份有限公司/浙江岱山农村商业银行股份有限公司/浙江临安农村商业银行股份有限公司/宁波余姚农村商业银行股份有限公司/宁波镇海农村商业银行股份有限公司/宁波甬城农村商业银行股份有限公司/浙江嘉善农村商业银行股份有限公司/浙江上虞农村商业银行股份有限公司/浙江嵊州农村商业银行股份有限公司/兴业银行股份有限公司</w:t>
      </w:r>
    </w:p>
    <w:p>
      <w:pPr>
        <w:ind w:left="0" w:leftChars="0"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ZF2份额：石嘴山银行股份有限公司</w:t>
      </w:r>
    </w:p>
    <w:p>
      <w:pPr>
        <w:ind w:left="0" w:leftChars="0" w:firstLine="420" w:firstLineChars="200"/>
        <w:jc w:val="both"/>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ZN份额：河北银行股份有限公司/广西北部湾银行股份有限公司/浙江萧山农村商业银行股份有限公司/宁波通商银行股份有限公司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ZC份额：</w:t>
      </w:r>
      <w:r>
        <w:rPr>
          <w:rFonts w:hint="eastAsia" w:ascii="楷体" w:hAnsi="楷体" w:eastAsia="楷体" w:cs="楷体"/>
          <w:sz w:val="21"/>
          <w:szCs w:val="21"/>
          <w:highlight w:val="none"/>
          <w:lang w:val="en-US" w:eastAsia="zh-CN"/>
        </w:rPr>
        <w:t>江苏如东农村商业银行股份有限公司/江苏泰兴农村商业银行股份有限公司/江苏灌南农村商业银行股份有限公司/江苏紫金农村商业银行股份有限公司/连云港东方农村商业银行股份有限公司/江苏泗阳农村商业银行股份有限公司/江苏溧水农村商业银行股份有限公司/江苏海安农村商业银行股份有限公司/江苏如皋农村商业银行股份有限公司/江苏姜堰农村商业银行股份有限公司/江苏高淳农村商业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ZK份额：</w:t>
      </w:r>
      <w:r>
        <w:rPr>
          <w:rFonts w:hint="eastAsia" w:ascii="楷体" w:hAnsi="楷体" w:eastAsia="楷体" w:cs="楷体"/>
          <w:sz w:val="21"/>
          <w:szCs w:val="21"/>
          <w:highlight w:val="none"/>
          <w:lang w:val="en-US" w:eastAsia="zh-CN"/>
        </w:rPr>
        <w:t>江苏如东农村商业银行股份有限公司/江苏南通农村商业银行股份有限公司/江苏灌南农村商业银行股份有限公司/江苏沛县农村商业银行股份有限公司/江苏紫金农村商业银行股份有限公司/连云港东方农村商业银行股份有限公司/江苏泗阳农村商业银行股份有限公司/江苏溧水农村商业银行股份有限公司/江苏海安农村商业银行股份有限公司/江苏如皋农村商业银行股份有限公司/江苏姜堰农村商业银行股份有限公司/江苏高淳农村商业银行股份有限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名词释义</w:t>
      </w:r>
    </w:p>
    <w:p>
      <w:pPr>
        <w:ind w:firstLine="420" w:firstLineChars="200"/>
        <w:rPr>
          <w:rFonts w:hint="eastAsia" w:ascii="楷体" w:hAnsi="楷体" w:eastAsia="楷体"/>
          <w:sz w:val="21"/>
          <w:szCs w:val="21"/>
        </w:rPr>
      </w:pPr>
      <w:r>
        <w:rPr>
          <w:rFonts w:hint="eastAsia" w:ascii="楷体" w:hAnsi="楷体" w:eastAsia="楷体"/>
          <w:sz w:val="21"/>
          <w:szCs w:val="21"/>
        </w:rPr>
        <w:t>在本理财产品说明书中，除非上下文另有明确约定，下列用词将具有如下含义：</w:t>
      </w:r>
    </w:p>
    <w:p>
      <w:pPr>
        <w:numPr>
          <w:ilvl w:val="0"/>
          <w:numId w:val="3"/>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销售代码：指本理财产品可能设置一</w:t>
      </w:r>
      <w:r>
        <w:rPr>
          <w:rFonts w:hint="eastAsia" w:ascii="楷体" w:hAnsi="楷体" w:eastAsia="楷体" w:cs="Calibri"/>
          <w:sz w:val="21"/>
          <w:szCs w:val="21"/>
          <w:lang w:val="en-US" w:eastAsia="zh-CN"/>
        </w:rPr>
        <w:t>类</w:t>
      </w:r>
      <w:r>
        <w:rPr>
          <w:rFonts w:hint="eastAsia" w:ascii="楷体" w:hAnsi="楷体" w:eastAsia="楷体" w:cs="Calibri"/>
          <w:sz w:val="21"/>
          <w:szCs w:val="21"/>
        </w:rPr>
        <w:t>或多</w:t>
      </w:r>
      <w:r>
        <w:rPr>
          <w:rFonts w:hint="eastAsia" w:ascii="楷体" w:hAnsi="楷体" w:eastAsia="楷体" w:cs="Calibri"/>
          <w:sz w:val="21"/>
          <w:szCs w:val="21"/>
          <w:lang w:val="en-US" w:eastAsia="zh-CN"/>
        </w:rPr>
        <w:t>类</w:t>
      </w:r>
      <w:r>
        <w:rPr>
          <w:rFonts w:hint="eastAsia" w:ascii="楷体" w:hAnsi="楷体" w:eastAsia="楷体" w:cs="Calibri"/>
          <w:sz w:val="21"/>
          <w:szCs w:val="21"/>
        </w:rPr>
        <w:t>产品份额，管理人在理财产品销售管理过程中对各</w:t>
      </w:r>
      <w:r>
        <w:rPr>
          <w:rFonts w:hint="eastAsia" w:ascii="楷体" w:hAnsi="楷体" w:eastAsia="楷体" w:cs="Calibri"/>
          <w:sz w:val="21"/>
          <w:szCs w:val="21"/>
          <w:lang w:val="en-US" w:eastAsia="zh-CN"/>
        </w:rPr>
        <w:t>类</w:t>
      </w:r>
      <w:r>
        <w:rPr>
          <w:rFonts w:hint="eastAsia" w:ascii="楷体" w:hAnsi="楷体" w:eastAsia="楷体" w:cs="Calibri"/>
          <w:sz w:val="21"/>
          <w:szCs w:val="21"/>
        </w:rPr>
        <w:t>份额设置的</w:t>
      </w:r>
      <w:r>
        <w:rPr>
          <w:rFonts w:hint="eastAsia" w:ascii="楷体" w:hAnsi="楷体" w:eastAsia="楷体" w:cs="Calibri"/>
          <w:sz w:val="21"/>
          <w:szCs w:val="21"/>
          <w:lang w:val="en-US" w:eastAsia="zh-CN"/>
        </w:rPr>
        <w:t>内部代</w:t>
      </w:r>
      <w:r>
        <w:rPr>
          <w:rFonts w:hint="eastAsia" w:ascii="楷体" w:hAnsi="楷体" w:eastAsia="楷体" w:cs="Calibri"/>
          <w:sz w:val="21"/>
          <w:szCs w:val="21"/>
        </w:rPr>
        <w:t>码。</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理财</w:t>
      </w:r>
      <w:r>
        <w:rPr>
          <w:rFonts w:hint="eastAsia" w:ascii="楷体" w:hAnsi="楷体" w:eastAsia="楷体" w:cs="Calibri"/>
          <w:sz w:val="21"/>
          <w:szCs w:val="21"/>
        </w:rPr>
        <w:t>产品资产总值：指产品拥有的各类有价证券、银行存款、应收款项及其他资产的价值总和。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理财</w:t>
      </w:r>
      <w:r>
        <w:rPr>
          <w:rFonts w:hint="eastAsia" w:ascii="楷体" w:hAnsi="楷体" w:eastAsia="楷体" w:cs="Calibri"/>
          <w:sz w:val="21"/>
          <w:szCs w:val="21"/>
        </w:rPr>
        <w:t>产品负债总值：指产品运作及融资时形成的负债价值总和，包括融资资金本息、应付各项费用（包括托管费、销售服务费、投资管理费、超额业绩报酬、其他费用等）、应付税金及其他应付款项等。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理财产品资产净值/净资产：指产品资产总值减去产品负债总值后的价值。</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交易日：</w:t>
      </w:r>
      <w:r>
        <w:rPr>
          <w:rFonts w:ascii="楷体" w:hAnsi="楷体" w:eastAsia="楷体" w:cs="Calibri"/>
          <w:sz w:val="21"/>
          <w:szCs w:val="21"/>
        </w:rPr>
        <w:t>指上海证券交易所和深圳证券交易所的正常开盘交易日</w:t>
      </w:r>
      <w:r>
        <w:rPr>
          <w:rFonts w:hint="eastAsia" w:ascii="楷体" w:hAnsi="楷体" w:eastAsia="楷体" w:cs="Calibri"/>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份额登记日/份额确认日：</w:t>
      </w:r>
      <w:r>
        <w:rPr>
          <w:rFonts w:hint="eastAsia" w:ascii="楷体" w:hAnsi="楷体" w:eastAsia="楷体" w:cs="Calibri"/>
          <w:color w:val="auto"/>
          <w:sz w:val="21"/>
          <w:szCs w:val="21"/>
        </w:rPr>
        <w:t>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r>
        <w:rPr>
          <w:rFonts w:hint="eastAsia" w:ascii="楷体" w:hAnsi="楷体" w:eastAsia="楷体" w:cs="Calibri"/>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投资周期：投资周期指投资者持有理财产品份额所对应的理财资金由产品管理人进行投资运作的一段完整期间，每一个投资周期为该投资周期起始日至该投资周期终止日的理财期间。</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开放日：指投资周期终止日。开放计划内的申购、赎回申请，将以开放日的净值进行确认。</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投资管理</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20" w:firstLineChars="200"/>
        <w:rPr>
          <w:rFonts w:hint="eastAsia" w:ascii="楷体" w:hAnsi="楷体" w:eastAsia="楷体"/>
          <w:sz w:val="21"/>
          <w:szCs w:val="21"/>
        </w:rPr>
      </w:pPr>
      <w:r>
        <w:rPr>
          <w:rFonts w:hint="eastAsia" w:ascii="楷体" w:hAnsi="楷体" w:eastAsia="楷体"/>
          <w:sz w:val="21"/>
          <w:szCs w:val="21"/>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投资策略</w:t>
      </w:r>
    </w:p>
    <w:p>
      <w:pPr>
        <w:ind w:firstLine="420" w:firstLineChars="200"/>
        <w:rPr>
          <w:rFonts w:hint="default" w:ascii="楷体" w:hAnsi="楷体" w:eastAsia="楷体"/>
          <w:sz w:val="21"/>
          <w:szCs w:val="21"/>
          <w:lang w:val="en-US" w:eastAsia="zh-CN"/>
        </w:rPr>
      </w:pPr>
      <w:r>
        <w:rPr>
          <w:rFonts w:hint="default" w:ascii="楷体" w:hAnsi="楷体" w:eastAsia="楷体"/>
          <w:sz w:val="21"/>
          <w:szCs w:val="21"/>
          <w:lang w:val="en-US" w:eastAsia="zh-CN"/>
        </w:rPr>
        <w:t>本理财产品计划通过债券、非标准化债权类资产的配置获取稳健收益，同时适时适量配置银行存款，包括同业存</w:t>
      </w:r>
      <w:r>
        <w:rPr>
          <w:rFonts w:hint="eastAsia" w:ascii="楷体" w:hAnsi="楷体" w:eastAsia="楷体"/>
          <w:sz w:val="21"/>
          <w:szCs w:val="21"/>
          <w:lang w:val="en-US" w:eastAsia="zh-CN"/>
        </w:rPr>
        <w:t>款</w:t>
      </w:r>
      <w:r>
        <w:rPr>
          <w:rFonts w:hint="default" w:ascii="楷体" w:hAnsi="楷体" w:eastAsia="楷体"/>
          <w:sz w:val="21"/>
          <w:szCs w:val="21"/>
          <w:lang w:val="en-US" w:eastAsia="zh-CN"/>
        </w:rPr>
        <w:t>、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非标准化债权类资产</w:t>
      </w:r>
    </w:p>
    <w:p>
      <w:pPr>
        <w:numPr>
          <w:ilvl w:val="0"/>
          <w:numId w:val="0"/>
        </w:numPr>
        <w:tabs>
          <w:tab w:val="left" w:pos="993"/>
        </w:tabs>
        <w:ind w:leftChars="200"/>
        <w:outlineLvl w:val="2"/>
        <w:rPr>
          <w:rFonts w:hint="eastAsia" w:ascii="楷体" w:hAnsi="楷体" w:eastAsia="楷体" w:cs="Calibri"/>
          <w:b w:val="0"/>
          <w:bCs/>
          <w:sz w:val="21"/>
          <w:szCs w:val="21"/>
          <w:highlight w:val="yellow"/>
          <w:lang w:val="en-US" w:eastAsia="zh-CN"/>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1"/>
          <w:numId w:val="0"/>
        </w:numPr>
        <w:ind w:firstLine="558" w:firstLineChars="266"/>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非标准化债权类资产：融资人为南通圆宏控股集团有限公司。融资人经营正常，是依法设立的国有公司，主要股东为南通市通州区人民政府，实际控制人为南通市通州区人民政府。（4）非标准化债权类资产：融资人为泰兴市交通控股有限公司。融资人经营正常，是依法设立的国有公司，主要股东为泰兴市人民政府国有资产监督管理办公室，实际控制人为泰兴市人民政府国有资产监督管理办公室。（5）非标准化债权类资产：融资人为扬州市邗江国有资产经营有限公司。融资人经营正常，是依法设立的国有公司，主要股东为扬州市邗江城市建设发展有限公司，扬州市正本溯源建设发展有限公司，实际控制人为扬州市人民政府。（6）非标准化债权类资产：融资人为镇江铁路投资发展有限公司。融资人经营正常，是依法设立的国有公司，主要股东为镇江市人民政府国有资产监督管理委员会，实际控制人为镇江市人民政府国有资产监督管理委员会。（7）非标准化债权类资产：融资人为淮安高新控股有限公司。融资人经营正常，是依法设立的国有公司，主要股东为淮安市财政局、淮安市交通控股集团有限公司、淮安新城投资开发集团有限公司，淮安国发投资集团有限公司，淮安市宏信国有资产投资管理有限公司，淮安市国有联合投资发展集团有限公司和淮安市投资控股集团有限公司，实际控制人为淮安市人民政府。（8）非标准化债权类资产：融资人为桐庐县城市建设投资集团有限公司。融资人经营正常，是依法设立的国有公司，主要股东为桐庐投资建设发展集团有限公司，实际控制人为桐庐县人民政府国有资产监督管理委员会。（9）非标准化债权类资产：融资人为绍兴市越城区城市发展建设集团有限公司。融资人经营正常，是依法设立的国有公司，主要股东为绍兴市越城区财政局，实际控制人为绍兴市越城区财政局。（10）非标准化债权类资产：融资人为张家港市高铁投资发展(集团)有限公司。融资人经营正常，是依法设立的国有公司，主要股东为张家港市交通控股有限公司、张家港市城市投资发展集团有限公司、张家港高新区投资控股有限公司，张家港市城镇发展集团有限公司，实际控制人为张家港市国有资产管理中心。（11）非标准化债权类资产：融资人为台州循环经济发展有限公司。融资人经营正常，是依法设立的国有公司，主要股东为台州市商贸核心区开发建设投资集团有限公司、台州市路桥公共资产投资管理集团有限公司、台州市城市建设投资发展集团有限公司，台州市开投城市开发有限公司，实际控制人为台州市人民政府。（12）非标准化债权类资产：融资人为兰溪市城市投资集团有限公司。融资人经营正常，是依法设立的国有公司，主要股东为兰溪市城市发展集团有限公司，实际控制人为兰溪市人民政府国有资产监督管理办公室。（13）非标准化债权类资产：融资人为苏皖合作示范区建设发展集团有限公司。融资人经营正常，是依法设立的国有公司，主要股东为溧阳市国有资产管理中心，实际控制人为溧阳市财政局。（14）非标准化债权类资产：融资人为江苏云港发展集团有限公司。融资人经营正常，是依法设立的国有公司，主要股东为江苏海州湾控股集团有限公司，实际控制人为连云港市连云区人民政府。（15）非标准化债权类资产：融资人为盐城市大丰区谐城实业发展有限公司。融资人经营正常，是依法设立的国有公司，主要股东为盐城市大丰区城市建设集团有限公司，实际控制人为江苏省盐城市大丰区人民政府。（16）非标准化债权类资产：融资人为南京市高淳区建设发展集团有限公司。融资人经营正常，是依法设立的国有公司，主要股东为南京市高淳区人民政府国有资产监督管理办公室，实际控制人为南京市高淳区人民政府国有资产监督管理办公室。（17）非标准化债权类资产：融资人为宿迁市运河港区开发集团有限公司。融资人经营正常，是依法设立的国有公司，主要股东为宿迁产业发展集团有限公司、宿迁市惠农产业发展股份有限公司，实际控制人为宿迁市人民政府。（18）非标准化债权类资产：融资人为仪征市水交投资有限公司。融资人经营正常，是依法设立的国有公司，主要股东为仪征市水交产业投资有限公司，兴田国际投资有限公司，实际控制人为仪征市财政局(仪征市政府国有资产监督管理办公室)。（19）非标准化债权类资产：融资人为盐城高新区投资集团有限公司。融资人经营正常，是依法设立的国有公司，主要股东为盐城高新产业控股集团有限公司，实际控制人为盐城市人民政府。（20）非标准化债权类资产：融资人为绍兴市上虞区国有资本投资运营有限公司。融资人经营正常，是依法设立的国有公司，主要股东为绍兴市上虞区国有资产发展集团有限公司，实际控制人为绍兴市上虞区人民政府国有资产监督管理委员会。（21）非标准化债权类资产：融资人为象山县滨海投资有限公司。融资人经营正常，是依法设立的国有公司，主要股东为宁波象开建设发展有限公司、浙江省财务开发有限责任公司，实际控制人为象山县国有资产管理局。（22）非标准化债权类资产：融资人为燕舞集团有限公司。融资人经营正常，是依法设立的国有公司，主要股东为盐城市人民政府、盐城市城市资产投资集团有限公司、江苏悦达集团有限公司，实际控制人为盐城市人民政府。（23）非标准化债权类资产：融资人为江苏盐城港控股集团有限公司。融资人经营正常，是依法设立的国有公司，主要股东为盐城市大丰区人民政府、盐城市交通投资建设控股集团有限公司、盐城市海兴集团有限公司，江苏省盐城市滨海县人民政府，江苏省盐城市射阳县人民政府，江苏省盐城市响水县人民政府及盐城市政府国有资产监督管理委员会，实际控制人为盐城市人民政府。（24）非标准化债权类资产：融资人为扬州新盛投资集团有限公司。融资人经营正常，是依法设立的国有公司，主要股东为扬州市城建国有资产控股(集团)有限责任公司、扬州易盛德产业投资集团有限公司、扬州市扬子江文旅投资发展集团有限责任公司，实际控制人为扬州市人民政府国有资产监督管理委员会。（25）非标准化债权类资产：融资人为温州瓯海科技产业发展集团有限公司。融资人经营正常，是依法设立的国有公司，主要股东为温州瓯海产业控股有限公司，实际控制人为温州市瓯海区国有资产管理办公室。（26）非标准化债权类资产：融资人为邳州市交通控股集团有限公司。融资人经营正常，是依法设立的国有公司，主要股东为邳州市交通投资发展集团有限公司，实际控制人为邳州市财政局。（27）非标准化债权类资产：融资人为如东县民泰城乡建设工程有限公司。融资人经营正常，是依法设立的国有公司，主要股东为如东县金鑫交通工程建设投资有限公司，实际控制人为如东县投资管理办公室。（28）非标准化债权类资产：融资人为无锡市惠山文商旅集团有限公司。融资人经营正常，是依法设立的国有公司，主要股东为无锡惠同控股集团有限公司、无锡惠山经济开发区开发建设总公司、无锡市惠山区生产力促进中心，实际控制人为无锡市惠山区国有资产管理办公室。（29）非标准化债权类资产：融资人为无锡锡山资产经营管理有限公司。融资人经营正常，是依法设立的国有公司，主要股东为无锡市锡州产城控股集团有限公司、无锡市锡山区国有企业改革发展服务中心，实际控制人为无锡市锡山区国有企业改革发展服务中心。（30）非标准化债权类资产：融资人为江苏钟吾城乡投资发展集团有限公司。融资人经营正常，是依法设立的国有公司，主要股东为徐州市人民政府，实际控制人为徐州市人民政府。（31）非标准化债权类资产：融资人为泰州医药城控股集团有限公司。融资人经营正常，是依法设立的国有公司，主要股东为泰州医药高新技术产业开发区管理委员会，实际控制人为泰州医药高新技术产业开发区管理委员会。（32）非标准化债权类资产：融资人为泰州国控投资集团有限公司。融资人经营正常，是依法设立的国有公司，主要股东为泰州市政府国有资产监督管理委员会，实际控制人为泰州市政府国有资产监督管理委员会。（33）非标准化债权类资产：融资人为杭州之江城市建设投资集团有限公司。融资人经营正常，是依法设立的国有公司，主要股东为杭州市西湖区人民政府国有资产监督管理办公室，实际控制人为杭州市西湖区人民政府国有资产监督管理办公室。（34）收益凭证：融资人为中信证券股份有限公司。融资人经营正常，是依法设立的国有公司，主要股东为中国中信金融控股有限公司、香港中央结算（代理人）有限公司、广州越秀资本控股集团有限公司，实际控制人为中国中信集团有限公司。（35）收益凭证：融资人为中国国际金融股份有限公司。融资人经营正常，是依法设立的国有公司，主要股东为中央汇金投资有限责任公司、香港中央结算（代理人）有限公司、香港中央结算有限公司，实际控制人中央汇金投资有限责任公司。（36）收益凭证：融资人为中信建投证券股份有限公司。融资人经营正常，是依法设立的国有公司，主要股东为北京金融控股集团有限公司、中央汇金投资有限责任公司、香港中央结算（代理人）有限公司，实际控制人为中央汇金投资有限责任公司。（37）收益凭证：融资人为中国银河证券股份有限公司。融资人经营正常，是依法设立的国有公司，主要股东为中国银河金融控股有限责任公司、香港中央结算（代理人）有限公司、香港中央结算有限公司，实际控制人为中央汇金投资有限责任公司。（38）收益凭证：融资人为华泰证券股份有限公司。融资人经营正常，是依法设立的国有公司，主要股东为江苏省国信集团有限公司、香港中央结算（代理人）有限公司、江苏交通控股有限公司，无实际控制人。（39）收益凭证：融资人为国泰海通证券股份有限公司。融资人经营正常，</w:t>
      </w:r>
      <w:r>
        <w:rPr>
          <w:rFonts w:hint="eastAsia" w:ascii="楷体" w:hAnsi="楷体" w:eastAsia="楷体" w:cs="楷体"/>
          <w:color w:val="auto"/>
          <w:kern w:val="2"/>
          <w:sz w:val="21"/>
          <w:szCs w:val="21"/>
          <w:highlight w:val="none"/>
          <w:lang w:val="en-US" w:eastAsia="zh-CN" w:bidi="ar-SA"/>
        </w:rPr>
        <w:t>是依法设立的国有公司，主要股东为香港中央结算（代理人）有限公司、上海国有资产经营有限公司、上海国际集团有限公司，实际控制人为上海市国有资产监督管理委员会。（40）收益凭证：融资人为申万宏源证券有限公司。融资人经营正常，是依法设立的国有公司，主要股东为申万宏源集团股份有限公司，实际控制人为中央汇金投资有限责任公司。（41）收益凭证：融资人为东方证券股份有限公司。融资人经营正常，是依法设立的国有公司，主要股东为申能（集团）有限公司、香港中央结算（代理人）有限公司、上海海烟投资管理有限公司，实际控制人为上海市国有资产监督管理委员会。（42）收益凭证：融资人为浙商证券股份有限公司。融资人经营正常，是依法设立的国有公司，主要股东为浙江上三高速公路有限公司、台州市金融投资集团有限公司，实际控制人为浙江省交通投资集团有限公司。（43）融资人为国投证券股份有限公司。融资人经营正常，是依法设立的国有公司，主要股东为国投资本股份有限公司、上海毅胜投资有限公司，实际控制人为国家开发投资集团有限公司。</w:t>
      </w:r>
    </w:p>
    <w:p>
      <w:pPr>
        <w:numPr>
          <w:ilvl w:val="-1"/>
          <w:numId w:val="0"/>
        </w:numPr>
        <w:ind w:firstLine="558" w:firstLineChars="266"/>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1）-（2）各资产到期日不超过理财产品投资周期终止日，循环期不还本、摊还期过手摊还本息；（3）-（33）各资产到期日不超过理财产品投资周期终止日，定期付息、到期一次性还本；（34）-（43）各资产到期日不超过理财产品投资周期终止日，到期一次性还本付息。</w:t>
      </w:r>
    </w:p>
    <w:p>
      <w:pPr>
        <w:numPr>
          <w:ilvl w:val="0"/>
          <w:numId w:val="0"/>
        </w:numPr>
        <w:ind w:firstLine="420" w:firstLineChars="200"/>
        <w:rPr>
          <w:rFonts w:hint="default"/>
          <w:lang w:val="en-US" w:eastAsia="zh-CN"/>
        </w:rPr>
      </w:pPr>
      <w:r>
        <w:rPr>
          <w:rFonts w:hint="eastAsia" w:ascii="楷体" w:hAnsi="楷体" w:eastAsia="楷体"/>
          <w:sz w:val="21"/>
          <w:szCs w:val="21"/>
        </w:rPr>
        <w:t>产品存续期内若本理财产品投资的</w:t>
      </w:r>
      <w:r>
        <w:rPr>
          <w:rFonts w:hint="eastAsia" w:ascii="楷体" w:hAnsi="楷体" w:eastAsia="楷体"/>
          <w:b w:val="0"/>
          <w:bCs/>
          <w:color w:val="auto"/>
          <w:sz w:val="21"/>
          <w:szCs w:val="21"/>
          <w:highlight w:val="none"/>
          <w:u w:val="none"/>
        </w:rPr>
        <w:t>非标准化债权类资产</w:t>
      </w:r>
      <w:r>
        <w:rPr>
          <w:rFonts w:hint="eastAsia" w:ascii="楷体" w:hAnsi="楷体" w:eastAsia="楷体"/>
          <w:sz w:val="21"/>
          <w:szCs w:val="21"/>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投资合作机构</w:t>
      </w:r>
    </w:p>
    <w:p>
      <w:pPr>
        <w:numPr>
          <w:ilvl w:val="0"/>
          <w:numId w:val="0"/>
        </w:numPr>
        <w:ind w:firstLine="420" w:firstLineChars="200"/>
        <w:rPr>
          <w:rFonts w:hint="eastAsia" w:ascii="楷体" w:hAnsi="楷体" w:eastAsia="楷体"/>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r>
        <w:rPr>
          <w:rFonts w:hint="eastAsia" w:ascii="楷体" w:hAnsi="楷体" w:eastAsia="楷体"/>
          <w:sz w:val="21"/>
          <w:szCs w:val="21"/>
        </w:rPr>
        <w:t>：</w:t>
      </w:r>
    </w:p>
    <w:p>
      <w:pPr>
        <w:ind w:firstLine="420" w:firstLineChars="200"/>
        <w:rPr>
          <w:rFonts w:hint="eastAsia" w:ascii="楷体" w:hAnsi="楷体" w:eastAsia="楷体"/>
          <w:b w:val="0"/>
          <w:bCs w:val="0"/>
          <w:sz w:val="21"/>
          <w:szCs w:val="21"/>
        </w:rPr>
      </w:pP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1 \* GB3 \* MERGEFORMAT </w:instrText>
      </w:r>
      <w:r>
        <w:rPr>
          <w:rFonts w:hint="default" w:ascii="Calibri" w:hAnsi="Calibri" w:eastAsia="楷体" w:cs="Calibri"/>
          <w:b w:val="0"/>
          <w:bCs w:val="0"/>
          <w:sz w:val="21"/>
          <w:szCs w:val="21"/>
        </w:rPr>
        <w:fldChar w:fldCharType="separate"/>
      </w:r>
      <w:r>
        <w:t>①</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江苏省国际信托有限责任公司</w:t>
      </w:r>
      <w:r>
        <w:rPr>
          <w:rFonts w:hint="eastAsia" w:ascii="楷体" w:hAnsi="楷体" w:eastAsia="楷体"/>
          <w:b w:val="0"/>
          <w:bCs w:val="0"/>
          <w:sz w:val="21"/>
          <w:szCs w:val="21"/>
          <w:lang w:eastAsia="zh-CN"/>
        </w:rPr>
        <w:t>：</w:t>
      </w:r>
      <w:r>
        <w:rPr>
          <w:rFonts w:hint="eastAsia" w:ascii="楷体" w:hAnsi="楷体" w:eastAsia="楷体"/>
          <w:b w:val="0"/>
          <w:bCs w:val="0"/>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ascii="楷体" w:hAnsi="楷体" w:eastAsia="楷体"/>
          <w:b w:val="0"/>
          <w:bCs w:val="0"/>
          <w:sz w:val="21"/>
          <w:szCs w:val="21"/>
        </w:rPr>
      </w:pP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2 \* GB3 \* MERGEFORMAT </w:instrText>
      </w:r>
      <w:r>
        <w:rPr>
          <w:rFonts w:hint="default" w:ascii="Calibri" w:hAnsi="Calibri" w:eastAsia="楷体" w:cs="Calibri"/>
          <w:b w:val="0"/>
          <w:bCs w:val="0"/>
          <w:sz w:val="21"/>
          <w:szCs w:val="21"/>
        </w:rPr>
        <w:fldChar w:fldCharType="separate"/>
      </w:r>
      <w:r>
        <w:t>②</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创金合信基金管理有限公司</w:t>
      </w:r>
      <w:r>
        <w:rPr>
          <w:rFonts w:hint="eastAsia" w:ascii="楷体" w:hAnsi="楷体" w:eastAsia="楷体"/>
          <w:b w:val="0"/>
          <w:bCs w:val="0"/>
          <w:sz w:val="21"/>
          <w:szCs w:val="21"/>
          <w:lang w:eastAsia="zh-CN"/>
        </w:rPr>
        <w:t>：</w:t>
      </w:r>
      <w:r>
        <w:rPr>
          <w:rFonts w:ascii="楷体" w:hAnsi="楷体" w:eastAsia="楷体"/>
          <w:b w:val="0"/>
          <w:bCs w:val="0"/>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b w:val="0"/>
          <w:bCs w:val="0"/>
          <w:sz w:val="21"/>
          <w:szCs w:val="21"/>
          <w:lang w:val="en-US" w:eastAsia="zh-CN"/>
        </w:rPr>
      </w:pP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3 \* GB3 \* MERGEFORMAT </w:instrText>
      </w:r>
      <w:r>
        <w:rPr>
          <w:rFonts w:hint="default" w:ascii="Calibri" w:hAnsi="Calibri" w:eastAsia="楷体" w:cs="Calibri"/>
          <w:b w:val="0"/>
          <w:bCs w:val="0"/>
          <w:sz w:val="21"/>
          <w:szCs w:val="21"/>
        </w:rPr>
        <w:fldChar w:fldCharType="separate"/>
      </w:r>
      <w:r>
        <w:t>③</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lang w:val="en-US" w:eastAsia="zh-CN"/>
        </w:rPr>
        <w:t>华鑫国际信托有限公司：华鑫国际信托有限公司于2010年2月获得中国银行业监督管理委员会批准重新登记，并于同年3月正式挂牌开业，实际控制人为中国华电集团有限公司，注册资本73.95亿元。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b w:val="0"/>
          <w:bCs w:val="0"/>
          <w:sz w:val="21"/>
          <w:szCs w:val="21"/>
          <w:lang w:val="en-US" w:eastAsia="zh-CN"/>
        </w:rPr>
      </w:pPr>
      <w:r>
        <w:rPr>
          <w:rFonts w:ascii="楷体" w:hAnsi="楷体" w:eastAsia="楷体"/>
          <w:b w:val="0"/>
          <w:bCs w:val="0"/>
          <w:sz w:val="21"/>
          <w:szCs w:val="21"/>
        </w:rPr>
        <w:fldChar w:fldCharType="begin"/>
      </w:r>
      <w:r>
        <w:rPr>
          <w:rFonts w:ascii="楷体" w:hAnsi="楷体" w:eastAsia="楷体"/>
          <w:b w:val="0"/>
          <w:bCs w:val="0"/>
          <w:sz w:val="21"/>
          <w:szCs w:val="21"/>
        </w:rPr>
        <w:instrText xml:space="preserve"> = 4 \* GB3 \* MERGEFORMAT </w:instrText>
      </w:r>
      <w:r>
        <w:rPr>
          <w:rFonts w:ascii="楷体" w:hAnsi="楷体" w:eastAsia="楷体"/>
          <w:b w:val="0"/>
          <w:bCs w:val="0"/>
          <w:sz w:val="21"/>
          <w:szCs w:val="21"/>
        </w:rPr>
        <w:fldChar w:fldCharType="separate"/>
      </w:r>
      <w:r>
        <w:t>④</w:t>
      </w:r>
      <w:r>
        <w:rPr>
          <w:rFonts w:ascii="楷体" w:hAnsi="楷体" w:eastAsia="楷体"/>
          <w:b w:val="0"/>
          <w:bCs w:val="0"/>
          <w:sz w:val="21"/>
          <w:szCs w:val="21"/>
        </w:rPr>
        <w:fldChar w:fldCharType="end"/>
      </w:r>
      <w:r>
        <w:rPr>
          <w:rFonts w:hint="eastAsia" w:ascii="楷体" w:hAnsi="楷体" w:eastAsia="楷体"/>
          <w:b w:val="0"/>
          <w:bCs w:val="0"/>
          <w:sz w:val="21"/>
          <w:szCs w:val="21"/>
          <w:lang w:val="en-US" w:eastAsia="zh-CN"/>
        </w:rPr>
        <w:t>中国国际金融股份有限公司：中国国际金融股份有限公司于1995年7月31日成立，实际控制人为中央汇金投资有限责任公司，注册资本4,827,256,868元。</w:t>
      </w:r>
    </w:p>
    <w:p>
      <w:pPr>
        <w:ind w:firstLine="420" w:firstLineChars="200"/>
        <w:rPr>
          <w:rFonts w:hint="eastAsia" w:ascii="楷体" w:hAnsi="楷体" w:eastAsia="楷体"/>
          <w:b w:val="0"/>
          <w:bCs w:val="0"/>
          <w:sz w:val="21"/>
          <w:szCs w:val="21"/>
          <w:lang w:val="en-US" w:eastAsia="zh-CN"/>
        </w:rPr>
      </w:pP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5 \* GB3 \* MERGEFORMAT </w:instrText>
      </w:r>
      <w:r>
        <w:rPr>
          <w:rFonts w:hint="eastAsia" w:ascii="楷体" w:hAnsi="楷体" w:eastAsia="楷体"/>
          <w:b w:val="0"/>
          <w:bCs w:val="0"/>
          <w:sz w:val="21"/>
          <w:szCs w:val="21"/>
          <w:lang w:val="en-US" w:eastAsia="zh-CN"/>
        </w:rPr>
        <w:fldChar w:fldCharType="separate"/>
      </w:r>
      <w:r>
        <w:t>⑤</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b w:val="0"/>
          <w:bCs w:val="0"/>
          <w:sz w:val="21"/>
          <w:szCs w:val="21"/>
          <w:lang w:val="en-US" w:eastAsia="zh-CN"/>
        </w:rPr>
      </w:pP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6 \* GB3 \* MERGEFORMAT </w:instrText>
      </w:r>
      <w:r>
        <w:rPr>
          <w:rFonts w:hint="eastAsia" w:ascii="楷体" w:hAnsi="楷体" w:eastAsia="楷体"/>
          <w:b w:val="0"/>
          <w:bCs w:val="0"/>
          <w:sz w:val="21"/>
          <w:szCs w:val="21"/>
          <w:lang w:val="en-US" w:eastAsia="zh-CN"/>
        </w:rPr>
        <w:fldChar w:fldCharType="separate"/>
      </w:r>
      <w:r>
        <w:t>⑥</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b w:val="0"/>
          <w:bCs w:val="0"/>
          <w:sz w:val="21"/>
          <w:szCs w:val="21"/>
          <w:lang w:val="en-US" w:eastAsia="zh-CN"/>
        </w:rPr>
      </w:pP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7 \* GB3 \* MERGEFORMAT </w:instrText>
      </w:r>
      <w:r>
        <w:rPr>
          <w:rFonts w:hint="eastAsia" w:ascii="楷体" w:hAnsi="楷体" w:eastAsia="楷体"/>
          <w:b w:val="0"/>
          <w:bCs w:val="0"/>
          <w:sz w:val="21"/>
          <w:szCs w:val="21"/>
          <w:lang w:val="en-US" w:eastAsia="zh-CN"/>
        </w:rPr>
        <w:fldChar w:fldCharType="separate"/>
      </w:r>
      <w:r>
        <w:t>⑦</w:t>
      </w:r>
      <w:r>
        <w:rPr>
          <w:rFonts w:hint="eastAsia" w:ascii="楷体" w:hAnsi="楷体" w:eastAsia="楷体"/>
          <w:b w:val="0"/>
          <w:bCs w:val="0"/>
          <w:sz w:val="21"/>
          <w:szCs w:val="21"/>
          <w:lang w:val="en-US" w:eastAsia="zh-CN"/>
        </w:rPr>
        <w:fldChar w:fldCharType="end"/>
      </w:r>
      <w:r>
        <w:rPr>
          <w:rFonts w:hint="default" w:ascii="楷体" w:hAnsi="楷体" w:eastAsia="楷体"/>
          <w:b w:val="0"/>
          <w:bCs w:val="0"/>
          <w:sz w:val="21"/>
          <w:szCs w:val="21"/>
          <w:lang w:val="en-US" w:eastAsia="zh-CN"/>
        </w:rPr>
        <w:t>南方资本管理有限公司</w:t>
      </w:r>
      <w:r>
        <w:rPr>
          <w:rFonts w:hint="eastAsia" w:ascii="楷体" w:hAnsi="楷体" w:eastAsia="楷体"/>
          <w:b w:val="0"/>
          <w:bCs w:val="0"/>
          <w:sz w:val="21"/>
          <w:szCs w:val="21"/>
          <w:lang w:val="en-US" w:eastAsia="zh-CN"/>
        </w:rPr>
        <w:t>：</w:t>
      </w:r>
      <w:r>
        <w:rPr>
          <w:rFonts w:hint="default" w:ascii="楷体" w:hAnsi="楷体" w:eastAsia="楷体"/>
          <w:b w:val="0"/>
          <w:bCs w:val="0"/>
          <w:sz w:val="21"/>
          <w:szCs w:val="21"/>
          <w:lang w:val="en-US" w:eastAsia="zh-CN"/>
        </w:rPr>
        <w:t>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针对上述第1、2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超过140%。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 个工作日内持有不低于产品资产净值5%的现金或者到期日在一年以内的国债、中央银行票据和政策性金融债券。</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w:t>
      </w:r>
      <w:r>
        <w:rPr>
          <w:rFonts w:hint="eastAsia" w:ascii="楷体" w:hAnsi="楷体" w:eastAsia="楷体" w:cs="Calibri"/>
          <w:b w:val="0"/>
          <w:bCs/>
          <w:sz w:val="21"/>
          <w:szCs w:val="21"/>
          <w:lang w:val="en-US" w:eastAsia="zh-CN"/>
        </w:rPr>
        <w:t>管理</w:t>
      </w:r>
      <w:r>
        <w:rPr>
          <w:rFonts w:hint="eastAsia" w:ascii="楷体" w:hAnsi="楷体" w:eastAsia="楷体" w:cs="Calibri"/>
          <w:b w:val="0"/>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ascii="楷体" w:hAnsi="楷体" w:eastAsia="楷体"/>
          <w:sz w:val="21"/>
          <w:szCs w:val="21"/>
          <w:highlight w:val="none"/>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sz w:val="21"/>
          <w:szCs w:val="21"/>
          <w:highlight w:val="none"/>
          <w:lang w:val="en-US" w:eastAsia="zh-CN"/>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numPr>
          <w:ilvl w:val="-1"/>
          <w:numId w:val="0"/>
        </w:numPr>
        <w:ind w:left="0" w:firstLine="420" w:firstLineChars="20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lang w:val="en-US" w:eastAsia="zh-CN"/>
        </w:rPr>
        <w:t>认购份额=认购金额/产品份额面值，认购份额以四舍五入的方法保留到小数点后两位。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sz w:val="21"/>
          <w:szCs w:val="21"/>
        </w:rPr>
      </w:pPr>
      <w:r>
        <w:rPr>
          <w:rFonts w:hint="eastAsia" w:ascii="楷体" w:hAnsi="楷体" w:eastAsia="楷体"/>
          <w:b/>
          <w:sz w:val="21"/>
          <w:szCs w:val="21"/>
          <w:highlight w:val="none"/>
        </w:rPr>
        <w:t>产品申购、赎回</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投资周期、开放计划</w:t>
      </w:r>
    </w:p>
    <w:p>
      <w:pPr>
        <w:ind w:firstLine="420" w:firstLineChars="200"/>
        <w:rPr>
          <w:rFonts w:hint="eastAsia" w:ascii="楷体" w:hAnsi="楷体" w:eastAsia="楷体"/>
          <w:sz w:val="21"/>
          <w:szCs w:val="21"/>
        </w:rPr>
      </w:pPr>
      <w:r>
        <w:rPr>
          <w:rFonts w:hint="eastAsia" w:ascii="楷体" w:hAnsi="楷体" w:eastAsia="楷体"/>
          <w:sz w:val="21"/>
          <w:szCs w:val="21"/>
        </w:rPr>
        <w:t>本产品在每个投资周期结束前设置开放计划，时间为投资周期终止日前</w:t>
      </w:r>
      <w:r>
        <w:rPr>
          <w:rFonts w:hint="eastAsia" w:ascii="楷体" w:hAnsi="楷体" w:eastAsia="楷体"/>
          <w:sz w:val="21"/>
          <w:szCs w:val="21"/>
          <w:highlight w:val="none"/>
          <w:lang w:val="en-US" w:eastAsia="zh-CN"/>
        </w:rPr>
        <w:t>7</w:t>
      </w:r>
      <w:r>
        <w:rPr>
          <w:rFonts w:hint="eastAsia" w:ascii="楷体" w:hAnsi="楷体" w:eastAsia="楷体"/>
          <w:sz w:val="21"/>
          <w:szCs w:val="21"/>
          <w:lang w:val="en-US" w:eastAsia="zh-CN"/>
        </w:rPr>
        <w:t>个工作</w:t>
      </w:r>
      <w:r>
        <w:rPr>
          <w:rFonts w:hint="eastAsia" w:ascii="楷体" w:hAnsi="楷体" w:eastAsia="楷体"/>
          <w:sz w:val="21"/>
          <w:szCs w:val="21"/>
        </w:rPr>
        <w:t>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u w:val="single"/>
        </w:rPr>
        <w:t>除开放计划外的其他时间，管理人不接受投资者申购、赎回申请。</w:t>
      </w:r>
      <w:r>
        <w:rPr>
          <w:rFonts w:hint="eastAsia" w:ascii="楷体" w:hAnsi="楷体" w:eastAsia="楷体" w:cs="Calibri"/>
          <w:sz w:val="21"/>
          <w:szCs w:val="21"/>
        </w:rPr>
        <w:t>后续投资周期及开放计划受资产运作情况、节假日安排等要素限制，管理人将在每个投资周期结束前通过本理财产品说明书约定的方式披露下一周期开放计划。</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申购、赎回的规则</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申购、赎回的原则：投资者必须在产品开放计划内提出申购、赎回申请</w:t>
      </w:r>
      <w:r>
        <w:rPr>
          <w:rFonts w:hint="eastAsia" w:ascii="楷体" w:hAnsi="楷体" w:eastAsia="楷体" w:cs="Calibri"/>
          <w:sz w:val="21"/>
          <w:szCs w:val="21"/>
          <w:lang w:eastAsia="zh-CN"/>
        </w:rPr>
        <w:t>，</w:t>
      </w:r>
      <w:r>
        <w:rPr>
          <w:rFonts w:hint="eastAsia" w:ascii="楷体" w:hAnsi="楷体" w:eastAsia="楷体" w:cs="Calibri"/>
          <w:sz w:val="21"/>
          <w:szCs w:val="21"/>
        </w:rPr>
        <w:t>采用金额申购、份额赎回的原则，即申购以金额申请，赎回以份额申请。投资者提出申购申请时，须备足购买资金</w:t>
      </w:r>
      <w:r>
        <w:rPr>
          <w:rFonts w:hint="eastAsia" w:ascii="楷体" w:hAnsi="楷体" w:eastAsia="楷体" w:cs="Calibri"/>
          <w:sz w:val="21"/>
          <w:szCs w:val="21"/>
          <w:lang w:val="en-US" w:eastAsia="zh-CN"/>
        </w:rPr>
        <w:t>；</w:t>
      </w:r>
      <w:r>
        <w:rPr>
          <w:rFonts w:hint="eastAsia" w:ascii="楷体" w:hAnsi="楷体" w:eastAsia="楷体" w:cs="Calibri"/>
          <w:sz w:val="21"/>
          <w:szCs w:val="21"/>
        </w:rPr>
        <w:t>投资者提出赎回申请时，须有足够的理财产品份额余额。在开放计划内提交的申购/赎回申请可以在产品开放日</w:t>
      </w:r>
      <w:r>
        <w:rPr>
          <w:rFonts w:hint="eastAsia" w:ascii="楷体" w:hAnsi="楷体" w:eastAsia="楷体" w:cs="Calibri"/>
          <w:sz w:val="21"/>
          <w:szCs w:val="21"/>
          <w:lang w:val="en-US" w:eastAsia="zh-CN"/>
        </w:rPr>
        <w:t>闭市</w:t>
      </w:r>
      <w:r>
        <w:rPr>
          <w:rFonts w:hint="eastAsia" w:ascii="楷体" w:hAnsi="楷体" w:eastAsia="楷体" w:cs="Calibri"/>
          <w:sz w:val="21"/>
          <w:szCs w:val="21"/>
        </w:rPr>
        <w:t>前撤销，之后不得撤销。</w:t>
      </w:r>
      <w:r>
        <w:rPr>
          <w:rFonts w:hint="eastAsia" w:ascii="楷体" w:hAnsi="楷体" w:eastAsia="楷体"/>
          <w:sz w:val="21"/>
          <w:szCs w:val="21"/>
        </w:rPr>
        <w:t>（</w:t>
      </w:r>
      <w:r>
        <w:rPr>
          <w:rFonts w:hint="eastAsia" w:ascii="楷体" w:hAnsi="楷体" w:eastAsia="楷体" w:cs="Calibri"/>
          <w:sz w:val="21"/>
          <w:szCs w:val="21"/>
          <w:lang w:val="en-US" w:eastAsia="zh-CN"/>
        </w:rPr>
        <w:t>闭市时间</w:t>
      </w:r>
      <w:r>
        <w:rPr>
          <w:rFonts w:hint="eastAsia" w:ascii="楷体" w:hAnsi="楷体" w:eastAsia="楷体"/>
          <w:sz w:val="21"/>
          <w:szCs w:val="21"/>
        </w:rPr>
        <w:t>以各销售机构设置为准）</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投资者赎回资金将在确认日后2个工作日内到达投资者资金账户。</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申购份额的计算</w:t>
      </w:r>
    </w:p>
    <w:p>
      <w:pPr>
        <w:ind w:firstLine="420" w:firstLineChars="200"/>
        <w:rPr>
          <w:rFonts w:hint="eastAsia" w:ascii="楷体" w:hAnsi="楷体" w:eastAsia="楷体"/>
          <w:sz w:val="21"/>
          <w:szCs w:val="21"/>
        </w:rPr>
      </w:pPr>
      <w:r>
        <w:rPr>
          <w:rFonts w:hint="eastAsia" w:ascii="楷体" w:hAnsi="楷体" w:eastAsia="楷体"/>
          <w:sz w:val="21"/>
          <w:szCs w:val="21"/>
        </w:rPr>
        <w:t>申购份额=申购金额/开放日产品单位净值</w:t>
      </w:r>
      <w:r>
        <w:rPr>
          <w:rFonts w:hint="eastAsia" w:ascii="楷体" w:hAnsi="楷体" w:eastAsia="楷体"/>
          <w:sz w:val="21"/>
          <w:szCs w:val="21"/>
          <w:lang w:eastAsia="zh-CN"/>
        </w:rPr>
        <w:t>，</w:t>
      </w:r>
      <w:r>
        <w:rPr>
          <w:rFonts w:hint="eastAsia" w:ascii="楷体" w:hAnsi="楷体" w:eastAsia="楷体"/>
          <w:sz w:val="21"/>
          <w:szCs w:val="21"/>
        </w:rPr>
        <w:t>申购份额以四舍五入的方法保留到小数点后两位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赎回金额的计算</w:t>
      </w:r>
    </w:p>
    <w:p>
      <w:pPr>
        <w:ind w:firstLine="420" w:firstLineChars="200"/>
        <w:rPr>
          <w:rFonts w:hint="eastAsia" w:ascii="楷体" w:hAnsi="楷体" w:eastAsia="楷体"/>
          <w:sz w:val="21"/>
          <w:szCs w:val="21"/>
        </w:rPr>
      </w:pPr>
      <w:r>
        <w:rPr>
          <w:rFonts w:hint="eastAsia" w:ascii="楷体" w:hAnsi="楷体" w:eastAsia="楷体"/>
          <w:sz w:val="21"/>
          <w:szCs w:val="21"/>
        </w:rPr>
        <w:t>赎回金额=赎回份额*开放日产品单位净值</w:t>
      </w:r>
      <w:r>
        <w:rPr>
          <w:rFonts w:hint="eastAsia" w:ascii="楷体" w:hAnsi="楷体" w:eastAsia="楷体"/>
          <w:sz w:val="21"/>
          <w:szCs w:val="21"/>
          <w:lang w:val="en-US" w:eastAsia="zh-CN"/>
        </w:rPr>
        <w:t>-超额业绩报酬（如有）</w:t>
      </w:r>
      <w:r>
        <w:rPr>
          <w:rFonts w:hint="eastAsia" w:ascii="楷体" w:hAnsi="楷体" w:eastAsia="楷体"/>
          <w:sz w:val="21"/>
          <w:szCs w:val="21"/>
          <w:lang w:eastAsia="zh-CN"/>
        </w:rPr>
        <w:t>，</w:t>
      </w:r>
      <w:r>
        <w:rPr>
          <w:rFonts w:hint="eastAsia" w:ascii="楷体" w:hAnsi="楷体" w:eastAsia="楷体"/>
          <w:sz w:val="21"/>
          <w:szCs w:val="21"/>
        </w:rPr>
        <w:t>赎回金额以四舍五入的方法保留到小数点后两位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巨额赎回</w:t>
      </w:r>
      <w:r>
        <w:rPr>
          <w:rFonts w:hint="eastAsia" w:ascii="楷体" w:hAnsi="楷体" w:eastAsia="楷体" w:cs="Calibri"/>
          <w:b w:val="0"/>
          <w:bCs/>
          <w:sz w:val="21"/>
          <w:szCs w:val="21"/>
          <w:lang w:eastAsia="zh-CN"/>
        </w:rPr>
        <w:t>：</w:t>
      </w:r>
      <w:r>
        <w:rPr>
          <w:rFonts w:hint="eastAsia" w:ascii="楷体" w:hAnsi="楷体" w:eastAsia="楷体" w:cs="Calibri"/>
          <w:b w:val="0"/>
          <w:bCs/>
          <w:sz w:val="21"/>
          <w:szCs w:val="21"/>
          <w:lang w:val="en-US" w:eastAsia="zh-CN"/>
        </w:rPr>
        <w:t>详见“产品要素”</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特殊情形及处理</w:t>
      </w:r>
    </w:p>
    <w:p>
      <w:pPr>
        <w:ind w:firstLine="420" w:firstLineChars="200"/>
        <w:rPr>
          <w:rFonts w:ascii="楷体" w:hAnsi="楷体" w:eastAsia="楷体"/>
          <w:b w:val="0"/>
          <w:bCs w:val="0"/>
          <w:sz w:val="21"/>
          <w:szCs w:val="21"/>
        </w:rPr>
      </w:pPr>
      <w:r>
        <w:rPr>
          <w:rFonts w:ascii="楷体" w:hAnsi="楷体" w:eastAsia="楷体"/>
          <w:b w:val="0"/>
          <w:bCs w:val="0"/>
          <w:sz w:val="21"/>
          <w:szCs w:val="21"/>
        </w:rPr>
        <w:t>1.</w:t>
      </w:r>
      <w:r>
        <w:rPr>
          <w:rFonts w:hint="eastAsia" w:ascii="楷体" w:hAnsi="楷体" w:eastAsia="楷体"/>
          <w:b w:val="0"/>
          <w:bCs w:val="0"/>
          <w:sz w:val="21"/>
          <w:szCs w:val="21"/>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rPr>
      </w:pPr>
      <w:r>
        <w:rPr>
          <w:rFonts w:hint="eastAsia" w:ascii="楷体" w:hAnsi="楷体" w:eastAsia="楷体" w:cs="Calibri"/>
          <w:sz w:val="21"/>
          <w:szCs w:val="21"/>
        </w:rPr>
        <w:t>（1）不可抗力的原因导致产品无法正常运作</w:t>
      </w:r>
      <w:r>
        <w:rPr>
          <w:rFonts w:hint="eastAsia" w:ascii="楷体" w:hAnsi="楷体" w:eastAsia="楷体" w:cs="Calibri"/>
          <w:sz w:val="21"/>
          <w:szCs w:val="21"/>
          <w:lang w:eastAsia="zh-CN"/>
        </w:rPr>
        <w:t>；</w:t>
      </w:r>
      <w:r>
        <w:rPr>
          <w:rFonts w:hint="eastAsia" w:ascii="楷体" w:hAnsi="楷体" w:eastAsia="楷体" w:cs="Calibri"/>
          <w:sz w:val="21"/>
          <w:szCs w:val="21"/>
        </w:rPr>
        <w:t>（2）超出产品单一投资者持有上限</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3</w:t>
      </w:r>
      <w:r>
        <w:rPr>
          <w:rFonts w:hint="eastAsia" w:ascii="楷体" w:hAnsi="楷体" w:eastAsia="楷体" w:cs="Calibri"/>
          <w:sz w:val="21"/>
          <w:szCs w:val="21"/>
        </w:rPr>
        <w:t>）发生《理财产品说明书》约定的暂停估值的情形</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4</w:t>
      </w:r>
      <w:r>
        <w:rPr>
          <w:rFonts w:hint="eastAsia" w:ascii="楷体" w:hAnsi="楷体" w:eastAsia="楷体" w:cs="Calibri"/>
          <w:sz w:val="21"/>
          <w:szCs w:val="21"/>
        </w:rPr>
        <w:t>）管理人接受某笔或者某些申购申请有可能导致单一投资者持有理财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份额的比例达到或者超过50%的情形</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5</w:t>
      </w:r>
      <w:r>
        <w:rPr>
          <w:rFonts w:hint="eastAsia" w:ascii="楷体" w:hAnsi="楷体" w:eastAsia="楷体" w:cs="Calibri"/>
          <w:sz w:val="21"/>
          <w:szCs w:val="21"/>
        </w:rPr>
        <w:t>）当接受某笔或某些申购申请可能对存量理财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份额持有人利益构成潜在重大不利影响时</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6</w:t>
      </w:r>
      <w:r>
        <w:rPr>
          <w:rFonts w:hint="eastAsia" w:ascii="楷体" w:hAnsi="楷体" w:eastAsia="楷体" w:cs="Calibri"/>
          <w:sz w:val="21"/>
          <w:szCs w:val="21"/>
        </w:rPr>
        <w:t>）法律、法规规定认定的其他情形。</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若管理人决定拒绝接</w:t>
      </w:r>
      <w:bookmarkStart w:id="0" w:name="_GoBack"/>
      <w:bookmarkEnd w:id="0"/>
      <w:r>
        <w:rPr>
          <w:rFonts w:hint="eastAsia" w:ascii="楷体" w:hAnsi="楷体" w:eastAsia="楷体" w:cs="Calibri"/>
          <w:sz w:val="21"/>
          <w:szCs w:val="21"/>
        </w:rPr>
        <w:t>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rPr>
      </w:pPr>
      <w:r>
        <w:rPr>
          <w:rFonts w:ascii="楷体" w:hAnsi="楷体" w:eastAsia="楷体"/>
          <w:b w:val="0"/>
          <w:bCs w:val="0"/>
          <w:sz w:val="21"/>
          <w:szCs w:val="21"/>
        </w:rPr>
        <w:t>2.</w:t>
      </w:r>
      <w:r>
        <w:rPr>
          <w:rFonts w:hint="eastAsia" w:ascii="楷体" w:hAnsi="楷体" w:eastAsia="楷体"/>
          <w:b w:val="0"/>
          <w:bCs w:val="0"/>
          <w:sz w:val="21"/>
          <w:szCs w:val="21"/>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（1）不可抗力的原因导致管理人不能支付赎回款项</w:t>
      </w:r>
      <w:r>
        <w:rPr>
          <w:rFonts w:hint="eastAsia" w:ascii="楷体" w:hAnsi="楷体" w:eastAsia="楷体" w:cs="Calibri"/>
          <w:sz w:val="21"/>
          <w:szCs w:val="21"/>
          <w:lang w:eastAsia="zh-CN"/>
        </w:rPr>
        <w:t>；</w:t>
      </w:r>
      <w:r>
        <w:rPr>
          <w:rFonts w:hint="eastAsia" w:ascii="楷体" w:hAnsi="楷体" w:eastAsia="楷体" w:cs="Calibri"/>
          <w:sz w:val="21"/>
          <w:szCs w:val="21"/>
        </w:rPr>
        <w:t>（2）触发巨额赎回条款</w:t>
      </w:r>
      <w:r>
        <w:rPr>
          <w:rFonts w:hint="eastAsia" w:ascii="楷体" w:hAnsi="楷体" w:eastAsia="楷体" w:cs="Calibri"/>
          <w:sz w:val="21"/>
          <w:szCs w:val="21"/>
          <w:lang w:eastAsia="zh-CN"/>
        </w:rPr>
        <w:t>；</w:t>
      </w:r>
      <w:r>
        <w:rPr>
          <w:rFonts w:hint="eastAsia" w:ascii="楷体" w:hAnsi="楷体" w:eastAsia="楷体" w:cs="Calibri"/>
          <w:sz w:val="21"/>
          <w:szCs w:val="21"/>
        </w:rPr>
        <w:t>（3）发生《理财产品说明书》约定的暂停估值的情形</w:t>
      </w:r>
      <w:r>
        <w:rPr>
          <w:rFonts w:hint="eastAsia" w:ascii="楷体" w:hAnsi="楷体" w:eastAsia="楷体" w:cs="Calibri"/>
          <w:sz w:val="21"/>
          <w:szCs w:val="21"/>
          <w:lang w:eastAsia="zh-CN"/>
        </w:rPr>
        <w:t>；</w:t>
      </w:r>
      <w:r>
        <w:rPr>
          <w:rFonts w:hint="eastAsia" w:ascii="楷体" w:hAnsi="楷体" w:eastAsia="楷体" w:cs="Calibri"/>
          <w:sz w:val="21"/>
          <w:szCs w:val="21"/>
        </w:rPr>
        <w:t>（4）当接受某笔或某些赎回申请可能对存量理财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份额持有人利益构成潜在重大不利影响时</w:t>
      </w:r>
      <w:r>
        <w:rPr>
          <w:rFonts w:hint="eastAsia" w:ascii="楷体" w:hAnsi="楷体" w:eastAsia="楷体" w:cs="Calibri"/>
          <w:sz w:val="21"/>
          <w:szCs w:val="21"/>
          <w:lang w:eastAsia="zh-CN"/>
        </w:rPr>
        <w:t>；</w:t>
      </w:r>
      <w:r>
        <w:rPr>
          <w:rFonts w:hint="eastAsia" w:ascii="楷体" w:hAnsi="楷体" w:eastAsia="楷体" w:cs="Calibri"/>
          <w:sz w:val="21"/>
          <w:szCs w:val="21"/>
        </w:rPr>
        <w:t>（5）法律、法规规定认定的其他情形。</w:t>
      </w:r>
    </w:p>
    <w:p>
      <w:pPr>
        <w:numPr>
          <w:ilvl w:val="0"/>
          <w:numId w:val="0"/>
        </w:numPr>
        <w:tabs>
          <w:tab w:val="left" w:pos="728"/>
        </w:tabs>
        <w:ind w:firstLine="420" w:firstLineChars="200"/>
        <w:rPr>
          <w:rFonts w:hint="eastAsia" w:ascii="楷体" w:hAnsi="楷体" w:eastAsia="楷体" w:cs="Calibri"/>
          <w:sz w:val="21"/>
          <w:szCs w:val="21"/>
        </w:rPr>
      </w:pPr>
      <w:r>
        <w:rPr>
          <w:rFonts w:hint="eastAsia" w:ascii="楷体" w:hAnsi="楷体" w:eastAsia="楷体" w:cs="Calibri"/>
          <w:sz w:val="21"/>
          <w:szCs w:val="21"/>
        </w:rPr>
        <w:t>若管理人决定</w:t>
      </w:r>
      <w:r>
        <w:rPr>
          <w:rFonts w:hint="eastAsia" w:ascii="楷体" w:hAnsi="楷体" w:eastAsia="楷体"/>
          <w:sz w:val="21"/>
          <w:szCs w:val="21"/>
        </w:rPr>
        <w:t>暂停接受投资者的赎回申请或延缓支付赎回款项</w:t>
      </w:r>
      <w:r>
        <w:rPr>
          <w:rFonts w:hint="eastAsia" w:ascii="楷体" w:hAnsi="楷体" w:eastAsia="楷体" w:cs="Calibri"/>
          <w:sz w:val="21"/>
          <w:szCs w:val="21"/>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rPr>
        <w:t>暂停接受投资者的赎回申请或延缓支付赎回款项的情况消除后</w:t>
      </w:r>
      <w:r>
        <w:rPr>
          <w:rFonts w:hint="eastAsia" w:ascii="楷体" w:hAnsi="楷体" w:eastAsia="楷体" w:cs="Calibri"/>
          <w:sz w:val="21"/>
          <w:szCs w:val="21"/>
        </w:rPr>
        <w:t>，管理人将及时恢复</w:t>
      </w:r>
      <w:r>
        <w:rPr>
          <w:rFonts w:hint="eastAsia" w:ascii="楷体" w:hAnsi="楷体" w:eastAsia="楷体" w:cs="Calibri"/>
          <w:sz w:val="21"/>
          <w:szCs w:val="21"/>
          <w:lang w:val="en-US" w:eastAsia="zh-CN"/>
        </w:rPr>
        <w:t>赎回</w:t>
      </w:r>
      <w:r>
        <w:rPr>
          <w:rFonts w:hint="eastAsia" w:ascii="楷体" w:hAnsi="楷体" w:eastAsia="楷体" w:cs="Calibri"/>
          <w:sz w:val="21"/>
          <w:szCs w:val="21"/>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收益分配</w:t>
      </w:r>
    </w:p>
    <w:p>
      <w:pPr>
        <w:ind w:firstLine="420" w:firstLineChars="200"/>
        <w:rPr>
          <w:rFonts w:hint="eastAsia" w:ascii="楷体" w:hAnsi="楷体" w:eastAsia="楷体"/>
          <w:sz w:val="21"/>
          <w:szCs w:val="21"/>
        </w:rPr>
      </w:pPr>
      <w:r>
        <w:rPr>
          <w:rFonts w:hint="eastAsia" w:ascii="楷体" w:hAnsi="楷体" w:eastAsia="楷体"/>
          <w:sz w:val="21"/>
          <w:szCs w:val="21"/>
        </w:rPr>
        <w:t>本产品</w:t>
      </w:r>
      <w:r>
        <w:rPr>
          <w:rFonts w:hint="eastAsia" w:ascii="楷体" w:hAnsi="楷体" w:eastAsia="楷体"/>
          <w:sz w:val="21"/>
          <w:szCs w:val="21"/>
          <w:lang w:val="en-US" w:eastAsia="zh-CN"/>
        </w:rPr>
        <w:t>计划</w:t>
      </w:r>
      <w:r>
        <w:rPr>
          <w:rFonts w:hint="eastAsia" w:ascii="楷体" w:hAnsi="楷体" w:eastAsia="楷体"/>
          <w:sz w:val="21"/>
          <w:szCs w:val="21"/>
        </w:rPr>
        <w:t>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22" w:firstLineChars="200"/>
        <w:rPr>
          <w:rFonts w:hint="eastAsia" w:ascii="楷体" w:hAnsi="楷体" w:eastAsia="楷体"/>
          <w:sz w:val="21"/>
          <w:szCs w:val="21"/>
          <w:lang w:eastAsia="zh-CN"/>
        </w:rPr>
      </w:pPr>
      <w:r>
        <w:rPr>
          <w:rFonts w:hint="eastAsia" w:ascii="楷体" w:hAnsi="楷体" w:eastAsia="楷体"/>
          <w:b/>
          <w:sz w:val="21"/>
          <w:szCs w:val="21"/>
          <w:u w:val="single"/>
        </w:rPr>
        <w:t>以下示例均为假设情况，不代表本产品实际投资业绩</w:t>
      </w:r>
      <w:r>
        <w:rPr>
          <w:rFonts w:hint="eastAsia" w:ascii="楷体" w:hAnsi="楷体" w:eastAsia="楷体"/>
          <w:b/>
          <w:sz w:val="21"/>
          <w:szCs w:val="21"/>
          <w:u w:val="single"/>
          <w:lang w:eastAsia="zh-CN"/>
        </w:rPr>
        <w:t>。</w:t>
      </w:r>
    </w:p>
    <w:p>
      <w:pPr>
        <w:ind w:firstLine="420" w:firstLineChars="200"/>
        <w:rPr>
          <w:rFonts w:hint="eastAsia" w:ascii="楷体" w:hAnsi="楷体" w:eastAsia="楷体"/>
          <w:sz w:val="21"/>
          <w:szCs w:val="21"/>
        </w:rPr>
      </w:pPr>
      <w:r>
        <w:rPr>
          <w:rFonts w:hint="eastAsia" w:ascii="楷体" w:hAnsi="楷体" w:eastAsia="楷体"/>
          <w:sz w:val="21"/>
          <w:szCs w:val="21"/>
        </w:rPr>
        <w:t>1.情景一</w:t>
      </w:r>
    </w:p>
    <w:p>
      <w:pPr>
        <w:ind w:firstLine="420" w:firstLineChars="200"/>
        <w:rPr>
          <w:rFonts w:hint="eastAsia" w:ascii="楷体" w:hAnsi="楷体" w:eastAsia="楷体"/>
          <w:sz w:val="21"/>
          <w:szCs w:val="21"/>
        </w:rPr>
      </w:pPr>
      <w:r>
        <w:rPr>
          <w:rFonts w:hint="eastAsia" w:ascii="楷体" w:hAnsi="楷体" w:eastAsia="楷体"/>
          <w:sz w:val="21"/>
          <w:szCs w:val="21"/>
        </w:rPr>
        <w:t>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lang w:val="en-US" w:eastAsia="zh-CN"/>
        </w:rPr>
        <w:t>2</w:t>
      </w:r>
      <w:r>
        <w:rPr>
          <w:rFonts w:hint="eastAsia" w:ascii="楷体" w:hAnsi="楷体" w:eastAsia="楷体"/>
          <w:sz w:val="21"/>
          <w:szCs w:val="21"/>
        </w:rPr>
        <w:t>20。理财产品单位净值大于面值，管理人可进行现金分红，每份额可获得的现金分红为0.0</w:t>
      </w:r>
      <w:r>
        <w:rPr>
          <w:rFonts w:hint="eastAsia" w:ascii="楷体" w:hAnsi="楷体" w:eastAsia="楷体"/>
          <w:sz w:val="21"/>
          <w:szCs w:val="21"/>
          <w:lang w:val="en-US" w:eastAsia="zh-CN"/>
        </w:rPr>
        <w:t>2</w:t>
      </w:r>
      <w:r>
        <w:rPr>
          <w:rFonts w:hint="eastAsia" w:ascii="楷体" w:hAnsi="楷体" w:eastAsia="楷体"/>
          <w:sz w:val="21"/>
          <w:szCs w:val="21"/>
        </w:rPr>
        <w:t>20。</w:t>
      </w:r>
    </w:p>
    <w:p>
      <w:pPr>
        <w:ind w:firstLine="420" w:firstLineChars="200"/>
        <w:rPr>
          <w:rFonts w:hint="eastAsia" w:ascii="楷体" w:hAnsi="楷体" w:eastAsia="楷体"/>
          <w:sz w:val="21"/>
          <w:szCs w:val="21"/>
        </w:rPr>
      </w:pPr>
      <w:r>
        <w:rPr>
          <w:rFonts w:hint="eastAsia" w:ascii="楷体" w:hAnsi="楷体" w:eastAsia="楷体"/>
          <w:sz w:val="21"/>
          <w:szCs w:val="21"/>
        </w:rPr>
        <w:t>该投资周期投资者可得分红=10,000.00×0.0</w:t>
      </w:r>
      <w:r>
        <w:rPr>
          <w:rFonts w:hint="eastAsia" w:ascii="楷体" w:hAnsi="楷体" w:eastAsia="楷体"/>
          <w:sz w:val="21"/>
          <w:szCs w:val="21"/>
          <w:lang w:val="en-US" w:eastAsia="zh-CN"/>
        </w:rPr>
        <w:t>2</w:t>
      </w:r>
      <w:r>
        <w:rPr>
          <w:rFonts w:hint="eastAsia" w:ascii="楷体" w:hAnsi="楷体" w:eastAsia="楷体"/>
          <w:sz w:val="21"/>
          <w:szCs w:val="21"/>
        </w:rPr>
        <w:t>20=</w:t>
      </w:r>
      <w:r>
        <w:rPr>
          <w:rFonts w:hint="eastAsia" w:ascii="楷体" w:hAnsi="楷体" w:eastAsia="楷体"/>
          <w:sz w:val="21"/>
          <w:szCs w:val="21"/>
          <w:lang w:val="en-US" w:eastAsia="zh-CN"/>
        </w:rPr>
        <w:t>2</w:t>
      </w:r>
      <w:r>
        <w:rPr>
          <w:rFonts w:hint="eastAsia" w:ascii="楷体" w:hAnsi="楷体" w:eastAsia="楷体"/>
          <w:sz w:val="21"/>
          <w:szCs w:val="21"/>
        </w:rPr>
        <w:t>20.00（元）</w:t>
      </w:r>
    </w:p>
    <w:p>
      <w:pPr>
        <w:ind w:firstLine="420" w:firstLineChars="200"/>
        <w:rPr>
          <w:rFonts w:hint="eastAsia" w:ascii="楷体" w:hAnsi="楷体" w:eastAsia="楷体"/>
          <w:sz w:val="21"/>
          <w:szCs w:val="21"/>
        </w:rPr>
      </w:pPr>
      <w:r>
        <w:rPr>
          <w:rFonts w:hint="eastAsia" w:ascii="楷体" w:hAnsi="楷体" w:eastAsia="楷体"/>
          <w:sz w:val="21"/>
          <w:szCs w:val="21"/>
        </w:rPr>
        <w:t>2.情景二</w:t>
      </w:r>
    </w:p>
    <w:p>
      <w:pPr>
        <w:ind w:firstLine="420" w:firstLineChars="200"/>
        <w:rPr>
          <w:rFonts w:hint="eastAsia" w:ascii="楷体" w:hAnsi="楷体" w:eastAsia="楷体"/>
          <w:sz w:val="21"/>
          <w:szCs w:val="21"/>
        </w:rPr>
      </w:pPr>
      <w:r>
        <w:rPr>
          <w:rFonts w:hint="eastAsia" w:ascii="楷体" w:hAnsi="楷体" w:eastAsia="楷体"/>
          <w:sz w:val="21"/>
          <w:szCs w:val="21"/>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22" w:firstLineChars="200"/>
        <w:rPr>
          <w:rFonts w:hint="eastAsia"/>
          <w:sz w:val="21"/>
          <w:szCs w:val="21"/>
        </w:rPr>
      </w:pPr>
      <w:r>
        <w:rPr>
          <w:rFonts w:hint="eastAsia" w:ascii="楷体" w:hAnsi="楷体" w:eastAsia="楷体"/>
          <w:b/>
          <w:sz w:val="21"/>
          <w:szCs w:val="21"/>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u w:val="single"/>
          <w:lang w:val="en-US" w:eastAsia="zh-CN"/>
        </w:rPr>
        <w:t>收益</w:t>
      </w:r>
      <w:r>
        <w:rPr>
          <w:rFonts w:hint="eastAsia" w:ascii="楷体" w:hAnsi="楷体" w:eastAsia="楷体"/>
          <w:b/>
          <w:sz w:val="21"/>
          <w:szCs w:val="21"/>
          <w:u w:val="single"/>
        </w:rPr>
        <w:t>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产品终止</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延期</w:t>
      </w:r>
      <w:r>
        <w:rPr>
          <w:rFonts w:hint="eastAsia" w:ascii="楷体" w:hAnsi="楷体" w:eastAsia="楷体" w:cs="Calibri"/>
          <w:b w:val="0"/>
          <w:bCs w:val="0"/>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终止</w:t>
      </w:r>
      <w:r>
        <w:rPr>
          <w:rFonts w:hint="eastAsia" w:ascii="楷体" w:hAnsi="楷体" w:eastAsia="楷体" w:cs="Calibri"/>
          <w:b w:val="0"/>
          <w:bCs w:val="0"/>
          <w:color w:val="auto"/>
          <w:sz w:val="21"/>
          <w:szCs w:val="21"/>
        </w:rPr>
        <w:t>清算</w:t>
      </w:r>
    </w:p>
    <w:p>
      <w:pPr>
        <w:widowControl w:val="0"/>
        <w:numPr>
          <w:ilvl w:val="0"/>
          <w:numId w:val="0"/>
        </w:numPr>
        <w:tabs>
          <w:tab w:val="left" w:pos="1092"/>
        </w:tabs>
        <w:jc w:val="both"/>
        <w:rPr>
          <w:rFonts w:hint="eastAsia" w:ascii="楷体" w:hAnsi="楷体" w:eastAsia="楷体" w:cs="Calibri"/>
          <w:color w:val="auto"/>
          <w:sz w:val="21"/>
          <w:szCs w:val="21"/>
          <w:lang w:eastAsia="zh-CN"/>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购买</w:t>
      </w:r>
      <w:r>
        <w:rPr>
          <w:rFonts w:hint="eastAsia" w:ascii="楷体" w:hAnsi="楷体" w:eastAsia="楷体"/>
          <w:color w:val="auto"/>
          <w:sz w:val="21"/>
          <w:szCs w:val="21"/>
        </w:rPr>
        <w:t>本产品，投资金额为10,000.00元，</w:t>
      </w:r>
      <w:r>
        <w:rPr>
          <w:rFonts w:hint="eastAsia" w:ascii="楷体" w:hAnsi="楷体" w:eastAsia="楷体"/>
          <w:color w:val="auto"/>
          <w:sz w:val="21"/>
          <w:szCs w:val="21"/>
          <w:lang w:val="en-US" w:eastAsia="zh-CN"/>
        </w:rPr>
        <w:t>产品单位净值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w:t>
      </w:r>
      <w:r>
        <w:rPr>
          <w:rFonts w:hint="eastAsia" w:ascii="楷体" w:hAnsi="楷体" w:eastAsia="楷体"/>
          <w:color w:val="auto"/>
          <w:sz w:val="21"/>
          <w:szCs w:val="21"/>
          <w:lang w:val="en-US" w:eastAsia="zh-CN"/>
        </w:rPr>
        <w:t>投资者赎回/</w:t>
      </w:r>
      <w:r>
        <w:rPr>
          <w:rFonts w:hint="eastAsia" w:ascii="楷体" w:hAnsi="楷体" w:eastAsia="楷体"/>
          <w:color w:val="auto"/>
          <w:sz w:val="21"/>
          <w:szCs w:val="21"/>
        </w:rPr>
        <w:t>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25503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25503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购买</w:t>
      </w:r>
      <w:r>
        <w:rPr>
          <w:rFonts w:hint="eastAsia" w:ascii="楷体" w:hAnsi="楷体" w:eastAsia="楷体"/>
          <w:color w:val="auto"/>
          <w:sz w:val="21"/>
          <w:szCs w:val="21"/>
        </w:rPr>
        <w:t>本产品，投资金额为10,000.00元，</w:t>
      </w:r>
      <w:r>
        <w:rPr>
          <w:rFonts w:hint="eastAsia" w:ascii="楷体" w:hAnsi="楷体" w:eastAsia="楷体"/>
          <w:color w:val="auto"/>
          <w:sz w:val="21"/>
          <w:szCs w:val="21"/>
          <w:lang w:val="en-US" w:eastAsia="zh-CN"/>
        </w:rPr>
        <w:t>产品单位净值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w:t>
      </w:r>
      <w:r>
        <w:rPr>
          <w:rFonts w:hint="eastAsia" w:ascii="楷体" w:hAnsi="楷体" w:eastAsia="楷体"/>
          <w:color w:val="auto"/>
          <w:sz w:val="21"/>
          <w:szCs w:val="21"/>
          <w:lang w:val="en-US" w:eastAsia="zh-CN"/>
        </w:rPr>
        <w:t>投资者赎回/</w:t>
      </w:r>
      <w:r>
        <w:rPr>
          <w:rFonts w:hint="eastAsia" w:ascii="楷体" w:hAnsi="楷体" w:eastAsia="楷体"/>
          <w:color w:val="auto"/>
          <w:sz w:val="21"/>
          <w:szCs w:val="21"/>
        </w:rPr>
        <w:t>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left="0" w:leftChars="0" w:firstLine="422" w:firstLineChars="200"/>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val="en-US"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cs="Calibri"/>
          <w:b w:val="0"/>
          <w:bCs/>
          <w:sz w:val="21"/>
          <w:szCs w:val="21"/>
        </w:rPr>
      </w:pPr>
      <w:r>
        <w:rPr>
          <w:rFonts w:hint="eastAsia" w:ascii="楷体" w:hAnsi="楷体" w:eastAsia="楷体"/>
          <w:b/>
          <w:sz w:val="21"/>
          <w:szCs w:val="21"/>
        </w:rPr>
        <w:t>产品费用</w:t>
      </w:r>
    </w:p>
    <w:p>
      <w:pPr>
        <w:ind w:firstLine="420" w:firstLineChars="200"/>
        <w:rPr>
          <w:rFonts w:hint="default" w:ascii="楷体" w:hAnsi="楷体" w:eastAsia="楷体" w:cs="Calibri"/>
          <w:b w:val="0"/>
          <w:bCs/>
          <w:sz w:val="21"/>
          <w:szCs w:val="21"/>
          <w:lang w:val="en-US" w:eastAsia="zh-CN"/>
        </w:rPr>
      </w:pPr>
      <w:r>
        <w:rPr>
          <w:rFonts w:hint="eastAsia" w:ascii="楷体" w:hAnsi="楷体" w:eastAsia="楷体"/>
          <w:b w:val="0"/>
          <w:bCs/>
          <w:sz w:val="21"/>
          <w:szCs w:val="21"/>
        </w:rPr>
        <w:t>本产品费用包括托管费、销售服务费、投资管理费、超额业绩报酬（如有）以及产品运作和清算中产生的其他费用等。</w:t>
      </w:r>
      <w:r>
        <w:rPr>
          <w:rFonts w:hint="eastAsia" w:ascii="楷体" w:hAnsi="楷体" w:eastAsia="楷体" w:cs="Calibri"/>
          <w:b w:val="0"/>
          <w:bCs/>
          <w:sz w:val="21"/>
          <w:szCs w:val="21"/>
        </w:rPr>
        <w:t>计提方法</w:t>
      </w:r>
      <w:r>
        <w:rPr>
          <w:rFonts w:hint="eastAsia" w:ascii="楷体" w:hAnsi="楷体" w:eastAsia="楷体" w:cs="Calibri"/>
          <w:b w:val="0"/>
          <w:bCs/>
          <w:sz w:val="21"/>
          <w:szCs w:val="21"/>
          <w:lang w:val="en-US" w:eastAsia="zh-CN"/>
        </w:rPr>
        <w:t>如下：</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：管理人按投资周期收取超额业绩报酬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超额业绩报酬计算详见“产品要素”。</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本产品不收取认购费用、申购费用、赎回费用。</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ind w:firstLine="420" w:firstLineChars="200"/>
        <w:rPr>
          <w:rFonts w:hint="default" w:eastAsia="楷体"/>
          <w:sz w:val="21"/>
          <w:szCs w:val="21"/>
          <w:lang w:val="en-US" w:eastAsia="zh-CN"/>
        </w:rPr>
      </w:pPr>
      <w:r>
        <w:rPr>
          <w:rFonts w:hint="eastAsia" w:ascii="楷体" w:hAnsi="楷体" w:eastAsia="楷体"/>
          <w:sz w:val="21"/>
          <w:szCs w:val="21"/>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产品估值</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rPr>
      </w:pPr>
      <w:r>
        <w:rPr>
          <w:rFonts w:hint="eastAsia" w:ascii="楷体" w:hAnsi="楷体" w:eastAsia="楷体" w:cs="Calibri"/>
          <w:b w:val="0"/>
          <w:bCs/>
          <w:sz w:val="21"/>
          <w:szCs w:val="21"/>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本产品所拥有的各类证券、银行存款、应收款项及其它资产及负债。</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估值要求</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b w:val="0"/>
          <w:bCs w:val="0"/>
          <w:color w:val="auto"/>
          <w:sz w:val="21"/>
          <w:szCs w:val="21"/>
        </w:rPr>
        <w:t>本产品资产估值的目的是客观、准确</w:t>
      </w:r>
      <w:r>
        <w:rPr>
          <w:rFonts w:hint="eastAsia" w:ascii="楷体" w:hAnsi="楷体" w:eastAsia="楷体" w:cs="Calibri"/>
          <w:b w:val="0"/>
          <w:bCs w:val="0"/>
          <w:color w:val="auto"/>
          <w:sz w:val="21"/>
          <w:szCs w:val="21"/>
          <w:lang w:val="en-US" w:eastAsia="zh-CN"/>
        </w:rPr>
        <w:t>地</w:t>
      </w:r>
      <w:r>
        <w:rPr>
          <w:rFonts w:hint="eastAsia" w:ascii="楷体" w:hAnsi="楷体" w:eastAsia="楷体" w:cs="Calibri"/>
          <w:b w:val="0"/>
          <w:bCs w:val="0"/>
          <w:color w:val="auto"/>
          <w:sz w:val="21"/>
          <w:szCs w:val="21"/>
        </w:rPr>
        <w:t>反映资产净值，确定理财产品资产净值，并为理财产品的兑付提供计价依据</w:t>
      </w:r>
      <w:r>
        <w:rPr>
          <w:rFonts w:hint="eastAsia" w:ascii="楷体" w:hAnsi="楷体" w:eastAsia="楷体" w:cs="Calibri"/>
          <w:sz w:val="21"/>
          <w:szCs w:val="21"/>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w:t>
      </w:r>
      <w:r>
        <w:rPr>
          <w:rFonts w:hint="eastAsia" w:ascii="楷体" w:hAnsi="楷体" w:eastAsia="楷体" w:cs="Calibri"/>
          <w:sz w:val="21"/>
          <w:szCs w:val="21"/>
        </w:rPr>
        <w:t>截位。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存款类资产、货币市场工具：以本金列示，逐日计提利息。</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货币市场基金：以估值截止时间点能够取得的最新每万份收益进行估值。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债权类资产：按公允价值进行估值，采用合理的估值技术或监管机构认可的估值方法进行估值。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商品及衍生品类资产：按公允价值进行估值，采用市价、第三方估值机构提供的估值价格、合理的估值技术或监管机构认可的其他估值方法进行估值。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其他资产：按公允价值进行估值，采用合理的估值技术或监管机构认可的估值方法进行估值。</w:t>
      </w:r>
    </w:p>
    <w:p>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sz w:val="21"/>
          <w:szCs w:val="21"/>
        </w:rPr>
      </w:pPr>
      <w:r>
        <w:rPr>
          <w:rFonts w:hint="eastAsia" w:ascii="楷体" w:hAnsi="楷体" w:eastAsia="楷体"/>
          <w:sz w:val="21"/>
          <w:szCs w:val="21"/>
        </w:rPr>
        <w:t>如有新增事项或变更事项，按国家法律法规及监管最新规定执行。</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暂停估值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rPr>
      </w:pPr>
      <w:r>
        <w:rPr>
          <w:rFonts w:hint="eastAsia" w:ascii="楷体" w:hAnsi="楷体" w:eastAsia="楷体"/>
          <w:sz w:val="21"/>
          <w:szCs w:val="21"/>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信息披露</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r>
        <w:rPr>
          <w:rFonts w:hint="eastAsia" w:ascii="楷体" w:hAnsi="楷体" w:eastAsia="楷体" w:cs="Calibri"/>
          <w:color w:val="auto"/>
          <w:sz w:val="21"/>
          <w:szCs w:val="21"/>
        </w:rPr>
        <w:t>。</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其他</w:t>
      </w:r>
    </w:p>
    <w:p>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firstLineChars="200"/>
        <w:jc w:val="left"/>
        <w:rPr>
          <w:rFonts w:hint="eastAsia"/>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471B109"/>
    <w:multiLevelType w:val="multilevel"/>
    <w:tmpl w:val="A471B10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550252B"/>
    <w:multiLevelType w:val="multilevel"/>
    <w:tmpl w:val="A550252B"/>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11AD990"/>
    <w:multiLevelType w:val="multilevel"/>
    <w:tmpl w:val="E11AD99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3CDDB3D"/>
    <w:multiLevelType w:val="multilevel"/>
    <w:tmpl w:val="13CDDB3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D5197BC"/>
    <w:multiLevelType w:val="multilevel"/>
    <w:tmpl w:val="2D5197B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9">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2">
    <w:nsid w:val="542FDF91"/>
    <w:multiLevelType w:val="multilevel"/>
    <w:tmpl w:val="542FDF9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038F410"/>
    <w:multiLevelType w:val="multilevel"/>
    <w:tmpl w:val="7038F41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F17FFC0"/>
    <w:multiLevelType w:val="multilevel"/>
    <w:tmpl w:val="7F17FF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7"/>
  </w:num>
  <w:num w:numId="3">
    <w:abstractNumId w:val="15"/>
  </w:num>
  <w:num w:numId="4">
    <w:abstractNumId w:val="16"/>
  </w:num>
  <w:num w:numId="5">
    <w:abstractNumId w:val="18"/>
  </w:num>
  <w:num w:numId="6">
    <w:abstractNumId w:val="17"/>
  </w:num>
  <w:num w:numId="7">
    <w:abstractNumId w:val="11"/>
  </w:num>
  <w:num w:numId="8">
    <w:abstractNumId w:val="10"/>
  </w:num>
  <w:num w:numId="9">
    <w:abstractNumId w:val="6"/>
  </w:num>
  <w:num w:numId="10">
    <w:abstractNumId w:val="2"/>
  </w:num>
  <w:num w:numId="11">
    <w:abstractNumId w:val="4"/>
  </w:num>
  <w:num w:numId="12">
    <w:abstractNumId w:val="0"/>
  </w:num>
  <w:num w:numId="13">
    <w:abstractNumId w:val="14"/>
  </w:num>
  <w:num w:numId="14">
    <w:abstractNumId w:val="12"/>
  </w:num>
  <w:num w:numId="15">
    <w:abstractNumId w:val="5"/>
  </w:num>
  <w:num w:numId="16">
    <w:abstractNumId w:val="13"/>
  </w:num>
  <w:num w:numId="17">
    <w:abstractNumId w:val="1"/>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CBB"/>
    <w:rsid w:val="00276FCD"/>
    <w:rsid w:val="002A7F52"/>
    <w:rsid w:val="005610EB"/>
    <w:rsid w:val="00B73039"/>
    <w:rsid w:val="00F02299"/>
    <w:rsid w:val="00FD53CA"/>
    <w:rsid w:val="01916153"/>
    <w:rsid w:val="01C11F94"/>
    <w:rsid w:val="01DA571A"/>
    <w:rsid w:val="01F11ABC"/>
    <w:rsid w:val="02342294"/>
    <w:rsid w:val="02394C4E"/>
    <w:rsid w:val="023B31B5"/>
    <w:rsid w:val="02706D07"/>
    <w:rsid w:val="027B1BEB"/>
    <w:rsid w:val="02B04479"/>
    <w:rsid w:val="02BB217A"/>
    <w:rsid w:val="02EE64DC"/>
    <w:rsid w:val="030516AD"/>
    <w:rsid w:val="0362437B"/>
    <w:rsid w:val="03B26B31"/>
    <w:rsid w:val="03E91BF7"/>
    <w:rsid w:val="03FC3F39"/>
    <w:rsid w:val="049E6222"/>
    <w:rsid w:val="04A92EE3"/>
    <w:rsid w:val="05120775"/>
    <w:rsid w:val="0522647B"/>
    <w:rsid w:val="052D480C"/>
    <w:rsid w:val="0537036B"/>
    <w:rsid w:val="05397409"/>
    <w:rsid w:val="05A60B08"/>
    <w:rsid w:val="05AB50DB"/>
    <w:rsid w:val="05C22B02"/>
    <w:rsid w:val="05DF682E"/>
    <w:rsid w:val="06411C20"/>
    <w:rsid w:val="06917613"/>
    <w:rsid w:val="06A93A70"/>
    <w:rsid w:val="06FF25F4"/>
    <w:rsid w:val="07363BBD"/>
    <w:rsid w:val="07770ECE"/>
    <w:rsid w:val="07963995"/>
    <w:rsid w:val="07DC6E8D"/>
    <w:rsid w:val="07DE1B77"/>
    <w:rsid w:val="083C4181"/>
    <w:rsid w:val="08494B4C"/>
    <w:rsid w:val="08545039"/>
    <w:rsid w:val="087E378B"/>
    <w:rsid w:val="08C87576"/>
    <w:rsid w:val="099730C7"/>
    <w:rsid w:val="09BB6FD3"/>
    <w:rsid w:val="09E64105"/>
    <w:rsid w:val="0A1559F0"/>
    <w:rsid w:val="0A3E25DB"/>
    <w:rsid w:val="0AA20035"/>
    <w:rsid w:val="0B3550F2"/>
    <w:rsid w:val="0B471607"/>
    <w:rsid w:val="0B493D92"/>
    <w:rsid w:val="0B521344"/>
    <w:rsid w:val="0B7873E7"/>
    <w:rsid w:val="0BE46D3E"/>
    <w:rsid w:val="0C2A04AF"/>
    <w:rsid w:val="0C383A1B"/>
    <w:rsid w:val="0C3C461F"/>
    <w:rsid w:val="0C8B2263"/>
    <w:rsid w:val="0C8C56A3"/>
    <w:rsid w:val="0CB3468E"/>
    <w:rsid w:val="0D460355"/>
    <w:rsid w:val="0D5044E7"/>
    <w:rsid w:val="0D5B3087"/>
    <w:rsid w:val="0DCA2B2C"/>
    <w:rsid w:val="0DDD75CE"/>
    <w:rsid w:val="0DE6245C"/>
    <w:rsid w:val="0E324ADA"/>
    <w:rsid w:val="0E8C12CF"/>
    <w:rsid w:val="0E9128F5"/>
    <w:rsid w:val="0E995783"/>
    <w:rsid w:val="0EA24D8E"/>
    <w:rsid w:val="0EBD0E3B"/>
    <w:rsid w:val="0EFD7A26"/>
    <w:rsid w:val="0F1B4A58"/>
    <w:rsid w:val="0F1B4AB3"/>
    <w:rsid w:val="0F2D7FC5"/>
    <w:rsid w:val="0FA551A3"/>
    <w:rsid w:val="0FB51B4D"/>
    <w:rsid w:val="0FD22F01"/>
    <w:rsid w:val="100459CF"/>
    <w:rsid w:val="106A7BFD"/>
    <w:rsid w:val="109A102D"/>
    <w:rsid w:val="109E1350"/>
    <w:rsid w:val="109F6DD2"/>
    <w:rsid w:val="10B72620"/>
    <w:rsid w:val="10D208A6"/>
    <w:rsid w:val="11022343"/>
    <w:rsid w:val="111D76A0"/>
    <w:rsid w:val="1137604C"/>
    <w:rsid w:val="1167461D"/>
    <w:rsid w:val="118601D5"/>
    <w:rsid w:val="11C449B6"/>
    <w:rsid w:val="12136ABA"/>
    <w:rsid w:val="121A7943"/>
    <w:rsid w:val="121F3DCB"/>
    <w:rsid w:val="12627D38"/>
    <w:rsid w:val="126807AF"/>
    <w:rsid w:val="126877DE"/>
    <w:rsid w:val="12705D8B"/>
    <w:rsid w:val="1279795D"/>
    <w:rsid w:val="12906DA3"/>
    <w:rsid w:val="12E2190B"/>
    <w:rsid w:val="130762C7"/>
    <w:rsid w:val="130A1945"/>
    <w:rsid w:val="132C05F4"/>
    <w:rsid w:val="133603BC"/>
    <w:rsid w:val="13566046"/>
    <w:rsid w:val="1363315E"/>
    <w:rsid w:val="13813EDF"/>
    <w:rsid w:val="13BA3C51"/>
    <w:rsid w:val="142E3B87"/>
    <w:rsid w:val="147C5095"/>
    <w:rsid w:val="14AE7D5C"/>
    <w:rsid w:val="14EA3140"/>
    <w:rsid w:val="151627A4"/>
    <w:rsid w:val="15250560"/>
    <w:rsid w:val="15452BE9"/>
    <w:rsid w:val="15661276"/>
    <w:rsid w:val="15961DF8"/>
    <w:rsid w:val="15C23F41"/>
    <w:rsid w:val="15D95D65"/>
    <w:rsid w:val="16321C77"/>
    <w:rsid w:val="16452649"/>
    <w:rsid w:val="165A010B"/>
    <w:rsid w:val="1696780D"/>
    <w:rsid w:val="16997C28"/>
    <w:rsid w:val="16DB02E7"/>
    <w:rsid w:val="16E82A20"/>
    <w:rsid w:val="17E11F5A"/>
    <w:rsid w:val="17F83B61"/>
    <w:rsid w:val="18563155"/>
    <w:rsid w:val="18600FD0"/>
    <w:rsid w:val="18766114"/>
    <w:rsid w:val="18790C37"/>
    <w:rsid w:val="18903A4D"/>
    <w:rsid w:val="18925467"/>
    <w:rsid w:val="18D417E2"/>
    <w:rsid w:val="191E3445"/>
    <w:rsid w:val="19525097"/>
    <w:rsid w:val="19765916"/>
    <w:rsid w:val="19B25954"/>
    <w:rsid w:val="19D011E9"/>
    <w:rsid w:val="19DA1846"/>
    <w:rsid w:val="19DF46F8"/>
    <w:rsid w:val="19E8300C"/>
    <w:rsid w:val="1A1254D5"/>
    <w:rsid w:val="1A2331F2"/>
    <w:rsid w:val="1A74679E"/>
    <w:rsid w:val="1AA527A3"/>
    <w:rsid w:val="1AB40CBF"/>
    <w:rsid w:val="1B5A546C"/>
    <w:rsid w:val="1BB6506B"/>
    <w:rsid w:val="1BC003D1"/>
    <w:rsid w:val="1BC94B68"/>
    <w:rsid w:val="1BF53974"/>
    <w:rsid w:val="1C1B3B29"/>
    <w:rsid w:val="1C4231EC"/>
    <w:rsid w:val="1C512181"/>
    <w:rsid w:val="1D505225"/>
    <w:rsid w:val="1DA43FDF"/>
    <w:rsid w:val="1E0972D4"/>
    <w:rsid w:val="1E315B06"/>
    <w:rsid w:val="1E3C6829"/>
    <w:rsid w:val="1E5B385B"/>
    <w:rsid w:val="1E747638"/>
    <w:rsid w:val="1EB340DE"/>
    <w:rsid w:val="1ED0129B"/>
    <w:rsid w:val="1F111238"/>
    <w:rsid w:val="1F603109"/>
    <w:rsid w:val="1F9E2BED"/>
    <w:rsid w:val="1FBB7F9F"/>
    <w:rsid w:val="1FC73DB2"/>
    <w:rsid w:val="1FC85FB0"/>
    <w:rsid w:val="1FCD5CBB"/>
    <w:rsid w:val="200E39C9"/>
    <w:rsid w:val="201C12BD"/>
    <w:rsid w:val="20220C48"/>
    <w:rsid w:val="203F2777"/>
    <w:rsid w:val="205E2E63"/>
    <w:rsid w:val="20862AD5"/>
    <w:rsid w:val="208D0A85"/>
    <w:rsid w:val="20A5280C"/>
    <w:rsid w:val="20D359FB"/>
    <w:rsid w:val="20E556F1"/>
    <w:rsid w:val="21361C5E"/>
    <w:rsid w:val="2185500C"/>
    <w:rsid w:val="21893A13"/>
    <w:rsid w:val="219707AA"/>
    <w:rsid w:val="22046BDF"/>
    <w:rsid w:val="222A579A"/>
    <w:rsid w:val="22386D07"/>
    <w:rsid w:val="22480419"/>
    <w:rsid w:val="22902F40"/>
    <w:rsid w:val="22DC376E"/>
    <w:rsid w:val="22ED32DA"/>
    <w:rsid w:val="22FD3574"/>
    <w:rsid w:val="231C6AB5"/>
    <w:rsid w:val="233F30E4"/>
    <w:rsid w:val="23593C8E"/>
    <w:rsid w:val="23615817"/>
    <w:rsid w:val="23727724"/>
    <w:rsid w:val="239F40F6"/>
    <w:rsid w:val="23AA2793"/>
    <w:rsid w:val="23ED3B3C"/>
    <w:rsid w:val="242E4F6B"/>
    <w:rsid w:val="24CA7BB8"/>
    <w:rsid w:val="24CE1B37"/>
    <w:rsid w:val="24FA6D92"/>
    <w:rsid w:val="25012D45"/>
    <w:rsid w:val="250550E5"/>
    <w:rsid w:val="2536069B"/>
    <w:rsid w:val="25374980"/>
    <w:rsid w:val="254734B9"/>
    <w:rsid w:val="2550672C"/>
    <w:rsid w:val="25624188"/>
    <w:rsid w:val="25BD0FD2"/>
    <w:rsid w:val="263B5F44"/>
    <w:rsid w:val="265A1DE6"/>
    <w:rsid w:val="26690F27"/>
    <w:rsid w:val="26694895"/>
    <w:rsid w:val="26A12F28"/>
    <w:rsid w:val="26AC79F8"/>
    <w:rsid w:val="26B91D54"/>
    <w:rsid w:val="26E75D9A"/>
    <w:rsid w:val="26E90667"/>
    <w:rsid w:val="26F43175"/>
    <w:rsid w:val="274A0B5C"/>
    <w:rsid w:val="279142F8"/>
    <w:rsid w:val="27FA7E2E"/>
    <w:rsid w:val="280B1A43"/>
    <w:rsid w:val="28167DD4"/>
    <w:rsid w:val="287A6F6C"/>
    <w:rsid w:val="288E0F4E"/>
    <w:rsid w:val="28B0474F"/>
    <w:rsid w:val="28B66659"/>
    <w:rsid w:val="28EF5796"/>
    <w:rsid w:val="28F60FCD"/>
    <w:rsid w:val="29345630"/>
    <w:rsid w:val="29522941"/>
    <w:rsid w:val="29855A2C"/>
    <w:rsid w:val="29B92A03"/>
    <w:rsid w:val="29CE7219"/>
    <w:rsid w:val="2A524006"/>
    <w:rsid w:val="2A5C719F"/>
    <w:rsid w:val="2A832D10"/>
    <w:rsid w:val="2AA51C8D"/>
    <w:rsid w:val="2AF12700"/>
    <w:rsid w:val="2B221E6C"/>
    <w:rsid w:val="2B3631F4"/>
    <w:rsid w:val="2B575927"/>
    <w:rsid w:val="2B797161"/>
    <w:rsid w:val="2B9D3E9D"/>
    <w:rsid w:val="2C4058A5"/>
    <w:rsid w:val="2CE341B5"/>
    <w:rsid w:val="2D11017C"/>
    <w:rsid w:val="2D2626A0"/>
    <w:rsid w:val="2DBB2B93"/>
    <w:rsid w:val="2DDC0B49"/>
    <w:rsid w:val="2E407A81"/>
    <w:rsid w:val="2E6D5504"/>
    <w:rsid w:val="2E835E5F"/>
    <w:rsid w:val="2E8A38BB"/>
    <w:rsid w:val="2E9559D9"/>
    <w:rsid w:val="2E9F679E"/>
    <w:rsid w:val="2EA56E27"/>
    <w:rsid w:val="2F3015A3"/>
    <w:rsid w:val="2F5219B0"/>
    <w:rsid w:val="2F6A13F9"/>
    <w:rsid w:val="2F7E3AF9"/>
    <w:rsid w:val="2FC41CB0"/>
    <w:rsid w:val="302144DC"/>
    <w:rsid w:val="30405DB5"/>
    <w:rsid w:val="30426D1D"/>
    <w:rsid w:val="30CF5A24"/>
    <w:rsid w:val="31097378"/>
    <w:rsid w:val="311D7D22"/>
    <w:rsid w:val="31312245"/>
    <w:rsid w:val="31376781"/>
    <w:rsid w:val="31526B96"/>
    <w:rsid w:val="315A6870"/>
    <w:rsid w:val="316E051C"/>
    <w:rsid w:val="31F16321"/>
    <w:rsid w:val="32035262"/>
    <w:rsid w:val="32273428"/>
    <w:rsid w:val="3270263D"/>
    <w:rsid w:val="328344B2"/>
    <w:rsid w:val="3286033C"/>
    <w:rsid w:val="328F0574"/>
    <w:rsid w:val="3296605F"/>
    <w:rsid w:val="331B4ED5"/>
    <w:rsid w:val="334151A1"/>
    <w:rsid w:val="33463EAF"/>
    <w:rsid w:val="33550FE6"/>
    <w:rsid w:val="336C141E"/>
    <w:rsid w:val="339C18CC"/>
    <w:rsid w:val="33A87FED"/>
    <w:rsid w:val="33C259F7"/>
    <w:rsid w:val="34127147"/>
    <w:rsid w:val="34201613"/>
    <w:rsid w:val="34291F23"/>
    <w:rsid w:val="34727D99"/>
    <w:rsid w:val="34750B27"/>
    <w:rsid w:val="347A39E3"/>
    <w:rsid w:val="34860FB8"/>
    <w:rsid w:val="349E222E"/>
    <w:rsid w:val="34B33411"/>
    <w:rsid w:val="34C51A78"/>
    <w:rsid w:val="34E0563C"/>
    <w:rsid w:val="34EB675E"/>
    <w:rsid w:val="351055D8"/>
    <w:rsid w:val="355F3301"/>
    <w:rsid w:val="35CD3B0F"/>
    <w:rsid w:val="35F40894"/>
    <w:rsid w:val="35F53BC7"/>
    <w:rsid w:val="35FC56A1"/>
    <w:rsid w:val="36771768"/>
    <w:rsid w:val="36D265FE"/>
    <w:rsid w:val="36E01197"/>
    <w:rsid w:val="37195DD0"/>
    <w:rsid w:val="37396667"/>
    <w:rsid w:val="375223CF"/>
    <w:rsid w:val="375F35B5"/>
    <w:rsid w:val="379E3A7A"/>
    <w:rsid w:val="37A61E5A"/>
    <w:rsid w:val="37CA14FC"/>
    <w:rsid w:val="37F6376B"/>
    <w:rsid w:val="38005C99"/>
    <w:rsid w:val="3806789C"/>
    <w:rsid w:val="38324F36"/>
    <w:rsid w:val="396430B4"/>
    <w:rsid w:val="398C207A"/>
    <w:rsid w:val="399651CC"/>
    <w:rsid w:val="3999123E"/>
    <w:rsid w:val="39E64E78"/>
    <w:rsid w:val="3A2F3A82"/>
    <w:rsid w:val="3A2F453A"/>
    <w:rsid w:val="3A6A61E5"/>
    <w:rsid w:val="3ABF58EF"/>
    <w:rsid w:val="3AC274FB"/>
    <w:rsid w:val="3AC86100"/>
    <w:rsid w:val="3ACC2A06"/>
    <w:rsid w:val="3B20468F"/>
    <w:rsid w:val="3B316DAA"/>
    <w:rsid w:val="3B372FD2"/>
    <w:rsid w:val="3B8C51C4"/>
    <w:rsid w:val="3BAF51F7"/>
    <w:rsid w:val="3BB74B40"/>
    <w:rsid w:val="3BC8097B"/>
    <w:rsid w:val="3C565716"/>
    <w:rsid w:val="3CA73211"/>
    <w:rsid w:val="3CBE65A5"/>
    <w:rsid w:val="3CC938CE"/>
    <w:rsid w:val="3CD97263"/>
    <w:rsid w:val="3D19224B"/>
    <w:rsid w:val="3DC06319"/>
    <w:rsid w:val="3E390124"/>
    <w:rsid w:val="3E3C7880"/>
    <w:rsid w:val="3E4F4139"/>
    <w:rsid w:val="3EAB2FD0"/>
    <w:rsid w:val="3ED33ABA"/>
    <w:rsid w:val="3EDC31B1"/>
    <w:rsid w:val="3F366D42"/>
    <w:rsid w:val="3F3B3EDB"/>
    <w:rsid w:val="3F522DEF"/>
    <w:rsid w:val="3F8A45CE"/>
    <w:rsid w:val="3FAB6D01"/>
    <w:rsid w:val="3FBD5D22"/>
    <w:rsid w:val="3FD352E5"/>
    <w:rsid w:val="3FFF7279"/>
    <w:rsid w:val="40456F00"/>
    <w:rsid w:val="405B780B"/>
    <w:rsid w:val="407A2131"/>
    <w:rsid w:val="40B93161"/>
    <w:rsid w:val="40BB01C3"/>
    <w:rsid w:val="41217EBB"/>
    <w:rsid w:val="41670A1F"/>
    <w:rsid w:val="420B0DEA"/>
    <w:rsid w:val="423A0CFF"/>
    <w:rsid w:val="42414BD8"/>
    <w:rsid w:val="427B00CF"/>
    <w:rsid w:val="43016A94"/>
    <w:rsid w:val="430644A8"/>
    <w:rsid w:val="43076EE2"/>
    <w:rsid w:val="432F1E46"/>
    <w:rsid w:val="43484F6E"/>
    <w:rsid w:val="43562586"/>
    <w:rsid w:val="43A60B8B"/>
    <w:rsid w:val="43C60696"/>
    <w:rsid w:val="43CA7AC6"/>
    <w:rsid w:val="43DD1CAC"/>
    <w:rsid w:val="43ED3FBD"/>
    <w:rsid w:val="44044239"/>
    <w:rsid w:val="442A5561"/>
    <w:rsid w:val="44524527"/>
    <w:rsid w:val="447F71E8"/>
    <w:rsid w:val="451A06ED"/>
    <w:rsid w:val="45245151"/>
    <w:rsid w:val="45456FB2"/>
    <w:rsid w:val="456926CF"/>
    <w:rsid w:val="458B1600"/>
    <w:rsid w:val="45A31E9F"/>
    <w:rsid w:val="45E06380"/>
    <w:rsid w:val="46132E83"/>
    <w:rsid w:val="461F1718"/>
    <w:rsid w:val="46D332C1"/>
    <w:rsid w:val="46F648FA"/>
    <w:rsid w:val="47A4705A"/>
    <w:rsid w:val="480D1D44"/>
    <w:rsid w:val="4835453B"/>
    <w:rsid w:val="48652264"/>
    <w:rsid w:val="48683357"/>
    <w:rsid w:val="489F12B3"/>
    <w:rsid w:val="48B60ED8"/>
    <w:rsid w:val="48E038AF"/>
    <w:rsid w:val="49287F12"/>
    <w:rsid w:val="49466806"/>
    <w:rsid w:val="494A71CD"/>
    <w:rsid w:val="49582C60"/>
    <w:rsid w:val="495D6DB6"/>
    <w:rsid w:val="496E5595"/>
    <w:rsid w:val="497B6BF6"/>
    <w:rsid w:val="499F73AD"/>
    <w:rsid w:val="49B83F7E"/>
    <w:rsid w:val="4A007BF5"/>
    <w:rsid w:val="4A06662F"/>
    <w:rsid w:val="4A0D148A"/>
    <w:rsid w:val="4A4009DF"/>
    <w:rsid w:val="4A6F5CAB"/>
    <w:rsid w:val="4ABD162D"/>
    <w:rsid w:val="4AD743D6"/>
    <w:rsid w:val="4B80633B"/>
    <w:rsid w:val="4B8E3F04"/>
    <w:rsid w:val="4BD02064"/>
    <w:rsid w:val="4BF23C29"/>
    <w:rsid w:val="4BF673B5"/>
    <w:rsid w:val="4C0A2CBC"/>
    <w:rsid w:val="4C0B3EB6"/>
    <w:rsid w:val="4C281795"/>
    <w:rsid w:val="4C4F3FC2"/>
    <w:rsid w:val="4CAB3057"/>
    <w:rsid w:val="4CC732A2"/>
    <w:rsid w:val="4D077EEE"/>
    <w:rsid w:val="4D0B68F4"/>
    <w:rsid w:val="4D0E0101"/>
    <w:rsid w:val="4D3C02CC"/>
    <w:rsid w:val="4D7311CC"/>
    <w:rsid w:val="4DB35E08"/>
    <w:rsid w:val="4DBC05B9"/>
    <w:rsid w:val="4DFD4F82"/>
    <w:rsid w:val="4E1131A0"/>
    <w:rsid w:val="4E470622"/>
    <w:rsid w:val="4E66112F"/>
    <w:rsid w:val="4EB124A8"/>
    <w:rsid w:val="4EB57E15"/>
    <w:rsid w:val="4EF51F5E"/>
    <w:rsid w:val="4EFB1622"/>
    <w:rsid w:val="4F1D45B9"/>
    <w:rsid w:val="4F3141FC"/>
    <w:rsid w:val="4F3B33EB"/>
    <w:rsid w:val="4F5E5E3A"/>
    <w:rsid w:val="4F833B49"/>
    <w:rsid w:val="504D489E"/>
    <w:rsid w:val="505C2070"/>
    <w:rsid w:val="50AC6DEA"/>
    <w:rsid w:val="50B618F8"/>
    <w:rsid w:val="50B9327D"/>
    <w:rsid w:val="50D13718"/>
    <w:rsid w:val="513656C9"/>
    <w:rsid w:val="514805FC"/>
    <w:rsid w:val="517B26E0"/>
    <w:rsid w:val="51950F66"/>
    <w:rsid w:val="51EF617D"/>
    <w:rsid w:val="5219373E"/>
    <w:rsid w:val="522B089F"/>
    <w:rsid w:val="524C0A95"/>
    <w:rsid w:val="52780153"/>
    <w:rsid w:val="529326BB"/>
    <w:rsid w:val="52EF7092"/>
    <w:rsid w:val="52F50359"/>
    <w:rsid w:val="53155F5F"/>
    <w:rsid w:val="532064EF"/>
    <w:rsid w:val="539677B2"/>
    <w:rsid w:val="539B5F4C"/>
    <w:rsid w:val="53C2259E"/>
    <w:rsid w:val="53F44044"/>
    <w:rsid w:val="53FB4F58"/>
    <w:rsid w:val="54047DE6"/>
    <w:rsid w:val="556A6CE9"/>
    <w:rsid w:val="55F51240"/>
    <w:rsid w:val="561B6485"/>
    <w:rsid w:val="563271AC"/>
    <w:rsid w:val="56376A81"/>
    <w:rsid w:val="566227B0"/>
    <w:rsid w:val="566B4A32"/>
    <w:rsid w:val="567D1A39"/>
    <w:rsid w:val="56812378"/>
    <w:rsid w:val="56A64B36"/>
    <w:rsid w:val="56EF4E6F"/>
    <w:rsid w:val="575431DF"/>
    <w:rsid w:val="57597E5D"/>
    <w:rsid w:val="576079D6"/>
    <w:rsid w:val="57C205D4"/>
    <w:rsid w:val="57E25806"/>
    <w:rsid w:val="581A432A"/>
    <w:rsid w:val="58381A4A"/>
    <w:rsid w:val="58DF20B1"/>
    <w:rsid w:val="58EF2ED0"/>
    <w:rsid w:val="5910752F"/>
    <w:rsid w:val="59144A6B"/>
    <w:rsid w:val="59205884"/>
    <w:rsid w:val="597317D1"/>
    <w:rsid w:val="597E4543"/>
    <w:rsid w:val="598A3524"/>
    <w:rsid w:val="59EE2A23"/>
    <w:rsid w:val="59F60EF3"/>
    <w:rsid w:val="5A093EC3"/>
    <w:rsid w:val="5A1070D1"/>
    <w:rsid w:val="5A564D65"/>
    <w:rsid w:val="5A650D5A"/>
    <w:rsid w:val="5A86434D"/>
    <w:rsid w:val="5A8702A8"/>
    <w:rsid w:val="5AAE6C43"/>
    <w:rsid w:val="5ADF54B5"/>
    <w:rsid w:val="5AF50649"/>
    <w:rsid w:val="5B591D6B"/>
    <w:rsid w:val="5B8174BD"/>
    <w:rsid w:val="5B956ECD"/>
    <w:rsid w:val="5B9C76BE"/>
    <w:rsid w:val="5C6D5D06"/>
    <w:rsid w:val="5C882FDD"/>
    <w:rsid w:val="5CB22E1D"/>
    <w:rsid w:val="5CBD3C3C"/>
    <w:rsid w:val="5CE337EF"/>
    <w:rsid w:val="5CEC570C"/>
    <w:rsid w:val="5D7A4CE1"/>
    <w:rsid w:val="5DCB48EE"/>
    <w:rsid w:val="5E0B4E24"/>
    <w:rsid w:val="5E0F1B60"/>
    <w:rsid w:val="5E7B340D"/>
    <w:rsid w:val="5EB35D09"/>
    <w:rsid w:val="5EC17405"/>
    <w:rsid w:val="5ECB7D14"/>
    <w:rsid w:val="5ECE5416"/>
    <w:rsid w:val="5EEB7403"/>
    <w:rsid w:val="5F095F47"/>
    <w:rsid w:val="5F0C6580"/>
    <w:rsid w:val="5F20411D"/>
    <w:rsid w:val="5F247745"/>
    <w:rsid w:val="5F43566A"/>
    <w:rsid w:val="5F5271CC"/>
    <w:rsid w:val="5F6B6599"/>
    <w:rsid w:val="5FE307E1"/>
    <w:rsid w:val="5FEF45F4"/>
    <w:rsid w:val="5FFB2605"/>
    <w:rsid w:val="600C6122"/>
    <w:rsid w:val="608C2C29"/>
    <w:rsid w:val="60B91793"/>
    <w:rsid w:val="60CC4D75"/>
    <w:rsid w:val="60E67AA7"/>
    <w:rsid w:val="6124795C"/>
    <w:rsid w:val="61331572"/>
    <w:rsid w:val="613F1997"/>
    <w:rsid w:val="6142619F"/>
    <w:rsid w:val="614D07E8"/>
    <w:rsid w:val="61521F2D"/>
    <w:rsid w:val="61883090"/>
    <w:rsid w:val="618E39BF"/>
    <w:rsid w:val="618F2A1B"/>
    <w:rsid w:val="619E0AB7"/>
    <w:rsid w:val="61B16453"/>
    <w:rsid w:val="61E536FC"/>
    <w:rsid w:val="620C10EB"/>
    <w:rsid w:val="620D0C17"/>
    <w:rsid w:val="624548B3"/>
    <w:rsid w:val="627E6257"/>
    <w:rsid w:val="628D12AE"/>
    <w:rsid w:val="629E645C"/>
    <w:rsid w:val="62C9149E"/>
    <w:rsid w:val="62E5554B"/>
    <w:rsid w:val="631B084A"/>
    <w:rsid w:val="632A023E"/>
    <w:rsid w:val="63894210"/>
    <w:rsid w:val="63CD32CA"/>
    <w:rsid w:val="63D351D4"/>
    <w:rsid w:val="63DD04FD"/>
    <w:rsid w:val="63F6448F"/>
    <w:rsid w:val="64133A3F"/>
    <w:rsid w:val="643D2685"/>
    <w:rsid w:val="643E4883"/>
    <w:rsid w:val="6495118C"/>
    <w:rsid w:val="64BF1959"/>
    <w:rsid w:val="64C14621"/>
    <w:rsid w:val="64EF46A6"/>
    <w:rsid w:val="65014B04"/>
    <w:rsid w:val="65017F33"/>
    <w:rsid w:val="65143FAD"/>
    <w:rsid w:val="65225514"/>
    <w:rsid w:val="653A47CB"/>
    <w:rsid w:val="655A3D56"/>
    <w:rsid w:val="657938B0"/>
    <w:rsid w:val="65A137B1"/>
    <w:rsid w:val="65CD5630"/>
    <w:rsid w:val="65FC7340"/>
    <w:rsid w:val="662117DA"/>
    <w:rsid w:val="663C214A"/>
    <w:rsid w:val="66682C0E"/>
    <w:rsid w:val="66A32DF3"/>
    <w:rsid w:val="66A717F9"/>
    <w:rsid w:val="66A9578C"/>
    <w:rsid w:val="66B76211"/>
    <w:rsid w:val="67057615"/>
    <w:rsid w:val="6734105D"/>
    <w:rsid w:val="67896ED4"/>
    <w:rsid w:val="67AA451F"/>
    <w:rsid w:val="67FA4DDD"/>
    <w:rsid w:val="67FA7C0D"/>
    <w:rsid w:val="68251C6A"/>
    <w:rsid w:val="683C5113"/>
    <w:rsid w:val="685C1DC4"/>
    <w:rsid w:val="688556A7"/>
    <w:rsid w:val="688E2042"/>
    <w:rsid w:val="6895189D"/>
    <w:rsid w:val="68BC0EE4"/>
    <w:rsid w:val="68FC334A"/>
    <w:rsid w:val="69473E9F"/>
    <w:rsid w:val="6967357B"/>
    <w:rsid w:val="698718B2"/>
    <w:rsid w:val="69AC4F69"/>
    <w:rsid w:val="69D72936"/>
    <w:rsid w:val="6A4C28F4"/>
    <w:rsid w:val="6A572E84"/>
    <w:rsid w:val="6A5C730C"/>
    <w:rsid w:val="6A8E01AC"/>
    <w:rsid w:val="6ABE3B2D"/>
    <w:rsid w:val="6B2D6E6C"/>
    <w:rsid w:val="6B4F2A74"/>
    <w:rsid w:val="6B7460C1"/>
    <w:rsid w:val="6B7912ED"/>
    <w:rsid w:val="6BA359B8"/>
    <w:rsid w:val="6C035B7A"/>
    <w:rsid w:val="6C303D8F"/>
    <w:rsid w:val="6C6A6233"/>
    <w:rsid w:val="6C6C0792"/>
    <w:rsid w:val="6C9E1E44"/>
    <w:rsid w:val="6CAB2100"/>
    <w:rsid w:val="6CE33832"/>
    <w:rsid w:val="6D1F1846"/>
    <w:rsid w:val="6D8E77D0"/>
    <w:rsid w:val="6D9A555F"/>
    <w:rsid w:val="6DC70BD2"/>
    <w:rsid w:val="6DFD7CD4"/>
    <w:rsid w:val="6E046353"/>
    <w:rsid w:val="6E3034D4"/>
    <w:rsid w:val="6F0C79BF"/>
    <w:rsid w:val="6F5161E8"/>
    <w:rsid w:val="6F722BE7"/>
    <w:rsid w:val="6FF51B3B"/>
    <w:rsid w:val="6FFC72C8"/>
    <w:rsid w:val="704A3BFB"/>
    <w:rsid w:val="709561C1"/>
    <w:rsid w:val="709642CC"/>
    <w:rsid w:val="70CF70D5"/>
    <w:rsid w:val="70F85622"/>
    <w:rsid w:val="711F0324"/>
    <w:rsid w:val="7156627F"/>
    <w:rsid w:val="71812947"/>
    <w:rsid w:val="719B567C"/>
    <w:rsid w:val="72210801"/>
    <w:rsid w:val="72827EA0"/>
    <w:rsid w:val="72CE224D"/>
    <w:rsid w:val="72E91E80"/>
    <w:rsid w:val="73022ABD"/>
    <w:rsid w:val="73AD1C57"/>
    <w:rsid w:val="73E55634"/>
    <w:rsid w:val="7408726D"/>
    <w:rsid w:val="747E7F88"/>
    <w:rsid w:val="74905ACD"/>
    <w:rsid w:val="74C3179F"/>
    <w:rsid w:val="74FF3B82"/>
    <w:rsid w:val="755D77B8"/>
    <w:rsid w:val="761D2C35"/>
    <w:rsid w:val="765C023B"/>
    <w:rsid w:val="7684397E"/>
    <w:rsid w:val="76B344CD"/>
    <w:rsid w:val="77150CEF"/>
    <w:rsid w:val="774477A2"/>
    <w:rsid w:val="77492D2D"/>
    <w:rsid w:val="774C20FF"/>
    <w:rsid w:val="77524F4D"/>
    <w:rsid w:val="775B5A6C"/>
    <w:rsid w:val="777C1998"/>
    <w:rsid w:val="77945D1E"/>
    <w:rsid w:val="77EF6453"/>
    <w:rsid w:val="78177B29"/>
    <w:rsid w:val="782352CE"/>
    <w:rsid w:val="782A33A6"/>
    <w:rsid w:val="782E17BB"/>
    <w:rsid w:val="783A2119"/>
    <w:rsid w:val="784D09EB"/>
    <w:rsid w:val="78535B94"/>
    <w:rsid w:val="785E0C86"/>
    <w:rsid w:val="786A5D9D"/>
    <w:rsid w:val="787F629A"/>
    <w:rsid w:val="78A83684"/>
    <w:rsid w:val="78AA535B"/>
    <w:rsid w:val="78D9250F"/>
    <w:rsid w:val="78DC2FDD"/>
    <w:rsid w:val="78DC7260"/>
    <w:rsid w:val="7900411B"/>
    <w:rsid w:val="790D0E29"/>
    <w:rsid w:val="79395171"/>
    <w:rsid w:val="79A35C57"/>
    <w:rsid w:val="79B85C40"/>
    <w:rsid w:val="7A385137"/>
    <w:rsid w:val="7A4D5F33"/>
    <w:rsid w:val="7AFC2853"/>
    <w:rsid w:val="7B425546"/>
    <w:rsid w:val="7B4A194A"/>
    <w:rsid w:val="7B5016A8"/>
    <w:rsid w:val="7B647B37"/>
    <w:rsid w:val="7B825B7C"/>
    <w:rsid w:val="7B931FE5"/>
    <w:rsid w:val="7B9F28DD"/>
    <w:rsid w:val="7BBF3DB1"/>
    <w:rsid w:val="7BC24B9B"/>
    <w:rsid w:val="7BE372CE"/>
    <w:rsid w:val="7C440773"/>
    <w:rsid w:val="7C8B668D"/>
    <w:rsid w:val="7C981154"/>
    <w:rsid w:val="7C9B635C"/>
    <w:rsid w:val="7CB55428"/>
    <w:rsid w:val="7CCC5756"/>
    <w:rsid w:val="7D0C38B8"/>
    <w:rsid w:val="7D466F15"/>
    <w:rsid w:val="7D805BC0"/>
    <w:rsid w:val="7D9A0522"/>
    <w:rsid w:val="7DAE7CF4"/>
    <w:rsid w:val="7DC971F1"/>
    <w:rsid w:val="7DD76804"/>
    <w:rsid w:val="7DEB54A4"/>
    <w:rsid w:val="7E125364"/>
    <w:rsid w:val="7E336680"/>
    <w:rsid w:val="7E93243A"/>
    <w:rsid w:val="7EB03B57"/>
    <w:rsid w:val="7EBA0FF5"/>
    <w:rsid w:val="7F3412A1"/>
    <w:rsid w:val="7FD32DC6"/>
    <w:rsid w:val="7FE606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正文文本 字符"/>
    <w:link w:val="2"/>
    <w:qFormat/>
    <w:uiPriority w:val="1"/>
    <w:rPr>
      <w:rFonts w:ascii="宋体" w:hAnsi="Times New Roman" w:eastAsia="宋体" w:cs="Times New Roman"/>
      <w:kern w:val="0"/>
      <w:sz w:val="20"/>
      <w:szCs w:val="21"/>
    </w:rPr>
  </w:style>
  <w:style w:type="character" w:customStyle="1" w:styleId="23">
    <w:name w:val="标题 1 字符"/>
    <w:link w:val="3"/>
    <w:qFormat/>
    <w:uiPriority w:val="1"/>
    <w:rPr>
      <w:rFonts w:ascii="黑体" w:hAnsi="Times New Roman" w:eastAsia="黑体" w:cs="Times New Roman"/>
      <w:b/>
      <w:bCs/>
      <w:kern w:val="0"/>
      <w:sz w:val="36"/>
      <w:szCs w:val="36"/>
    </w:rPr>
  </w:style>
  <w:style w:type="character" w:customStyle="1" w:styleId="24">
    <w:name w:val="标题 2 字符"/>
    <w:link w:val="4"/>
    <w:qFormat/>
    <w:uiPriority w:val="9"/>
    <w:rPr>
      <w:rFonts w:ascii="Cambria" w:hAnsi="Cambria" w:eastAsia="宋体" w:cs="Times New Roman"/>
      <w:b/>
      <w:bCs/>
      <w:kern w:val="0"/>
      <w:sz w:val="32"/>
      <w:szCs w:val="32"/>
    </w:rPr>
  </w:style>
  <w:style w:type="character" w:customStyle="1" w:styleId="25">
    <w:name w:val="标题 3 字符"/>
    <w:link w:val="5"/>
    <w:qFormat/>
    <w:uiPriority w:val="1"/>
    <w:rPr>
      <w:rFonts w:ascii="宋体" w:hAnsi="Times New Roman" w:eastAsia="宋体" w:cs="Times New Roman"/>
      <w:b/>
      <w:bCs/>
      <w:kern w:val="0"/>
      <w:sz w:val="20"/>
      <w:szCs w:val="21"/>
    </w:rPr>
  </w:style>
  <w:style w:type="character" w:customStyle="1" w:styleId="26">
    <w:name w:val="批注文字 字符"/>
    <w:link w:val="6"/>
    <w:qFormat/>
    <w:uiPriority w:val="99"/>
    <w:rPr>
      <w:rFonts w:ascii="Times New Roman" w:hAnsi="Times New Roman" w:eastAsia="宋体" w:cs="Times New Roman"/>
    </w:rPr>
  </w:style>
  <w:style w:type="character" w:customStyle="1" w:styleId="27">
    <w:name w:val="日期 字符"/>
    <w:basedOn w:val="17"/>
    <w:link w:val="7"/>
    <w:semiHidden/>
    <w:qFormat/>
    <w:uiPriority w:val="99"/>
    <w:rPr>
      <w:rFonts w:ascii="Times New Roman" w:hAnsi="Times New Roman" w:eastAsia="宋体" w:cs="Times New Roman"/>
    </w:rPr>
  </w:style>
  <w:style w:type="character" w:customStyle="1" w:styleId="28">
    <w:name w:val="批注框文本 字符"/>
    <w:link w:val="8"/>
    <w:semiHidden/>
    <w:qFormat/>
    <w:uiPriority w:val="99"/>
    <w:rPr>
      <w:rFonts w:ascii="Times New Roman" w:hAnsi="Times New Roman" w:eastAsia="宋体" w:cs="Times New Roman"/>
      <w:kern w:val="0"/>
      <w:sz w:val="18"/>
      <w:szCs w:val="18"/>
    </w:rPr>
  </w:style>
  <w:style w:type="character" w:customStyle="1" w:styleId="29">
    <w:name w:val="页脚 字符"/>
    <w:link w:val="9"/>
    <w:qFormat/>
    <w:uiPriority w:val="99"/>
    <w:rPr>
      <w:rFonts w:ascii="Times New Roman" w:hAnsi="Times New Roman" w:eastAsia="宋体" w:cs="Times New Roman"/>
      <w:kern w:val="0"/>
      <w:sz w:val="18"/>
      <w:szCs w:val="18"/>
    </w:rPr>
  </w:style>
  <w:style w:type="character" w:customStyle="1" w:styleId="30">
    <w:name w:val="页眉 字符"/>
    <w:link w:val="10"/>
    <w:qFormat/>
    <w:uiPriority w:val="99"/>
    <w:rPr>
      <w:rFonts w:ascii="Times New Roman" w:hAnsi="Times New Roman" w:eastAsia="宋体" w:cs="Times New Roman"/>
      <w:kern w:val="0"/>
      <w:sz w:val="18"/>
      <w:szCs w:val="18"/>
    </w:rPr>
  </w:style>
  <w:style w:type="character" w:customStyle="1" w:styleId="31">
    <w:name w:val="脚注文本 字符1"/>
    <w:link w:val="11"/>
    <w:qFormat/>
    <w:uiPriority w:val="99"/>
    <w:rPr>
      <w:rFonts w:ascii="Times New Roman" w:hAnsi="Times New Roman" w:eastAsia="宋体" w:cs="Times New Roman"/>
      <w:sz w:val="18"/>
      <w:szCs w:val="18"/>
    </w:rPr>
  </w:style>
  <w:style w:type="character" w:customStyle="1" w:styleId="32">
    <w:name w:val="批注主题 字符"/>
    <w:link w:val="14"/>
    <w:semiHidden/>
    <w:qFormat/>
    <w:uiPriority w:val="99"/>
    <w:rPr>
      <w:rFonts w:ascii="Times New Roman" w:hAnsi="Times New Roman" w:eastAsia="宋体" w:cs="Times New Roman"/>
      <w:b/>
      <w:bCs/>
    </w:rPr>
  </w:style>
  <w:style w:type="character" w:customStyle="1" w:styleId="33">
    <w:name w:val="脚注文本 字符"/>
    <w:semiHidden/>
    <w:qFormat/>
    <w:uiPriority w:val="99"/>
    <w:rPr>
      <w:rFonts w:ascii="Times New Roman" w:hAnsi="Times New Roman" w:eastAsia="宋体" w:cs="Times New Roman"/>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8">
    <w:name w:val="_Style 33"/>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Char"/>
    <w:link w:val="3"/>
    <w:qFormat/>
    <w:uiPriority w:val="1"/>
    <w:rPr>
      <w:rFonts w:ascii="黑体" w:hAnsi="Times New Roman" w:eastAsia="黑体" w:cs="黑体"/>
      <w:b/>
      <w:bCs/>
      <w:kern w:val="0"/>
      <w:sz w:val="36"/>
      <w:szCs w:val="36"/>
    </w:rPr>
  </w:style>
  <w:style w:type="character" w:customStyle="1" w:styleId="40">
    <w:name w:val="标题 2 Char"/>
    <w:link w:val="4"/>
    <w:qFormat/>
    <w:uiPriority w:val="9"/>
    <w:rPr>
      <w:rFonts w:ascii="Cambria" w:hAnsi="Cambria" w:eastAsia="宋体" w:cs="Times New Roman"/>
      <w:b/>
      <w:bCs/>
      <w:sz w:val="32"/>
      <w:szCs w:val="32"/>
    </w:rPr>
  </w:style>
  <w:style w:type="character" w:customStyle="1" w:styleId="41">
    <w:name w:val="标题 3 Char"/>
    <w:link w:val="5"/>
    <w:qFormat/>
    <w:uiPriority w:val="1"/>
    <w:rPr>
      <w:rFonts w:ascii="宋体" w:hAnsi="Times New Roman" w:eastAsia="宋体" w:cs="宋体"/>
      <w:b/>
      <w:bCs/>
      <w:kern w:val="0"/>
      <w:szCs w:val="21"/>
    </w:rPr>
  </w:style>
  <w:style w:type="character" w:customStyle="1" w:styleId="42">
    <w:name w:val="批注文字 Char"/>
    <w:link w:val="6"/>
    <w:qFormat/>
    <w:uiPriority w:val="99"/>
    <w:rPr>
      <w:rFonts w:ascii="Times New Roman" w:hAnsi="Times New Roman" w:eastAsia="宋体" w:cs="Times New Roman"/>
      <w:kern w:val="2"/>
      <w:sz w:val="21"/>
      <w:szCs w:val="22"/>
    </w:rPr>
  </w:style>
  <w:style w:type="character" w:customStyle="1" w:styleId="43">
    <w:name w:val="正文文本 Char"/>
    <w:link w:val="2"/>
    <w:qFormat/>
    <w:uiPriority w:val="1"/>
    <w:rPr>
      <w:rFonts w:ascii="宋体" w:hAnsi="Times New Roman" w:eastAsia="宋体" w:cs="宋体"/>
      <w:kern w:val="0"/>
      <w:szCs w:val="21"/>
    </w:rPr>
  </w:style>
  <w:style w:type="character" w:customStyle="1" w:styleId="44">
    <w:name w:val="日期 Char"/>
    <w:basedOn w:val="17"/>
    <w:link w:val="7"/>
    <w:semiHidden/>
    <w:qFormat/>
    <w:uiPriority w:val="99"/>
    <w:rPr>
      <w:rFonts w:ascii="Times New Roman" w:hAnsi="Times New Roman" w:eastAsia="宋体" w:cs="Times New Roman"/>
    </w:rPr>
  </w:style>
  <w:style w:type="character" w:customStyle="1" w:styleId="45">
    <w:name w:val="批注框文本 Char"/>
    <w:link w:val="8"/>
    <w:semiHidden/>
    <w:qFormat/>
    <w:uiPriority w:val="99"/>
    <w:rPr>
      <w:rFonts w:ascii="Times New Roman" w:hAnsi="Times New Roman" w:eastAsia="宋体" w:cs="Times New Roman"/>
      <w:sz w:val="18"/>
      <w:szCs w:val="18"/>
    </w:rPr>
  </w:style>
  <w:style w:type="character" w:customStyle="1" w:styleId="46">
    <w:name w:val="页脚 Char"/>
    <w:link w:val="9"/>
    <w:qFormat/>
    <w:uiPriority w:val="99"/>
    <w:rPr>
      <w:rFonts w:ascii="Times New Roman" w:hAnsi="Times New Roman" w:eastAsia="宋体" w:cs="Times New Roman"/>
      <w:sz w:val="18"/>
      <w:szCs w:val="18"/>
    </w:rPr>
  </w:style>
  <w:style w:type="character" w:customStyle="1" w:styleId="47">
    <w:name w:val="页眉 Char"/>
    <w:link w:val="10"/>
    <w:qFormat/>
    <w:uiPriority w:val="99"/>
    <w:rPr>
      <w:rFonts w:ascii="Times New Roman" w:hAnsi="Times New Roman" w:eastAsia="宋体" w:cs="Times New Roman"/>
      <w:sz w:val="18"/>
      <w:szCs w:val="18"/>
    </w:rPr>
  </w:style>
  <w:style w:type="character" w:customStyle="1" w:styleId="48">
    <w:name w:val="批注主题 Char"/>
    <w:link w:val="14"/>
    <w:semiHidden/>
    <w:qFormat/>
    <w:uiPriority w:val="99"/>
    <w:rPr>
      <w:rFonts w:ascii="Times New Roman" w:hAnsi="Times New Roman" w:eastAsia="宋体" w:cs="Times New Roman"/>
      <w:b/>
      <w:bCs/>
      <w:kern w:val="2"/>
      <w:sz w:val="21"/>
      <w:szCs w:val="22"/>
    </w:rPr>
  </w:style>
  <w:style w:type="paragraph" w:customStyle="1" w:styleId="49">
    <w:name w:val="_Style 27"/>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21563</Words>
  <Characters>22897</Characters>
  <Lines>37</Lines>
  <Paragraphs>10</Paragraphs>
  <TotalTime>19</TotalTime>
  <ScaleCrop>false</ScaleCrop>
  <LinksUpToDate>false</LinksUpToDate>
  <CharactersWithSpaces>22916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sylc</cp:lastModifiedBy>
  <cp:lastPrinted>2026-01-27T02:32:00Z</cp:lastPrinted>
  <dcterms:modified xsi:type="dcterms:W3CDTF">2026-02-26T10:59:54Z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57DE483545F742868D80F7217A5BA398</vt:lpwstr>
  </property>
</Properties>
</file>