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14A4A">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14A4A">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914A4A">
      <w:pPr>
        <w:spacing w:line="360" w:lineRule="auto"/>
        <w:rPr>
          <w:rFonts w:ascii="新宋体" w:eastAsia="新宋体" w:hAnsi="新宋体" w:cs="宋体" w:hint="eastAsia"/>
          <w:b/>
          <w:kern w:val="0"/>
          <w:szCs w:val="21"/>
        </w:rPr>
      </w:pPr>
    </w:p>
    <w:p w:rsidR="00914A4A">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14A4A">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914A4A">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914A4A">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914A4A">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306" w:type="dxa"/>
            <w:gridSpan w:val="2"/>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914A4A">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青银理财璀璨人生成就系列人民币理财计划2026年121期</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青银理财成就系列（低波共享）2026年121期</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CCCJGX26121</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14A4A">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14A4A">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914A4A">
            <w:pPr>
              <w:spacing w:line="360" w:lineRule="auto"/>
              <w:rPr>
                <w:rFonts w:ascii="新宋体" w:eastAsia="新宋体" w:hAnsi="新宋体"/>
              </w:rPr>
            </w:pPr>
            <w:r>
              <w:rPr>
                <w:rFonts w:ascii="新宋体" w:eastAsia="新宋体" w:hAnsi="新宋体" w:hint="eastAsia"/>
              </w:rPr>
              <w:t>A份额，销售代码【CCCJGX26121A】，销售名称：青银理财成就系列（低波共享）2026年121期A份额,销售对象【青岛银行及各销售服务渠道个人及机构客户，具体客户类型以销售机构规定为准】</w:t>
              <w:br/>
              <w:t>B份额，销售代码【CCCJGX26121B】，销售名称：青银理财成就系列（低波共享）2026年121期B份额（代发专属）,销售对象【青岛银行及各销售服务渠道个人及机构客户，具体客户类型以销售机构规定为准】</w:t>
              <w:br/>
              <w:t>C份额，销售代码【CCCJGX26121C】，销售名称：青银理财成就系列（低波共享）2026年121期C份额,销售对象【盛京银行及各销售服务渠道个人及机构客户，具体客户类型以销售机构规定为准】</w:t>
              <w:br/>
              <w:t>D份额，销售代码【CCCJGX26121D】，销售名称：青银理财成就系列（低波共享）2026年121期D份额,销售对象【东阳农商银行及各销售服务渠道个人及机构客户，具体客户类型以销售机构规定为准】</w:t>
              <w:br/>
              <w:t>E份额，销售代码【CCCJGX26121E】，销售名称：青银理财成就系列（低波共享）2026年121期E份额,销售对象【大连银行及各销售服务渠道个人及机构客户，具体客户类型以销售机构规定为准】</w:t>
              <w:br/>
              <w:t>F份额，销售代码【CCCJGX26121F】，销售名称：青银理财成就系列（低波共享）2026年121期F份额（年终奖专属）,销售对象【中山农商银行及各销售服务渠道个人及机构客户，具体客户类型以销售机构规定为准】</w:t>
              <w:br/>
              <w:t>H份额，销售代码【CCCJGX26121H】，销售名称：青银理财成就系列（低波共享）2026年121期H份额（私行专属）,销售对象【青岛银行及各销售服务渠道个人及机构客户，具体客户类型以销售机构规定为准】</w:t>
              <w:br/>
              <w:t>I份额，销售代码【CCCJGX26121I】，销售名称：青银理财成就系列（低波共享）2026年121期I份额（理财新客专属）,销售对象【青岛银行及各销售服务渠道个人及机构客户，具体客户类型以销售机构规定为准】</w:t>
              <w:br/>
              <w:t>Z份额，销售代码【CCCJGX26121Z】，销售名称：青银理财成就系列（低波共享）2026年121期Z份额,销售对象【湖南银行及各销售服务渠道个人及机构客户，具体客户类型以销售机构规定为准】</w:t>
            </w:r>
          </w:p>
          <w:p w:rsidR="00914A4A">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Z7003526000217，可通过中国理财网（http://www.chinawealth.com.cn）查询</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914A4A">
            <w:pPr>
              <w:spacing w:line="360" w:lineRule="auto"/>
              <w:rPr>
                <w:rFonts w:ascii="新宋体" w:eastAsia="新宋体" w:hAnsi="新宋体"/>
              </w:rPr>
            </w:pPr>
            <w:r>
              <w:rPr>
                <w:rFonts w:ascii="新宋体" w:eastAsia="新宋体" w:hAnsi="新宋体"/>
              </w:rPr>
              <w:t>2026年03月18日</w:t>
            </w:r>
            <w:r>
              <w:rPr>
                <w:rFonts w:ascii="新宋体" w:eastAsia="新宋体" w:hAnsi="新宋体" w:hint="eastAsia"/>
              </w:rPr>
              <w:t xml:space="preserve"> 9:00至</w:t>
            </w:r>
            <w:r>
              <w:rPr>
                <w:rFonts w:ascii="新宋体" w:eastAsia="新宋体" w:hAnsi="新宋体"/>
              </w:rPr>
              <w:t>2026年03月25日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914A4A">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914A4A">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2026年03月26日</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2027年04月23日</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393</w:t>
            </w:r>
            <w:r>
              <w:rPr>
                <w:rFonts w:ascii="新宋体" w:eastAsia="新宋体" w:hAnsi="新宋体" w:hint="eastAsia"/>
              </w:rPr>
              <w:t>天</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B份额规模上限200000万，规模下限1万</w:t>
              <w:br/>
              <w:t>C份额规模上限200000万，规模下限1万</w:t>
              <w:br/>
              <w:t>D份额规模上限200000万，规模下限1万</w:t>
              <w:br/>
              <w:t>E份额规模上限100000万，规模下限1万</w:t>
              <w:br/>
              <w:t>F份额规模上限100000万，规模下限1万</w:t>
              <w:br/>
              <w:t>H份额规模上限100000万，规模下限1万</w:t>
              <w:br/>
              <w:t>I份额规模上限100000万，规模下限1万</w:t>
              <w:br/>
              <w:t>Z份额规模上限200000万，规模下限1万</w:t>
            </w:r>
          </w:p>
          <w:p w:rsidR="00914A4A">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914A4A">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914A4A">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14A4A">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盛京银行及各销售服务渠道，D份额销售渠道为东阳农商银行及各销售服务渠道，E份额销售渠道为大连银行及各销售服务渠道，F份额销售渠道为中山农商银行及各销售服务渠道，H份额销售渠道为青岛银行及各销售服务渠道，I份额销售渠道为青岛银行及各销售服务渠道，Z份额销售渠道为湖南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14A4A">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单一投资者</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914A4A">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各子份额均无上限</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914A4A">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914A4A">
            <w:pPr>
              <w:spacing w:line="360" w:lineRule="auto"/>
              <w:rPr>
                <w:rFonts w:ascii="新宋体" w:eastAsia="新宋体" w:hAnsi="新宋体" w:hint="eastAsia"/>
                <w:b/>
              </w:rPr>
            </w:pPr>
            <w:r>
              <w:rPr>
                <w:rFonts w:ascii="新宋体" w:eastAsia="新宋体" w:hAnsi="新宋体" w:hint="eastAsia"/>
                <w:b/>
              </w:rPr>
              <w:t>A份额业绩比较基准为2.35%（年化）</w:t>
              <w:br/>
              <w:t>B份额业绩比较基准为2.38%（年化）</w:t>
              <w:br/>
              <w:t>C份额业绩比较基准为2.40%（年化）</w:t>
              <w:br/>
              <w:t>D份额业绩比较基准为2.41%（年化）</w:t>
              <w:br/>
              <w:t>E份额业绩比较基准为2.30%（年化）</w:t>
              <w:br/>
              <w:t>F份额业绩比较基准为2.30%（年化）</w:t>
              <w:br/>
              <w:t>H份额业绩比较基准为2.40%（年化）</w:t>
              <w:br/>
              <w:t>I份额业绩比较基准为2.40%（年化）</w:t>
              <w:br/>
              <w:t>Z份额业绩比较基准为2.25%（年化）</w:t>
            </w:r>
          </w:p>
          <w:p w:rsidR="00914A4A">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rsidR="00914A4A">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rsidR="00914A4A">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如理财投资本金及收益未按时或足额收回，则本理财计划的到期收益可能降低，最不利情形损失部分或全部本金。对于超出</w:t>
            </w:r>
            <w:r>
              <w:rPr>
                <w:rFonts w:ascii="新宋体" w:eastAsia="新宋体" w:hAnsi="新宋体" w:hint="eastAsia"/>
                <w:b/>
              </w:rPr>
              <w:t>“</w:t>
            </w:r>
            <w:r>
              <w:rPr>
                <w:rFonts w:ascii="新宋体" w:eastAsia="新宋体" w:hAnsi="新宋体" w:hint="eastAsia"/>
                <w:b/>
              </w:rPr>
              <w:t>业绩基准</w:t>
            </w:r>
            <w:r>
              <w:rPr>
                <w:rFonts w:ascii="新宋体" w:eastAsia="新宋体" w:hAnsi="新宋体" w:hint="eastAsia"/>
                <w:b/>
              </w:rPr>
              <w:t>”</w:t>
            </w:r>
            <w:r>
              <w:rPr>
                <w:rFonts w:ascii="新宋体" w:eastAsia="新宋体" w:hAnsi="新宋体" w:hint="eastAsia"/>
                <w:b/>
              </w:rPr>
              <w:t>部分的投资收益，20%归于投资者, 剩余部分作为管理人业绩报酬。</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tblPrEx>
          <w:tblW w:w="0" w:type="auto"/>
          <w:tblInd w:w="108" w:type="dxa"/>
          <w:tblLayout w:type="fixed"/>
          <w:tblLook w:val="0000"/>
        </w:tblPrEx>
        <w:trPr>
          <w:trHeight w:val="20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0.36%；B份额固定管理费率（年化）为0.33%；C份额固定管理费率（年化）为0.31%；D份额固定管理费率（年化）为0.30%；E份额固定管理费率（年化）为0.41%；F份额固定管理费率（年化）为0.41%；H份额固定管理费率（年化）为0.31%；I份额固定管理费率（年化）为0.31%；Z份额固定管理费率（年化）为0.46%</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（A份额2.35%、B份额2.38%、C份额2.40%、D份额2.41%、E份额2.30%、F份额2.30%、H份额2.40%、I份额2.40%、Z份额2.25%），则超出部分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tblPrEx>
          <w:tblW w:w="0" w:type="auto"/>
          <w:tblInd w:w="108" w:type="dxa"/>
          <w:tblLayout w:type="fixed"/>
          <w:tblLook w:val="0000"/>
        </w:tblPrEx>
        <w:trPr>
          <w:trHeight w:val="20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Look w:val="0000"/>
        </w:tblPrEx>
        <w:trPr>
          <w:trHeight w:val="20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914A4A">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Look w:val="0000"/>
        </w:tblPrEx>
        <w:trPr>
          <w:trHeight w:val="195"/>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914A4A">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14A4A">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Look w:val="0000"/>
        </w:tblPrEx>
        <w:trPr>
          <w:trHeight w:val="16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Look w:val="0000"/>
        </w:tblPrEx>
        <w:trPr>
          <w:trHeight w:val="143"/>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914A4A">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tblPrEx>
          <w:tblW w:w="0" w:type="auto"/>
          <w:tblInd w:w="108" w:type="dxa"/>
          <w:tblLayout w:type="fixed"/>
          <w:tblLook w:val="0000"/>
        </w:tblPrEx>
        <w:trPr>
          <w:trHeight w:val="143"/>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914A4A">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14A4A">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0-20%</w:t>
            </w:r>
          </w:p>
        </w:tc>
      </w:tr>
    </w:tbl>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914A4A">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14A4A">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914A4A">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914A4A">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14A4A">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14A4A">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14A4A">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14A4A">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A份额年化费率为0.36%，B份额年化费率为0.33%，C份额年化费率为0.31%，D份额年化费率为0.30%，E份额年化费率为0.41%，F份额年化费率为0.41%，H份额年化费率为0.31%，I份额年化费率为0.31%，Z份额年化费率为0.46%</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A份额【0.36】%，B份额【0.33】%，C份额【0.31】%，D份额【0.30】%，E份额【0.41】%，F份额【0.41】%，H份额【0.31】%，I份额【0.31】%，Z份额【0.46】%</w:t>
      </w:r>
      <w:r>
        <w:rPr>
          <w:rFonts w:ascii="新宋体" w:eastAsia="新宋体" w:hAnsi="新宋体" w:cs="新宋体" w:hint="eastAsia"/>
          <w:sz w:val="21"/>
          <w:szCs w:val="21"/>
        </w:rPr>
        <w:t>年费率计提，由理财管理人收取。以A份额为例，计算方法如下：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0.36%</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914A4A">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本理财计划项下资产组合收益超出本理财计划业绩基准（A份额2.35%、B份额2.38%、C份额2.40%、D份额2.41%、E份额2.30%、F份额2.30%、H份额2.40%、I份额2.40%、Z份额2.25%）的部分，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rsidR="00914A4A">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14A4A">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14A4A">
      <w:pPr>
        <w:snapToGrid w:val="0"/>
        <w:spacing w:line="360" w:lineRule="auto"/>
        <w:ind w:firstLine="420" w:firstLineChars="200"/>
        <w:jc w:val="left"/>
        <w:rPr>
          <w:b/>
        </w:rPr>
      </w:pPr>
      <w:r>
        <w:rPr>
          <w:rFonts w:hint="eastAsia"/>
          <w:b/>
        </w:rPr>
        <w:t>（6）</w:t>
      </w:r>
      <w:r>
        <w:rPr>
          <w:b/>
        </w:rPr>
        <w:t>重大事项公告</w:t>
      </w:r>
      <w:r>
        <w:rPr>
          <w:rFonts w:hint="eastAsia"/>
          <w:b/>
        </w:rPr>
        <w:t>。</w:t>
      </w:r>
    </w:p>
    <w:p w:rsidR="00914A4A">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14A4A">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14A4A">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1" w:usb1="080E0000" w:usb2="00000010" w:usb3="00000000" w:csb0="00040000" w:csb1="00000000"/>
  </w:font>
  <w:font w:name="Cambria Math">
    <w:panose1 w:val="02040503050406030204"/>
    <w:charset w:val="01"/>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14A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rsidR="00914A4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0</TotalTime>
  <Pages>14</Pages>
  <Words>1942</Words>
  <Characters>11072</Characters>
  <Application>Microsoft Office Word</Application>
  <DocSecurity>0</DocSecurity>
  <Lines>92</Lines>
  <Paragraphs>25</Paragraphs>
  <ScaleCrop>false</ScaleCrop>
  <Company>WwW.YlmF.CoM</Company>
  <LinksUpToDate>false</LinksUpToDate>
  <CharactersWithSpaces>12989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2</cp:revision>
  <cp:lastPrinted>2011-09-18T02:03:00Z</cp:lastPrinted>
  <dcterms:created xsi:type="dcterms:W3CDTF">2023-07-25T08:36:00Z</dcterms:created>
  <dcterms:modified xsi:type="dcterms:W3CDTF">2026-01-29T08:35:00Z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