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6DF66">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679CDE3C">
      <w:pPr>
        <w:adjustRightInd w:val="0"/>
        <w:spacing w:line="360" w:lineRule="auto"/>
        <w:jc w:val="center"/>
        <w:rPr>
          <w:rStyle w:val="27"/>
          <w:rFonts w:ascii="宋体" w:hAnsi="宋体"/>
          <w:sz w:val="32"/>
          <w:szCs w:val="32"/>
        </w:rPr>
      </w:pPr>
    </w:p>
    <w:p w14:paraId="736D7BF5">
      <w:pPr>
        <w:adjustRightInd w:val="0"/>
        <w:spacing w:line="360" w:lineRule="auto"/>
        <w:jc w:val="center"/>
        <w:rPr>
          <w:rStyle w:val="27"/>
          <w:rFonts w:ascii="宋体" w:hAnsi="宋体"/>
          <w:sz w:val="32"/>
          <w:szCs w:val="32"/>
        </w:rPr>
      </w:pPr>
    </w:p>
    <w:p w14:paraId="6D376828">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98FD1D2">
      <w:pPr>
        <w:adjustRightInd w:val="0"/>
        <w:spacing w:line="360" w:lineRule="auto"/>
        <w:jc w:val="center"/>
        <w:rPr>
          <w:rStyle w:val="27"/>
          <w:rFonts w:ascii="宋体" w:hAnsi="宋体"/>
          <w:sz w:val="32"/>
          <w:szCs w:val="32"/>
        </w:rPr>
      </w:pPr>
    </w:p>
    <w:p w14:paraId="59A16067">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兴银理财【稳利安盈封闭式】理财产品</w:t>
      </w:r>
      <w:permEnd w:id="0"/>
    </w:p>
    <w:p w14:paraId="6E7349DF">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19D51F3E">
      <w:pPr>
        <w:adjustRightInd w:val="0"/>
        <w:spacing w:line="360" w:lineRule="auto"/>
        <w:jc w:val="center"/>
        <w:rPr>
          <w:rStyle w:val="27"/>
          <w:rFonts w:ascii="宋体" w:hAnsi="宋体"/>
          <w:sz w:val="32"/>
          <w:szCs w:val="32"/>
        </w:rPr>
      </w:pPr>
    </w:p>
    <w:p w14:paraId="1B81B364">
      <w:pPr>
        <w:adjustRightInd w:val="0"/>
        <w:spacing w:line="360" w:lineRule="auto"/>
        <w:jc w:val="center"/>
        <w:rPr>
          <w:rStyle w:val="27"/>
          <w:rFonts w:ascii="黑体" w:hAnsi="黑体" w:eastAsia="黑体"/>
          <w:bCs w:val="0"/>
          <w:sz w:val="28"/>
          <w:szCs w:val="28"/>
        </w:rPr>
      </w:pPr>
    </w:p>
    <w:p w14:paraId="29F6CF10">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2BDEFE35">
      <w:pPr>
        <w:adjustRightInd w:val="0"/>
        <w:spacing w:line="360" w:lineRule="auto"/>
        <w:jc w:val="center"/>
        <w:rPr>
          <w:rStyle w:val="27"/>
          <w:rFonts w:ascii="宋体" w:hAnsi="宋体"/>
          <w:sz w:val="32"/>
          <w:szCs w:val="32"/>
        </w:rPr>
      </w:pPr>
    </w:p>
    <w:p w14:paraId="5E281DCC">
      <w:pPr>
        <w:adjustRightInd w:val="0"/>
        <w:spacing w:line="360" w:lineRule="auto"/>
        <w:jc w:val="center"/>
        <w:rPr>
          <w:rStyle w:val="27"/>
          <w:rFonts w:ascii="宋体" w:hAnsi="宋体"/>
          <w:sz w:val="32"/>
          <w:szCs w:val="32"/>
        </w:rPr>
      </w:pPr>
    </w:p>
    <w:p w14:paraId="494E681B">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【2026】年【3】月</w:t>
      </w:r>
      <w:permEnd w:id="1"/>
    </w:p>
    <w:p w14:paraId="025F3540">
      <w:pPr>
        <w:adjustRightInd w:val="0"/>
        <w:spacing w:line="360" w:lineRule="auto"/>
        <w:jc w:val="center"/>
        <w:rPr>
          <w:rStyle w:val="27"/>
          <w:rFonts w:ascii="宋体" w:hAnsi="宋体"/>
          <w:sz w:val="32"/>
          <w:szCs w:val="32"/>
        </w:rPr>
      </w:pPr>
    </w:p>
    <w:p w14:paraId="391BD78B">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4E68BDE5">
          <w:pPr>
            <w:pStyle w:val="48"/>
            <w:spacing w:line="360" w:lineRule="auto"/>
            <w:jc w:val="center"/>
          </w:pPr>
          <w:permStart w:id="2" w:edGrp="everyone"/>
          <w:bookmarkStart w:id="0" w:name="_Toc78276587"/>
          <w:r>
            <w:rPr>
              <w:lang w:val="zh-CN"/>
            </w:rPr>
            <w:t>目录</w:t>
          </w:r>
        </w:p>
        <w:p w14:paraId="5F2B09E2">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146C98D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16D0B390">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17DF427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518D5574">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32B1325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7E9AA3E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00CAF7B6">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363FBD7C">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57F7FF8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2F052622">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73A09BFA">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47E81DFC">
          <w:pPr>
            <w:spacing w:line="360" w:lineRule="auto"/>
          </w:pPr>
          <w:r>
            <w:fldChar w:fldCharType="end"/>
          </w:r>
        </w:p>
      </w:sdtContent>
    </w:sdt>
    <w:permEnd w:id="2"/>
    <w:p w14:paraId="4EA4F3CF">
      <w:pPr>
        <w:rPr>
          <w:rFonts w:ascii="Times New Roman"/>
          <w:sz w:val="30"/>
        </w:rPr>
      </w:pPr>
      <w:r>
        <w:rPr>
          <w:rFonts w:ascii="Times New Roman"/>
          <w:sz w:val="30"/>
        </w:rPr>
        <w:br w:type="page"/>
      </w:r>
    </w:p>
    <w:p w14:paraId="359DF047">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392468F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107B550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3276E0B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0DBD1A5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62879AA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3212AD8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600CFEF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5E09188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1CA5D134">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320011C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5FA7F8E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26ABCB3F">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14:paraId="669C822D">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14:paraId="1F57B6A2">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14:paraId="349C693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14:paraId="77988D9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14:paraId="4EC5155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14:paraId="74687D91">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26896BD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39453D1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14:paraId="76D8286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14:paraId="5CF96AB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61C5703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5F10E4F3">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3B25DF2B">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2AF510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169806E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67ABE0A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11A5B4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258436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726522B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3D3493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0A779A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1A41D7A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2AD318A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055F3B7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1EB25B2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6F8553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0F766589">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7D7A363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372CEC4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1456D0D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68D70A7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48CC530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5FD555C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364DD65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5F4D8AF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665ECF5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2A762525">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750E7F5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7389CC8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11693499">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3D453F9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29CA649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77551C3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6FA7C3E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40681881">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A40F052">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30F1B7A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1D1186C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457D7321">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5390CAD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6CAAA99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21DE2F6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3983E6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30628F5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7E55CDE4">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114DAB4B">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7D66C610">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2CF81F61">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4A0326A1">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490B8FEF">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70D0589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1E65EA98">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300CF2E2">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7C5E50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14:paraId="59D66787">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4B782B91">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0"/>
                <w:sz w:val="18"/>
                <w:szCs w:val="18"/>
                <w:lang w:val="en-US" w:eastAsia="zh-CN" w:bidi="ar"/>
              </w:rPr>
              <w:t>【兴银理财稳利安盈封闭式2026年459期固收类理财产品】</w:t>
            </w:r>
          </w:p>
        </w:tc>
      </w:tr>
      <w:tr w14:paraId="0305AA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14:paraId="576DBC52">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14:paraId="709BC4CE">
            <w:pPr>
              <w:keepNext w:val="0"/>
              <w:keepLines w:val="0"/>
              <w:widowControl/>
              <w:suppressLineNumbers w:val="0"/>
              <w:spacing w:before="0" w:beforeAutospacing="0" w:after="0" w:afterAutospacing="0" w:line="360" w:lineRule="auto"/>
              <w:ind w:left="0" w:leftChars="0" w:right="0" w:rightChars="0"/>
              <w:jc w:val="left"/>
              <w:rPr>
                <w:rFonts w:ascii="宋体" w:hAnsi="宋体"/>
                <w:kern w:val="0"/>
                <w:sz w:val="22"/>
              </w:rPr>
            </w:pPr>
            <w:r>
              <w:rPr>
                <w:rFonts w:ascii="宋体" w:hAnsi="宋体" w:eastAsia="宋体" w:cs="宋体"/>
                <w:sz w:val="18"/>
              </w:rPr>
              <w:t>【稳利安盈2026年459期A】 (适用【A】类份额)</w:t>
            </w:r>
            <w:r>
              <w:rPr>
                <w:rFonts w:ascii="宋体" w:hAnsi="宋体" w:eastAsia="宋体" w:cs="宋体"/>
                <w:sz w:val="18"/>
              </w:rPr>
              <w:br w:type="textWrapping"/>
            </w:r>
            <w:r>
              <w:rPr>
                <w:rFonts w:ascii="宋体" w:hAnsi="宋体" w:eastAsia="宋体" w:cs="宋体"/>
                <w:sz w:val="18"/>
              </w:rPr>
              <w:t>【稳利安盈2026年459期B】 (适用【B】类份额)</w:t>
            </w:r>
            <w:r>
              <w:rPr>
                <w:rFonts w:ascii="宋体" w:hAnsi="宋体" w:eastAsia="宋体" w:cs="宋体"/>
                <w:sz w:val="18"/>
              </w:rPr>
              <w:br w:type="textWrapping"/>
            </w:r>
            <w:r>
              <w:rPr>
                <w:rFonts w:ascii="宋体" w:hAnsi="宋体" w:eastAsia="宋体" w:cs="宋体"/>
                <w:sz w:val="18"/>
              </w:rPr>
              <w:t>【稳利安盈2026年459期C】 (适用【C】类份额)</w:t>
            </w:r>
            <w:r>
              <w:rPr>
                <w:rFonts w:ascii="宋体" w:hAnsi="宋体" w:eastAsia="宋体" w:cs="宋体"/>
                <w:sz w:val="18"/>
              </w:rPr>
              <w:br w:type="textWrapping"/>
            </w:r>
            <w:r>
              <w:rPr>
                <w:rFonts w:ascii="宋体" w:hAnsi="宋体" w:eastAsia="宋体" w:cs="宋体"/>
                <w:sz w:val="18"/>
              </w:rPr>
              <w:t>【稳利安盈2026年459期F】 (适用【F】类份额)</w:t>
            </w:r>
          </w:p>
        </w:tc>
      </w:tr>
      <w:tr w14:paraId="40B220D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06949751">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14:paraId="2C72160C">
            <w:pPr>
              <w:keepNext w:val="0"/>
              <w:keepLines w:val="0"/>
              <w:suppressLineNumbers w:val="0"/>
              <w:spacing w:before="0" w:beforeAutospacing="0" w:after="0" w:afterAutospacing="0" w:line="360" w:lineRule="auto"/>
              <w:ind w:left="0" w:leftChars="0" w:right="0" w:rightChars="0"/>
              <w:jc w:val="left"/>
              <w:rPr>
                <w:rFonts w:ascii="宋体" w:hAnsi="宋体"/>
                <w:b/>
                <w:sz w:val="18"/>
                <w:szCs w:val="18"/>
              </w:rPr>
            </w:pPr>
            <w:r>
              <w:rPr>
                <w:rFonts w:hint="eastAsia" w:asciiTheme="minorEastAsia" w:hAnsiTheme="minorEastAsia"/>
                <w:sz w:val="18"/>
                <w:szCs w:val="18"/>
              </w:rPr>
              <w:t>【</w:t>
            </w:r>
            <w:r>
              <w:rPr>
                <w:rFonts w:hint="eastAsia" w:asciiTheme="minorEastAsia" w:hAnsiTheme="minorEastAsia"/>
                <w:sz w:val="18"/>
                <w:szCs w:val="18"/>
                <w:lang w:val="en-US" w:eastAsia="zh-CN"/>
              </w:rPr>
              <w:t>Z7002025001977</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5D3919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0CDCE234">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2CEDFC7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【9A264590】</w:t>
            </w:r>
          </w:p>
        </w:tc>
      </w:tr>
      <w:tr w14:paraId="2BAC89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7BFF175D">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vAlign w:val="top"/>
          </w:tcPr>
          <w:p w14:paraId="62C8C4D1">
            <w:pPr>
              <w:keepNext w:val="0"/>
              <w:keepLines w:val="0"/>
              <w:widowControl w:val="0"/>
              <w:suppressLineNumbers w:val="0"/>
              <w:spacing w:before="0" w:beforeAutospacing="0" w:after="0" w:afterAutospacing="0" w:line="360" w:lineRule="auto"/>
              <w:ind w:left="0" w:leftChars="0" w:right="0" w:rightChars="0"/>
              <w:jc w:val="left"/>
              <w:rPr>
                <w:rFonts w:hAnsi="宋体"/>
                <w:sz w:val="18"/>
                <w:szCs w:val="18"/>
              </w:rPr>
            </w:pPr>
            <w:r>
              <w:rPr>
                <w:rFonts w:ascii="宋体" w:hAnsi="宋体" w:eastAsia="宋体" w:cs="宋体"/>
                <w:sz w:val="18"/>
              </w:rPr>
              <w:t>【9A26459A】 (适用【A】类份额)</w:t>
            </w:r>
            <w:r>
              <w:rPr>
                <w:rFonts w:ascii="宋体" w:hAnsi="宋体" w:eastAsia="宋体" w:cs="宋体"/>
                <w:sz w:val="18"/>
              </w:rPr>
              <w:br w:type="textWrapping"/>
            </w:r>
            <w:r>
              <w:rPr>
                <w:rFonts w:ascii="宋体" w:hAnsi="宋体" w:eastAsia="宋体" w:cs="宋体"/>
                <w:sz w:val="18"/>
              </w:rPr>
              <w:t>【9A26459B】 (适用【B】类份额)</w:t>
            </w:r>
            <w:r>
              <w:rPr>
                <w:rFonts w:ascii="宋体" w:hAnsi="宋体" w:eastAsia="宋体" w:cs="宋体"/>
                <w:sz w:val="18"/>
              </w:rPr>
              <w:br w:type="textWrapping"/>
            </w:r>
            <w:r>
              <w:rPr>
                <w:rFonts w:ascii="宋体" w:hAnsi="宋体" w:eastAsia="宋体" w:cs="宋体"/>
                <w:sz w:val="18"/>
              </w:rPr>
              <w:t>【9A26459C】 (适用【C】类份额)</w:t>
            </w:r>
            <w:r>
              <w:rPr>
                <w:rFonts w:ascii="宋体" w:hAnsi="宋体" w:eastAsia="宋体" w:cs="宋体"/>
                <w:sz w:val="18"/>
              </w:rPr>
              <w:br w:type="textWrapping"/>
            </w:r>
            <w:r>
              <w:rPr>
                <w:rFonts w:ascii="宋体" w:hAnsi="宋体" w:eastAsia="宋体" w:cs="宋体"/>
                <w:sz w:val="18"/>
              </w:rPr>
              <w:t>【9A26459F】 (适用【F】类份额)</w:t>
            </w:r>
          </w:p>
        </w:tc>
      </w:tr>
      <w:tr w14:paraId="0879062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30EDF85C">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14:paraId="63925CFA">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4D97A89A">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14:paraId="0C0593CB">
            <w:pPr>
              <w:spacing w:line="360" w:lineRule="auto"/>
              <w:rPr>
                <w:rFonts w:ascii="宋体" w:hAnsi="宋体"/>
                <w:bCs/>
                <w:sz w:val="18"/>
                <w:szCs w:val="18"/>
              </w:rPr>
            </w:pPr>
            <w:r>
              <w:rPr>
                <w:rFonts w:hint="eastAsia" w:ascii="宋体" w:hAnsi="宋体"/>
                <w:bCs/>
                <w:sz w:val="18"/>
                <w:szCs w:val="18"/>
              </w:rPr>
              <w:t>（1）销售名称</w:t>
            </w:r>
          </w:p>
          <w:p w14:paraId="4270A808">
            <w:pPr>
              <w:spacing w:line="360" w:lineRule="auto"/>
              <w:rPr>
                <w:rFonts w:ascii="宋体" w:hAnsi="宋体"/>
                <w:bCs/>
                <w:sz w:val="18"/>
                <w:szCs w:val="18"/>
              </w:rPr>
            </w:pPr>
            <w:r>
              <w:rPr>
                <w:rFonts w:hint="eastAsia" w:ascii="宋体" w:hAnsi="宋体"/>
                <w:bCs/>
                <w:sz w:val="18"/>
                <w:szCs w:val="18"/>
              </w:rPr>
              <w:t>（2）收费方式</w:t>
            </w:r>
          </w:p>
          <w:p w14:paraId="585A934C">
            <w:pPr>
              <w:spacing w:line="360" w:lineRule="auto"/>
              <w:rPr>
                <w:rFonts w:ascii="宋体" w:hAnsi="宋体"/>
                <w:bCs/>
                <w:sz w:val="18"/>
                <w:szCs w:val="18"/>
              </w:rPr>
            </w:pPr>
            <w:r>
              <w:rPr>
                <w:rFonts w:hint="eastAsia" w:ascii="宋体" w:hAnsi="宋体"/>
                <w:bCs/>
                <w:sz w:val="18"/>
                <w:szCs w:val="18"/>
              </w:rPr>
              <w:t>（3）销售服务费</w:t>
            </w:r>
          </w:p>
          <w:p w14:paraId="43D950DC">
            <w:pPr>
              <w:spacing w:line="360" w:lineRule="auto"/>
              <w:rPr>
                <w:rFonts w:ascii="宋体" w:hAnsi="宋体"/>
                <w:bCs/>
                <w:sz w:val="18"/>
                <w:szCs w:val="18"/>
              </w:rPr>
            </w:pPr>
            <w:r>
              <w:rPr>
                <w:rFonts w:hint="eastAsia" w:ascii="宋体" w:hAnsi="宋体"/>
                <w:bCs/>
                <w:sz w:val="18"/>
                <w:szCs w:val="18"/>
              </w:rPr>
              <w:t>（4）销售代码</w:t>
            </w:r>
          </w:p>
          <w:p w14:paraId="326FFD17">
            <w:pPr>
              <w:spacing w:line="360" w:lineRule="auto"/>
              <w:rPr>
                <w:rFonts w:ascii="宋体" w:hAnsi="宋体"/>
                <w:bCs/>
                <w:sz w:val="18"/>
                <w:szCs w:val="18"/>
              </w:rPr>
            </w:pPr>
            <w:r>
              <w:rPr>
                <w:rFonts w:hint="eastAsia" w:ascii="宋体" w:hAnsi="宋体"/>
                <w:bCs/>
                <w:sz w:val="18"/>
                <w:szCs w:val="18"/>
              </w:rPr>
              <w:t>（5）销售对象</w:t>
            </w:r>
          </w:p>
          <w:p w14:paraId="5DC875B0">
            <w:pPr>
              <w:spacing w:line="360" w:lineRule="auto"/>
              <w:rPr>
                <w:rFonts w:ascii="宋体" w:hAnsi="宋体"/>
                <w:bCs/>
                <w:sz w:val="18"/>
                <w:szCs w:val="18"/>
              </w:rPr>
            </w:pPr>
            <w:r>
              <w:rPr>
                <w:rFonts w:hint="eastAsia" w:ascii="宋体" w:hAnsi="宋体"/>
                <w:bCs/>
                <w:sz w:val="18"/>
                <w:szCs w:val="18"/>
              </w:rPr>
              <w:t>（6）销售起点金额（认购、申购的起点金额）</w:t>
            </w:r>
          </w:p>
          <w:p w14:paraId="623ACBF4">
            <w:pPr>
              <w:spacing w:line="360" w:lineRule="auto"/>
              <w:rPr>
                <w:rFonts w:ascii="宋体" w:hAnsi="宋体"/>
                <w:bCs/>
                <w:sz w:val="18"/>
                <w:szCs w:val="18"/>
              </w:rPr>
            </w:pPr>
            <w:r>
              <w:rPr>
                <w:rFonts w:hint="eastAsia" w:ascii="宋体" w:hAnsi="宋体"/>
                <w:bCs/>
                <w:sz w:val="18"/>
                <w:szCs w:val="18"/>
              </w:rPr>
              <w:t>（7）投资者认购、申购和赎回的数量限制</w:t>
            </w:r>
          </w:p>
          <w:p w14:paraId="7D87B6C4">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73471050">
            <w:pPr>
              <w:spacing w:line="360" w:lineRule="auto"/>
              <w:rPr>
                <w:rFonts w:ascii="宋体" w:hAnsi="宋体"/>
                <w:bCs/>
                <w:sz w:val="18"/>
                <w:szCs w:val="18"/>
              </w:rPr>
            </w:pPr>
            <w:r>
              <w:rPr>
                <w:rFonts w:hint="eastAsia" w:ascii="宋体" w:hAnsi="宋体"/>
                <w:bCs/>
                <w:sz w:val="18"/>
                <w:szCs w:val="18"/>
              </w:rPr>
              <w:t>（9）分别计算和公告产品份额净值</w:t>
            </w:r>
          </w:p>
          <w:p w14:paraId="0B9F4DFD">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14:paraId="4BF2C91D">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14:paraId="69E160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878452C">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02D287B6">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0277F1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A93AF9B">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0AE646D">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500A92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8D56416">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09C1270B">
            <w:pPr>
              <w:spacing w:line="360" w:lineRule="auto"/>
              <w:rPr>
                <w:rFonts w:ascii="宋体" w:hAnsi="宋体"/>
                <w:bCs/>
                <w:sz w:val="18"/>
                <w:szCs w:val="18"/>
              </w:rPr>
            </w:pPr>
            <w:r>
              <w:rPr>
                <w:rFonts w:hint="eastAsia" w:ascii="宋体" w:hAnsi="宋体"/>
                <w:bCs/>
                <w:sz w:val="18"/>
                <w:szCs w:val="18"/>
              </w:rPr>
              <w:t>封闭式</w:t>
            </w:r>
          </w:p>
        </w:tc>
      </w:tr>
      <w:tr w14:paraId="11ABFC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68E50EA">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5C2E4EB8">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17AE7CFD">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14:paraId="6ADBA5D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2567254">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14:paraId="11FB2B1B">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14:paraId="62F7985A">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229B3649">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73D29D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5C09C5B">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5DC3C5B3">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387BE53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44A9F33">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14:paraId="4D1B30A5">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val="en-US" w:eastAsia="zh-CN"/>
              </w:rPr>
              <w:t>■</w:t>
            </w:r>
            <w:r>
              <w:rPr>
                <w:rFonts w:hint="eastAsia" w:ascii="黑体" w:hAnsi="黑体" w:eastAsia="黑体" w:cs="黑体"/>
                <w:bCs/>
                <w:sz w:val="18"/>
                <w:szCs w:val="18"/>
              </w:rPr>
              <w:t xml:space="preserve"> R1、□ R2、□ R3、□ R4、□ R5】理财产品。</w:t>
            </w:r>
          </w:p>
          <w:p w14:paraId="45015037">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097B7BFA">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14:paraId="2AE89B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00E3A0B">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4E9E18BF">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 (适用【A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/B/C/F</w:t>
            </w:r>
            <w:r>
              <w:rPr>
                <w:rFonts w:asciiTheme="majorEastAsia" w:hAnsiTheme="majorEastAsia" w:eastAsiaTheme="majorEastAsia"/>
                <w:bCs/>
                <w:color w:val="000000" w:themeColor="text1"/>
                <w:sz w:val="18"/>
                <w:szCs w:val="18"/>
                <w14:textFill>
                  <w14:solidFill>
                    <w14:schemeClr w14:val="tx1"/>
                  </w14:solidFill>
                </w14:textFill>
              </w:rPr>
              <w:t>】类份额)</w:t>
            </w:r>
          </w:p>
          <w:p w14:paraId="51D199E2">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■个人投资者</w:t>
            </w:r>
          </w:p>
          <w:p w14:paraId="624B925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■机构投资者</w:t>
            </w:r>
          </w:p>
        </w:tc>
      </w:tr>
      <w:tr w14:paraId="3BF5220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926A330">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655BDF67">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5C1DA55A">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540F7E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B14BB18">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186EF4BB">
            <w:pPr>
              <w:spacing w:line="360" w:lineRule="auto"/>
              <w:jc w:val="left"/>
              <w:rPr>
                <w:rFonts w:ascii="宋体" w:hAnsi="宋体"/>
                <w:sz w:val="18"/>
                <w:szCs w:val="18"/>
              </w:rPr>
            </w:pPr>
            <w:r>
              <w:rPr>
                <w:rFonts w:hint="eastAsia" w:ascii="宋体" w:hAnsi="宋体"/>
                <w:sz w:val="18"/>
                <w:szCs w:val="18"/>
              </w:rPr>
              <w:t>□ 直销适用</w:t>
            </w:r>
          </w:p>
          <w:p w14:paraId="04B3857A">
            <w:pPr>
              <w:spacing w:line="360" w:lineRule="auto"/>
              <w:jc w:val="left"/>
              <w:rPr>
                <w:rFonts w:ascii="宋体" w:hAnsi="宋体"/>
                <w:sz w:val="18"/>
                <w:szCs w:val="18"/>
              </w:rPr>
            </w:pPr>
            <w:r>
              <w:rPr>
                <w:rFonts w:hint="eastAsia" w:ascii="宋体" w:hAnsi="宋体"/>
                <w:sz w:val="18"/>
                <w:szCs w:val="18"/>
              </w:rPr>
              <w:t>本产品由产品管理人销售。</w:t>
            </w:r>
          </w:p>
          <w:p w14:paraId="7A52DA0A">
            <w:pPr>
              <w:spacing w:line="360" w:lineRule="auto"/>
              <w:jc w:val="left"/>
              <w:rPr>
                <w:rFonts w:ascii="宋体" w:hAnsi="宋体"/>
                <w:sz w:val="18"/>
                <w:szCs w:val="18"/>
              </w:rPr>
            </w:pPr>
            <w:r>
              <w:rPr>
                <w:rFonts w:hint="eastAsia" w:ascii="宋体" w:hAnsi="宋体"/>
                <w:sz w:val="18"/>
                <w:szCs w:val="18"/>
              </w:rPr>
              <w:t>■ 代销适用</w:t>
            </w:r>
          </w:p>
          <w:p w14:paraId="1CDFA694">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4F67B7F5">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7E52BB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BBA4BC">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14:paraId="04898222">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4438E6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7316886">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2F306325">
            <w:pPr>
              <w:spacing w:line="360" w:lineRule="auto"/>
              <w:rPr>
                <w:rFonts w:asciiTheme="majorEastAsia" w:hAnsiTheme="majorEastAsia" w:eastAsiaTheme="majorEastAsia"/>
                <w:bCs/>
                <w:sz w:val="18"/>
                <w:szCs w:val="18"/>
              </w:rPr>
            </w:pPr>
            <w:r>
              <w:rPr>
                <w:rFonts w:hint="eastAsia"/>
              </w:rPr>
              <w:t>兴业银行股份有限公司</w:t>
            </w:r>
          </w:p>
        </w:tc>
      </w:tr>
      <w:tr w14:paraId="7D06BA1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19635ED">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02C0D22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规模为【8】亿元，最小成立规模为【1.2】亿元。</w:t>
            </w:r>
          </w:p>
          <w:p w14:paraId="3D83FA8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14:paraId="3E4BFBE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0A35BC5">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20B57F17">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■有固定期限:【125天】</w:t>
            </w:r>
          </w:p>
          <w:p w14:paraId="1E9EB043">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□无固定期限</w:t>
            </w:r>
          </w:p>
          <w:p w14:paraId="3F4AC8A5">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1DD4D5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9450F6B">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3E9AD43E">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【2026年03月18日】【09:00】至【2026年03月25日】【17:00】</w:t>
            </w:r>
            <w:r>
              <w:rPr>
                <w:rFonts w:asciiTheme="majorEastAsia" w:hAnsiTheme="majorEastAsia" w:eastAsiaTheme="majorEastAsia"/>
                <w:sz w:val="18"/>
                <w:szCs w:val="18"/>
              </w:rPr>
              <w:t>。</w:t>
            </w:r>
          </w:p>
          <w:p w14:paraId="3B24C92F">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59EB9077">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14:paraId="2B9E5363">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05B7F949">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61161905">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625611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7C31B00">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656E1CF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4B7E4E5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B7B1A19">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0C8433FD">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2026年03月26日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0A63A109">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14:paraId="2B8DDB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88D85BF">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601B9C10">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2026年07月29日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7D5E2D35">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4854C7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C94205E">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14:paraId="0D56300D">
            <w:pPr>
              <w:spacing w:line="360" w:lineRule="auto"/>
              <w:rPr>
                <w:rFonts w:hint="eastAsia" w:asciiTheme="majorEastAsia" w:hAnsiTheme="majorEastAsia" w:eastAsiaTheme="majorEastAsia"/>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超出起点金额的部分以【0.01】元的整数倍递增。（适用【F】类份额)</w:t>
            </w:r>
          </w:p>
          <w:p w14:paraId="69793AC9">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7E818D53">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7D223A05">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507409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A6614EB">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14:paraId="1E0CC657">
            <w:pPr>
              <w:pStyle w:val="34"/>
              <w:spacing w:line="360" w:lineRule="auto"/>
              <w:rPr>
                <w:rFonts w:hint="eastAsia" w:hAnsi="宋体"/>
                <w:bCs/>
                <w:sz w:val="18"/>
                <w:szCs w:val="18"/>
                <w:lang w:val="en-US" w:eastAsia="zh-CN"/>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单一投资者认购上限为【/】元。（适用【B】类份额)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单一投资者认购上限为【/】元。（适用【F】类份额)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产品存续期间，单一投资者最高持有份额上限为【/】份，符合产品管理人流动性管理的稳定资金除外。（适用【F】类份额)</w:t>
            </w:r>
          </w:p>
          <w:p w14:paraId="50076EAA">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14:paraId="3747F42A">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14:paraId="35CD85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ECA4771">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14:paraId="7E735C83">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16E98A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F849C80">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093FC33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384F73E4">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14:paraId="49258414">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14:paraId="0BFC4C1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762343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5D374AE0">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760CD802">
            <w:pPr>
              <w:spacing w:line="360" w:lineRule="auto"/>
              <w:jc w:val="left"/>
              <w:rPr>
                <w:rFonts w:hint="eastAsia" w:hAnsi="宋体"/>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年化【1.88%】。（适用【A】类份额)</w:t>
            </w:r>
            <w:r>
              <w:rPr>
                <w:rFonts w:ascii="宋体" w:hAnsi="宋体" w:eastAsia="宋体" w:cs="宋体"/>
                <w:sz w:val="18"/>
              </w:rPr>
              <w:br w:type="textWrapping"/>
            </w:r>
            <w:r>
              <w:rPr>
                <w:rFonts w:ascii="宋体" w:hAnsi="宋体" w:eastAsia="宋体" w:cs="宋体"/>
                <w:sz w:val="18"/>
              </w:rPr>
              <w:t>年化【1.83%】。（适用【B】类份额)</w:t>
            </w:r>
            <w:r>
              <w:rPr>
                <w:rFonts w:ascii="宋体" w:hAnsi="宋体" w:eastAsia="宋体" w:cs="宋体"/>
                <w:sz w:val="18"/>
              </w:rPr>
              <w:br w:type="textWrapping"/>
            </w:r>
            <w:r>
              <w:rPr>
                <w:rFonts w:ascii="宋体" w:hAnsi="宋体" w:eastAsia="宋体" w:cs="宋体"/>
                <w:sz w:val="18"/>
              </w:rPr>
              <w:t>年化【1.73%】。（适用【C】类份额)</w:t>
            </w:r>
            <w:r>
              <w:rPr>
                <w:rFonts w:ascii="宋体" w:hAnsi="宋体" w:eastAsia="宋体" w:cs="宋体"/>
                <w:sz w:val="18"/>
              </w:rPr>
              <w:br w:type="textWrapping"/>
            </w:r>
            <w:r>
              <w:rPr>
                <w:rFonts w:ascii="宋体" w:hAnsi="宋体" w:eastAsia="宋体" w:cs="宋体"/>
                <w:sz w:val="18"/>
              </w:rPr>
              <w:t>年化【1.63%】。（适用【F】类份额)</w:t>
            </w:r>
            <w:r>
              <w:rPr>
                <w:rFonts w:ascii="宋体" w:hAnsi="宋体" w:eastAsia="宋体" w:cs="宋体"/>
                <w:sz w:val="18"/>
              </w:rPr>
              <w:br w:type="textWrapping"/>
            </w:r>
            <w:r>
              <w:rPr>
                <w:rFonts w:ascii="宋体" w:hAnsi="宋体" w:eastAsia="宋体" w:cs="宋体"/>
                <w:sz w:val="18"/>
              </w:rPr>
              <w:t>□ 产品管理人不设置业绩比较基准。</w:t>
            </w:r>
          </w:p>
          <w:p w14:paraId="2485EA71">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5342C996">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76ED6F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79FE898C">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56EEDF7D">
            <w:pPr>
              <w:spacing w:line="360" w:lineRule="auto"/>
              <w:jc w:val="left"/>
              <w:rPr>
                <w:rFonts w:hint="eastAsia" w:hAnsi="宋体"/>
                <w:bCs/>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年化【1.88%】。（适用【A】类份额)</w:t>
            </w:r>
            <w:r>
              <w:rPr>
                <w:rFonts w:ascii="宋体" w:hAnsi="宋体" w:eastAsia="宋体" w:cs="宋体"/>
                <w:sz w:val="18"/>
              </w:rPr>
              <w:br w:type="textWrapping"/>
            </w:r>
            <w:r>
              <w:rPr>
                <w:rFonts w:ascii="宋体" w:hAnsi="宋体" w:eastAsia="宋体" w:cs="宋体"/>
                <w:sz w:val="18"/>
              </w:rPr>
              <w:t>年化【1.83%】。（适用【B】类份额)</w:t>
            </w:r>
            <w:r>
              <w:rPr>
                <w:rFonts w:ascii="宋体" w:hAnsi="宋体" w:eastAsia="宋体" w:cs="宋体"/>
                <w:sz w:val="18"/>
              </w:rPr>
              <w:br w:type="textWrapping"/>
            </w:r>
            <w:r>
              <w:rPr>
                <w:rFonts w:ascii="宋体" w:hAnsi="宋体" w:eastAsia="宋体" w:cs="宋体"/>
                <w:sz w:val="18"/>
              </w:rPr>
              <w:t>年化【1.73%】。（适用【C】类份额)</w:t>
            </w:r>
            <w:r>
              <w:rPr>
                <w:rFonts w:ascii="宋体" w:hAnsi="宋体" w:eastAsia="宋体" w:cs="宋体"/>
                <w:sz w:val="18"/>
              </w:rPr>
              <w:br w:type="textWrapping"/>
            </w:r>
            <w:r>
              <w:rPr>
                <w:rFonts w:ascii="宋体" w:hAnsi="宋体" w:eastAsia="宋体" w:cs="宋体"/>
                <w:sz w:val="18"/>
              </w:rPr>
              <w:t>年化【1.63%】。（适用【F】类份额)</w:t>
            </w:r>
            <w:r>
              <w:rPr>
                <w:rFonts w:ascii="宋体" w:hAnsi="宋体" w:eastAsia="宋体" w:cs="宋体"/>
                <w:sz w:val="18"/>
              </w:rPr>
              <w:br w:type="textWrapping"/>
            </w:r>
            <w:r>
              <w:rPr>
                <w:rFonts w:ascii="宋体" w:hAnsi="宋体" w:eastAsia="宋体" w:cs="宋体"/>
                <w:sz w:val="18"/>
              </w:rPr>
              <w:t>□ 产品管理人不设置业绩报酬计提基准。</w:t>
            </w:r>
          </w:p>
          <w:p w14:paraId="383F50E8">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67AA5EE1">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1517F2E1">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755540D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3E4E95CC">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6841C7FA">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56606EBE">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14:paraId="08DC66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9BE6515">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0F653B65">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【/】。（适用【F】类份额）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年化费率【0.05%】。（适用【A】类份额）</w:t>
            </w:r>
            <w:r>
              <w:rPr>
                <w:rFonts w:ascii="黑体" w:hAnsi="黑体" w:eastAsia="黑体" w:cs="黑体"/>
                <w:sz w:val="18"/>
              </w:rPr>
              <w:br w:type="textWrapping"/>
            </w:r>
            <w:r>
              <w:rPr>
                <w:rFonts w:ascii="黑体" w:hAnsi="黑体" w:eastAsia="黑体" w:cs="黑体"/>
                <w:sz w:val="18"/>
              </w:rPr>
              <w:t>年化费率【0.1%】。（适用【B】类份额）</w:t>
            </w:r>
            <w:r>
              <w:rPr>
                <w:rFonts w:ascii="黑体" w:hAnsi="黑体" w:eastAsia="黑体" w:cs="黑体"/>
                <w:sz w:val="18"/>
              </w:rPr>
              <w:br w:type="textWrapping"/>
            </w:r>
            <w:r>
              <w:rPr>
                <w:rFonts w:ascii="黑体" w:hAnsi="黑体" w:eastAsia="黑体" w:cs="黑体"/>
                <w:sz w:val="18"/>
              </w:rPr>
              <w:t>年化费率【0.2%】。（适用【C】类份额）</w:t>
            </w:r>
            <w:r>
              <w:rPr>
                <w:rFonts w:ascii="黑体" w:hAnsi="黑体" w:eastAsia="黑体" w:cs="黑体"/>
                <w:sz w:val="18"/>
              </w:rPr>
              <w:br w:type="textWrapping"/>
            </w:r>
            <w:r>
              <w:rPr>
                <w:rFonts w:ascii="黑体" w:hAnsi="黑体" w:eastAsia="黑体" w:cs="黑体"/>
                <w:sz w:val="18"/>
              </w:rPr>
              <w:t>年化费率【0.3%】。（适用【F】类份额）</w:t>
            </w:r>
            <w:r>
              <w:rPr>
                <w:rFonts w:ascii="黑体" w:hAnsi="黑体" w:eastAsia="黑体" w:cs="黑体"/>
                <w:sz w:val="18"/>
              </w:rPr>
              <w:br w:type="textWrapping"/>
            </w:r>
            <w:r>
              <w:rPr>
                <w:rFonts w:ascii="黑体" w:hAnsi="黑体" w:eastAsia="黑体" w:cs="黑体"/>
                <w:sz w:val="18"/>
              </w:rPr>
              <w:t>（3）投资管理费：年化费率【0.01%】</w:t>
            </w:r>
            <w:r>
              <w:rPr>
                <w:rFonts w:ascii="黑体" w:hAnsi="黑体" w:eastAsia="黑体" w:cs="黑体"/>
                <w:sz w:val="18"/>
              </w:rPr>
              <w:br w:type="textWrapping"/>
            </w:r>
            <w:r>
              <w:rPr>
                <w:rFonts w:ascii="黑体" w:hAnsi="黑体" w:eastAsia="黑体" w:cs="黑体"/>
                <w:sz w:val="18"/>
              </w:rPr>
              <w:t>（4）产品托管费：年化费率【0.01%】</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14:paraId="101FD3C6">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24D7BB34">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5F3AE3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BDB2B6D">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3949C2EE">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BD9AC1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AB0C7B">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220702AC">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75DB398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0ABA2D5">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6A954AA7">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123F93B5">
      <w:pPr>
        <w:pStyle w:val="34"/>
        <w:spacing w:line="360" w:lineRule="auto"/>
        <w:rPr>
          <w:rFonts w:hAnsi="宋体"/>
          <w:sz w:val="18"/>
          <w:szCs w:val="18"/>
        </w:rPr>
      </w:pPr>
    </w:p>
    <w:p w14:paraId="0B9AE1D2">
      <w:pPr>
        <w:widowControl/>
        <w:spacing w:line="360" w:lineRule="auto"/>
        <w:jc w:val="left"/>
        <w:rPr>
          <w:rFonts w:ascii="宋体" w:hAnsi="宋体"/>
          <w:color w:val="000000"/>
          <w:kern w:val="0"/>
          <w:sz w:val="18"/>
          <w:szCs w:val="18"/>
        </w:rPr>
      </w:pPr>
      <w:r>
        <w:rPr>
          <w:rFonts w:hAnsi="宋体"/>
          <w:sz w:val="18"/>
          <w:szCs w:val="18"/>
        </w:rPr>
        <w:br w:type="page"/>
      </w:r>
    </w:p>
    <w:p w14:paraId="200B93A2">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0C1509BF">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098BB26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11B266F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78C45CD2">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5CA13539">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13678664">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3B3A7E46">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3C574F14">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67AC957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426F8AEF">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35D67231">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1F1289A6">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5D4152B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32C6BF3F">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73F638CE">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2945315F">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7BEE29A8">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76DB878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7CAC9571">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030E01C1">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30370427">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02696507">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0E8FC65C">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087A997F">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4183678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7F8750C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4E81B41A">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7EB01AD3">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415C2D9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01B33C05">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23D907E2">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12604F34">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25F8893A">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14:paraId="469DC52A">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4591BEC4">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4BD3431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7B51559F">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6C3F35E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54855E5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582AACE5">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3D2E3487">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14D6006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1C692D46">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7908DB2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2728EC26">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1307C9B1">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4AD6F3C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35DC918B">
      <w:pPr>
        <w:pStyle w:val="2"/>
        <w:spacing w:before="0" w:after="0" w:line="360" w:lineRule="auto"/>
        <w:jc w:val="center"/>
        <w:rPr>
          <w:rFonts w:ascii="Times New Roman"/>
          <w:sz w:val="30"/>
        </w:rPr>
      </w:pPr>
      <w:bookmarkStart w:id="9" w:name="_Toc176189756"/>
      <w:bookmarkStart w:id="10" w:name="_Toc4771"/>
      <w:bookmarkStart w:id="11" w:name="_Toc29784"/>
      <w:bookmarkStart w:id="12" w:name="_Toc79154668"/>
      <w:bookmarkStart w:id="13" w:name="_Toc7151"/>
      <w:bookmarkStart w:id="14" w:name="_Toc3266"/>
      <w:bookmarkStart w:id="15" w:name="_Toc27189"/>
      <w:bookmarkStart w:id="16" w:name="_Toc27226"/>
      <w:bookmarkStart w:id="17" w:name="_Toc90742321"/>
      <w:bookmarkStart w:id="18" w:name="_Toc6714"/>
      <w:bookmarkStart w:id="19" w:name="_Toc15203"/>
      <w:bookmarkStart w:id="20" w:name="_Toc16265"/>
      <w:bookmarkStart w:id="21" w:name="_Toc22074"/>
      <w:bookmarkStart w:id="22" w:name="_Toc90742688"/>
      <w:bookmarkStart w:id="23" w:name="_Toc74065741"/>
      <w:bookmarkStart w:id="24" w:name="_Toc90742390"/>
      <w:bookmarkStart w:id="25" w:name="_Toc2994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4E79F04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6592D46A">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323141AB">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88FCD4">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12779535">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3C67E622">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0D4FAF7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060B2579">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2573BA96">
      <w:pPr>
        <w:autoSpaceDE w:val="0"/>
        <w:autoSpaceDN w:val="0"/>
        <w:adjustRightInd w:val="0"/>
        <w:spacing w:line="360" w:lineRule="auto"/>
        <w:ind w:firstLine="360" w:firstLineChars="200"/>
        <w:jc w:val="left"/>
        <w:rPr>
          <w:rFonts w:hint="eastAsia" w:asciiTheme="majorEastAsia" w:hAnsiTheme="majorEastAsia" w:eastAsiaTheme="majorEastAsia"/>
          <w:bCs/>
          <w:color w:val="auto"/>
          <w:sz w:val="18"/>
          <w:szCs w:val="18"/>
        </w:rPr>
      </w:pPr>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ascii="宋体" w:hAnsi="宋体" w:eastAsia="宋体" w:cs="宋体"/>
          <w:sz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r>
        <w:rPr>
          <w:rFonts w:ascii="宋体" w:hAnsi="宋体" w:eastAsia="宋体" w:cs="宋体"/>
          <w:sz w:val="18"/>
        </w:rPr>
        <w:br w:type="textWrapping"/>
      </w:r>
      <w:r>
        <w:rPr>
          <w:rFonts w:ascii="宋体" w:hAnsi="宋体" w:eastAsia="宋体" w:cs="宋体"/>
          <w:sz w:val="18"/>
        </w:rPr>
        <w:t>（3）符合监管要求的债权类资产；</w:t>
      </w:r>
      <w:r>
        <w:rPr>
          <w:rFonts w:ascii="宋体" w:hAnsi="宋体" w:eastAsia="宋体" w:cs="宋体"/>
          <w:sz w:val="18"/>
        </w:rPr>
        <w:br w:type="textWrapping"/>
      </w:r>
      <w:r>
        <w:rPr>
          <w:rFonts w:ascii="宋体" w:hAnsi="宋体" w:eastAsia="宋体" w:cs="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sz w:val="18"/>
        </w:rPr>
        <w:br w:type="textWrapping"/>
      </w:r>
      <w:r>
        <w:rPr>
          <w:rFonts w:ascii="宋体" w:hAnsi="宋体" w:eastAsia="宋体" w:cs="宋体"/>
          <w:sz w:val="18"/>
        </w:rPr>
        <w:t>（5）其他风险不高于前述资产的资产。</w:t>
      </w:r>
    </w:p>
    <w:permEnd w:id="15"/>
    <w:p w14:paraId="3EE47AD8">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3E9BBC31">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65CB0DE4">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w:t>
      </w:r>
      <w:r>
        <w:rPr>
          <w:rFonts w:ascii="宋体" w:hAnsi="宋体" w:eastAsia="宋体" w:cs="宋体"/>
          <w:sz w:val="18"/>
        </w:rPr>
        <w:br w:type="textWrapping"/>
      </w:r>
      <w:r>
        <w:rPr>
          <w:rFonts w:ascii="宋体" w:hAnsi="宋体" w:eastAsia="宋体" w:cs="宋体"/>
          <w:sz w:val="18"/>
        </w:rPr>
        <w:t>（2）符合监管要求的非标准化债权类资产低于产品净资产的50%。</w:t>
      </w:r>
      <w:r>
        <w:rPr>
          <w:rFonts w:ascii="宋体" w:hAnsi="宋体" w:eastAsia="宋体" w:cs="宋体"/>
          <w:sz w:val="18"/>
        </w:rPr>
        <w:br w:type="textWrapping"/>
      </w:r>
      <w:r>
        <w:rPr>
          <w:rFonts w:hint="eastAsia" w:ascii="宋体" w:hAnsi="宋体" w:cs="宋体"/>
          <w:sz w:val="18"/>
          <w:lang w:val="en-US" w:eastAsia="zh-CN"/>
        </w:rPr>
        <w:tab/>
      </w:r>
      <w:bookmarkStart w:id="156" w:name="_GoBack"/>
      <w:bookmarkEnd w:id="156"/>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9BC4402">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p>
    <w:p w14:paraId="51752CD9">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
    <w:permEnd w:id="16"/>
    <w:p w14:paraId="59BD4F87">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7E09D651">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43E62DC3">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3D774B2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79D0DB8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5116B7E6">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6FEC7F2D">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03863529">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1D0816B3">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4FB3DAE4">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25700AF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04AE434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00164E0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266E6767">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4F32CA91">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（6）本产品投资于信用债券、银行存款、非标准化债权类资产融资人的信用评级均不得低于AA+。</w:t>
      </w:r>
    </w:p>
    <w:p w14:paraId="5F0017E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24F58A06">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5892C459">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33B889C4">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4A697D8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386CBD2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696DC5FA">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159B63BA">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23D113C1">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0684BAF8">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【产品采取绝对收益策略，追求资产长期稳定增值。】</w:t>
      </w:r>
    </w:p>
    <w:permEnd w:id="19"/>
    <w:p w14:paraId="663B854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27479644">
      <w:pPr>
        <w:pStyle w:val="2"/>
        <w:spacing w:before="0" w:after="0" w:line="360" w:lineRule="auto"/>
        <w:jc w:val="center"/>
        <w:rPr>
          <w:rFonts w:ascii="Times New Roman"/>
          <w:sz w:val="30"/>
        </w:rPr>
      </w:pPr>
      <w:bookmarkStart w:id="27" w:name="_Toc21988"/>
      <w:bookmarkStart w:id="28" w:name="_Toc26986"/>
      <w:bookmarkStart w:id="29" w:name="_Toc139991735"/>
      <w:bookmarkStart w:id="30" w:name="_Toc176189758"/>
      <w:bookmarkStart w:id="31" w:name="_Toc18797"/>
      <w:bookmarkStart w:id="32" w:name="_Toc141703885"/>
      <w:bookmarkStart w:id="33" w:name="_Toc74065742"/>
      <w:bookmarkStart w:id="34" w:name="_Toc18526"/>
      <w:bookmarkStart w:id="35" w:name="_Toc4741"/>
      <w:bookmarkStart w:id="36" w:name="_Toc18329"/>
      <w:bookmarkStart w:id="37" w:name="_Toc14893"/>
      <w:bookmarkStart w:id="38" w:name="_Toc7848"/>
      <w:bookmarkStart w:id="39" w:name="_Toc17912"/>
      <w:bookmarkStart w:id="40" w:name="_Toc1823"/>
      <w:bookmarkStart w:id="41" w:name="_Toc79154669"/>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4E9B9EF">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2402C02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7D99B64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661BA41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5F37564B">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10D6242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4EA2A30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76480E1F">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26E31E4B">
      <w:pPr>
        <w:pStyle w:val="2"/>
        <w:spacing w:before="0" w:after="0" w:line="360" w:lineRule="auto"/>
        <w:jc w:val="center"/>
        <w:rPr>
          <w:rFonts w:ascii="Times New Roman"/>
          <w:sz w:val="30"/>
        </w:rPr>
      </w:pPr>
      <w:bookmarkStart w:id="43" w:name="_Toc139991736"/>
      <w:bookmarkStart w:id="44" w:name="_Toc123102453"/>
      <w:bookmarkStart w:id="45" w:name="_Toc23261"/>
      <w:bookmarkStart w:id="46" w:name="_Toc123051452"/>
      <w:bookmarkStart w:id="47" w:name="_Toc79154670"/>
      <w:bookmarkStart w:id="48" w:name="_Toc10463"/>
      <w:bookmarkStart w:id="49" w:name="_Toc74065743"/>
      <w:bookmarkStart w:id="50" w:name="_Toc48649707"/>
      <w:bookmarkStart w:id="51" w:name="_Toc610"/>
      <w:bookmarkStart w:id="52" w:name="_Toc98560352"/>
      <w:bookmarkStart w:id="53" w:name="_Toc17244"/>
      <w:bookmarkStart w:id="54" w:name="_Toc23822"/>
      <w:bookmarkStart w:id="55" w:name="_Toc7920"/>
      <w:bookmarkStart w:id="56" w:name="_Toc176189759"/>
      <w:bookmarkStart w:id="57" w:name="_Toc4003"/>
      <w:bookmarkStart w:id="58" w:name="_Toc79392606"/>
      <w:bookmarkStart w:id="59" w:name="_Toc123112234"/>
      <w:bookmarkStart w:id="60" w:name="_Toc1427"/>
      <w:bookmarkStart w:id="61" w:name="_Toc141703886"/>
      <w:bookmarkStart w:id="62" w:name="_Toc1270"/>
      <w:bookmarkStart w:id="63" w:name="_Toc2073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674CA5">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3DE6BB69">
      <w:pPr>
        <w:pStyle w:val="34"/>
        <w:spacing w:line="360" w:lineRule="auto"/>
        <w:ind w:firstLine="361" w:firstLineChars="200"/>
        <w:rPr>
          <w:rFonts w:hAnsi="宋体"/>
          <w:b/>
          <w:bCs/>
          <w:sz w:val="18"/>
          <w:szCs w:val="18"/>
        </w:rPr>
      </w:pPr>
      <w:r>
        <w:rPr>
          <w:rFonts w:hint="eastAsia" w:hAnsi="宋体"/>
          <w:b/>
          <w:bCs/>
          <w:sz w:val="18"/>
          <w:szCs w:val="18"/>
        </w:rPr>
        <w:t>（一）估值目的</w:t>
      </w:r>
    </w:p>
    <w:p w14:paraId="5F9C151F">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2936C556">
      <w:pPr>
        <w:pStyle w:val="34"/>
        <w:spacing w:line="360" w:lineRule="auto"/>
        <w:ind w:firstLine="361" w:firstLineChars="200"/>
        <w:rPr>
          <w:rFonts w:hAnsi="宋体"/>
          <w:b/>
          <w:bCs/>
          <w:sz w:val="18"/>
          <w:szCs w:val="18"/>
        </w:rPr>
      </w:pPr>
      <w:r>
        <w:rPr>
          <w:rFonts w:hint="eastAsia" w:hAnsi="宋体"/>
          <w:b/>
          <w:bCs/>
          <w:sz w:val="18"/>
          <w:szCs w:val="18"/>
        </w:rPr>
        <w:t>（二）估值频率</w:t>
      </w:r>
    </w:p>
    <w:p w14:paraId="5D8D6F2F">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14:paraId="7026023D">
      <w:pPr>
        <w:pStyle w:val="34"/>
        <w:spacing w:line="360" w:lineRule="auto"/>
        <w:ind w:firstLine="452" w:firstLineChars="250"/>
        <w:rPr>
          <w:rFonts w:hAnsi="宋体"/>
          <w:b/>
          <w:bCs/>
          <w:sz w:val="18"/>
          <w:szCs w:val="18"/>
        </w:rPr>
      </w:pPr>
      <w:r>
        <w:rPr>
          <w:rFonts w:hint="eastAsia" w:hAnsi="宋体"/>
          <w:b/>
          <w:bCs/>
          <w:sz w:val="18"/>
          <w:szCs w:val="18"/>
        </w:rPr>
        <w:t>（三）估值对象</w:t>
      </w:r>
    </w:p>
    <w:p w14:paraId="3949E5B1">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4371A373">
      <w:pPr>
        <w:pStyle w:val="34"/>
        <w:spacing w:line="360" w:lineRule="auto"/>
        <w:ind w:firstLine="452" w:firstLineChars="250"/>
        <w:rPr>
          <w:rFonts w:hAnsi="宋体"/>
          <w:b/>
          <w:bCs/>
          <w:sz w:val="18"/>
          <w:szCs w:val="18"/>
        </w:rPr>
      </w:pPr>
      <w:r>
        <w:rPr>
          <w:rFonts w:hint="eastAsia" w:hAnsi="宋体"/>
          <w:b/>
          <w:bCs/>
          <w:sz w:val="18"/>
          <w:szCs w:val="18"/>
        </w:rPr>
        <w:t>（四）估值方法</w:t>
      </w:r>
    </w:p>
    <w:p w14:paraId="3729B840">
      <w:pPr>
        <w:pStyle w:val="34"/>
        <w:spacing w:line="360" w:lineRule="auto"/>
        <w:ind w:firstLine="360" w:firstLineChars="200"/>
        <w:rPr>
          <w:rFonts w:hAnsi="宋体"/>
          <w:bCs/>
          <w:sz w:val="18"/>
          <w:szCs w:val="18"/>
        </w:rPr>
      </w:pPr>
      <w:r>
        <w:rPr>
          <w:rFonts w:hAnsi="宋体"/>
          <w:bCs/>
          <w:sz w:val="18"/>
          <w:szCs w:val="18"/>
        </w:rPr>
        <w:t>1.标准化债权类资产估值</w:t>
      </w:r>
    </w:p>
    <w:p w14:paraId="4AFA2462">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684A6BA2">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0270F2BB">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78379D2A">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2E6717E2">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6E44DB6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6D753D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2BB44A06">
      <w:pPr>
        <w:pStyle w:val="34"/>
        <w:spacing w:line="360" w:lineRule="auto"/>
        <w:ind w:firstLine="360" w:firstLineChars="200"/>
        <w:rPr>
          <w:rFonts w:hAnsi="宋体"/>
          <w:sz w:val="18"/>
          <w:szCs w:val="18"/>
        </w:rPr>
      </w:pPr>
      <w:r>
        <w:rPr>
          <w:rFonts w:hAnsi="宋体"/>
          <w:bCs/>
          <w:sz w:val="18"/>
          <w:szCs w:val="18"/>
        </w:rPr>
        <w:t>3.非标准化债权类资产</w:t>
      </w:r>
    </w:p>
    <w:p w14:paraId="4D218297">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7B82EEE9">
      <w:pPr>
        <w:pStyle w:val="34"/>
        <w:spacing w:line="360" w:lineRule="auto"/>
        <w:ind w:firstLine="360" w:firstLineChars="200"/>
        <w:rPr>
          <w:rFonts w:hAnsi="宋体"/>
          <w:bCs/>
          <w:sz w:val="18"/>
          <w:szCs w:val="18"/>
        </w:rPr>
      </w:pPr>
      <w:r>
        <w:rPr>
          <w:rFonts w:hAnsi="宋体"/>
          <w:bCs/>
          <w:sz w:val="18"/>
          <w:szCs w:val="18"/>
        </w:rPr>
        <w:t>4.上市公司股票估值</w:t>
      </w:r>
    </w:p>
    <w:p w14:paraId="6106B2D2">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13B91E35">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796BC7CD">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5AAAE98C">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37A19BFF">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27FA0FB2">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0EF8A34F">
      <w:pPr>
        <w:pStyle w:val="34"/>
        <w:spacing w:line="360" w:lineRule="auto"/>
        <w:ind w:firstLine="360" w:firstLineChars="200"/>
        <w:rPr>
          <w:rFonts w:hAnsi="宋体"/>
          <w:bCs/>
          <w:sz w:val="18"/>
          <w:szCs w:val="18"/>
        </w:rPr>
      </w:pPr>
      <w:r>
        <w:rPr>
          <w:rFonts w:hAnsi="宋体"/>
          <w:bCs/>
          <w:sz w:val="18"/>
          <w:szCs w:val="18"/>
        </w:rPr>
        <w:t>5.未上市公司股权</w:t>
      </w:r>
    </w:p>
    <w:p w14:paraId="1C9524CA">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5DBEDCFC">
      <w:pPr>
        <w:pStyle w:val="34"/>
        <w:spacing w:line="360" w:lineRule="auto"/>
        <w:ind w:firstLine="360" w:firstLineChars="200"/>
        <w:rPr>
          <w:rFonts w:hAnsi="宋体"/>
          <w:bCs/>
          <w:sz w:val="18"/>
          <w:szCs w:val="18"/>
        </w:rPr>
      </w:pPr>
      <w:r>
        <w:rPr>
          <w:rFonts w:hAnsi="宋体"/>
          <w:bCs/>
          <w:sz w:val="18"/>
          <w:szCs w:val="18"/>
        </w:rPr>
        <w:t>6.优先股</w:t>
      </w:r>
    </w:p>
    <w:p w14:paraId="5399DB26">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3BD14BCB">
      <w:pPr>
        <w:pStyle w:val="34"/>
        <w:spacing w:line="360" w:lineRule="auto"/>
        <w:ind w:firstLine="360" w:firstLineChars="200"/>
        <w:rPr>
          <w:rFonts w:hAnsi="宋体"/>
          <w:bCs/>
          <w:sz w:val="18"/>
          <w:szCs w:val="18"/>
        </w:rPr>
      </w:pPr>
      <w:r>
        <w:rPr>
          <w:rFonts w:hAnsi="宋体"/>
          <w:bCs/>
          <w:sz w:val="18"/>
          <w:szCs w:val="18"/>
        </w:rPr>
        <w:t>7.证券投资基金估值</w:t>
      </w:r>
    </w:p>
    <w:p w14:paraId="650CA0C6">
      <w:pPr>
        <w:pStyle w:val="34"/>
        <w:spacing w:line="360" w:lineRule="auto"/>
        <w:ind w:firstLine="360" w:firstLineChars="200"/>
        <w:rPr>
          <w:rFonts w:hAnsi="宋体"/>
          <w:sz w:val="18"/>
          <w:szCs w:val="18"/>
        </w:rPr>
      </w:pPr>
      <w:r>
        <w:rPr>
          <w:rFonts w:hint="eastAsia" w:hAnsi="宋体"/>
          <w:sz w:val="18"/>
          <w:szCs w:val="18"/>
        </w:rPr>
        <w:t>（1）非上市基金估值</w:t>
      </w:r>
    </w:p>
    <w:p w14:paraId="72A3AE9E">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1A73118B">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5FCA890A">
      <w:pPr>
        <w:pStyle w:val="34"/>
        <w:spacing w:line="360" w:lineRule="auto"/>
        <w:ind w:firstLine="360" w:firstLineChars="200"/>
        <w:rPr>
          <w:rFonts w:hAnsi="宋体"/>
          <w:sz w:val="18"/>
          <w:szCs w:val="18"/>
        </w:rPr>
      </w:pPr>
      <w:r>
        <w:rPr>
          <w:rFonts w:hint="eastAsia" w:hAnsi="宋体"/>
          <w:sz w:val="18"/>
          <w:szCs w:val="18"/>
        </w:rPr>
        <w:t>（2）上市基金估值</w:t>
      </w:r>
    </w:p>
    <w:p w14:paraId="5429C64B">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5585CA12">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53C4B1E7">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288E6471">
      <w:pPr>
        <w:pStyle w:val="34"/>
        <w:spacing w:line="360" w:lineRule="auto"/>
        <w:ind w:firstLine="360" w:firstLineChars="200"/>
        <w:rPr>
          <w:rFonts w:hAnsi="宋体"/>
          <w:bCs/>
          <w:sz w:val="18"/>
          <w:szCs w:val="18"/>
        </w:rPr>
      </w:pPr>
      <w:r>
        <w:rPr>
          <w:rFonts w:hAnsi="宋体"/>
          <w:bCs/>
          <w:sz w:val="18"/>
          <w:szCs w:val="18"/>
        </w:rPr>
        <w:t>8.其他资产管理产品的估值</w:t>
      </w:r>
    </w:p>
    <w:p w14:paraId="405D0E2F">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5FE58EB9">
      <w:pPr>
        <w:pStyle w:val="34"/>
        <w:spacing w:line="360" w:lineRule="auto"/>
        <w:ind w:firstLine="360" w:firstLineChars="200"/>
        <w:rPr>
          <w:rFonts w:hAnsi="宋体"/>
          <w:bCs/>
          <w:sz w:val="18"/>
          <w:szCs w:val="18"/>
        </w:rPr>
      </w:pPr>
      <w:r>
        <w:rPr>
          <w:rFonts w:hAnsi="宋体"/>
          <w:bCs/>
          <w:sz w:val="18"/>
          <w:szCs w:val="18"/>
        </w:rPr>
        <w:t>9.衍生金融工具估值</w:t>
      </w:r>
    </w:p>
    <w:p w14:paraId="1DF0E8C9">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5BFB1045">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432F2046">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65DC554E">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29924096">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1EB7EC24">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3DDE0FE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4468B9C6">
      <w:pPr>
        <w:pStyle w:val="34"/>
        <w:spacing w:line="360" w:lineRule="auto"/>
        <w:ind w:firstLine="361" w:firstLineChars="200"/>
        <w:rPr>
          <w:rFonts w:hAnsi="宋体"/>
          <w:b/>
          <w:bCs/>
          <w:sz w:val="18"/>
          <w:szCs w:val="18"/>
        </w:rPr>
      </w:pPr>
      <w:r>
        <w:rPr>
          <w:rFonts w:hint="eastAsia" w:hAnsi="宋体"/>
          <w:b/>
          <w:bCs/>
          <w:sz w:val="18"/>
          <w:szCs w:val="18"/>
        </w:rPr>
        <w:t>（五）估值程序</w:t>
      </w:r>
    </w:p>
    <w:p w14:paraId="54C78383">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0085C40F">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6EE29BE9">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20AA910F">
      <w:pPr>
        <w:pStyle w:val="34"/>
        <w:spacing w:line="360" w:lineRule="auto"/>
        <w:ind w:firstLine="361" w:firstLineChars="200"/>
        <w:rPr>
          <w:rFonts w:hAnsi="宋体"/>
          <w:b/>
          <w:bCs/>
          <w:sz w:val="18"/>
          <w:szCs w:val="18"/>
        </w:rPr>
      </w:pPr>
      <w:r>
        <w:rPr>
          <w:rFonts w:hint="eastAsia" w:hAnsi="宋体"/>
          <w:b/>
          <w:bCs/>
          <w:sz w:val="18"/>
          <w:szCs w:val="18"/>
        </w:rPr>
        <w:t>（六）估值主体</w:t>
      </w:r>
    </w:p>
    <w:p w14:paraId="1A77ED04">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1370134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673B97E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2EDE895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3ED3A13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496B4A82">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02BF332C">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3944BAAA">
      <w:pPr>
        <w:widowControl/>
        <w:spacing w:line="360" w:lineRule="auto"/>
        <w:jc w:val="left"/>
        <w:rPr>
          <w:rFonts w:ascii="宋体" w:hAnsi="宋体"/>
          <w:kern w:val="0"/>
          <w:sz w:val="18"/>
          <w:szCs w:val="18"/>
        </w:rPr>
      </w:pPr>
      <w:r>
        <w:rPr>
          <w:rFonts w:hAnsi="宋体"/>
          <w:sz w:val="18"/>
          <w:szCs w:val="18"/>
        </w:rPr>
        <w:br w:type="page"/>
      </w:r>
    </w:p>
    <w:p w14:paraId="25AE6584">
      <w:pPr>
        <w:pStyle w:val="2"/>
        <w:spacing w:before="0" w:after="0" w:line="360" w:lineRule="auto"/>
        <w:ind w:left="60" w:firstLine="10"/>
        <w:jc w:val="center"/>
        <w:rPr>
          <w:rFonts w:ascii="Times New Roman"/>
          <w:sz w:val="30"/>
        </w:rPr>
      </w:pPr>
      <w:bookmarkStart w:id="64" w:name="_Hlt70481650"/>
      <w:bookmarkEnd w:id="64"/>
      <w:bookmarkStart w:id="65" w:name="_Toc123102454"/>
      <w:bookmarkStart w:id="66" w:name="_Toc141703887"/>
      <w:bookmarkStart w:id="67" w:name="_Toc14835"/>
      <w:bookmarkStart w:id="68" w:name="_Toc31644"/>
      <w:bookmarkStart w:id="69" w:name="_Toc26207"/>
      <w:bookmarkStart w:id="70" w:name="_Toc123112235"/>
      <w:bookmarkStart w:id="71" w:name="_Toc74065744"/>
      <w:bookmarkStart w:id="72" w:name="_Toc6405"/>
      <w:bookmarkStart w:id="73" w:name="_Toc3601"/>
      <w:bookmarkStart w:id="74" w:name="_Toc29251"/>
      <w:bookmarkStart w:id="75" w:name="_Toc79154671"/>
      <w:bookmarkStart w:id="76" w:name="_Toc176189760"/>
      <w:bookmarkStart w:id="77" w:name="_Toc123051453"/>
      <w:bookmarkStart w:id="78" w:name="_Toc139991737"/>
      <w:bookmarkStart w:id="79" w:name="_Toc31653"/>
      <w:bookmarkStart w:id="80" w:name="_Toc12245"/>
      <w:bookmarkStart w:id="81" w:name="_Toc98560353"/>
      <w:bookmarkStart w:id="82" w:name="_Toc31235"/>
      <w:bookmarkStart w:id="83" w:name="_Toc1514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79392580"/>
      <w:bookmarkStart w:id="87" w:name="_Toc15118234"/>
      <w:bookmarkStart w:id="88" w:name="_Toc57530239"/>
    </w:p>
    <w:p w14:paraId="43FFAFFD">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55986541">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37B925F5">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774522CA">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779EC19">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0302ADA1">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20C26F1D">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5F9BE015">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720801DC">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3BE4EDD7">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62B0D32F">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7B4BA68C">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5430A481">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77ECF93A">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24E54BB5">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32DA98DE">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4059C301">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1242ECA2">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2FA9840F">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1DE2571E">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4559"/>
      <w:bookmarkStart w:id="92" w:name="_Toc10650"/>
      <w:bookmarkStart w:id="93" w:name="_Toc79154672"/>
      <w:bookmarkStart w:id="94" w:name="_Toc139991738"/>
      <w:bookmarkStart w:id="95" w:name="_Toc3771"/>
      <w:bookmarkStart w:id="96" w:name="_Toc25783"/>
      <w:bookmarkStart w:id="97" w:name="_Toc74065745"/>
      <w:bookmarkStart w:id="98" w:name="_Toc3321"/>
      <w:bookmarkStart w:id="99" w:name="_Toc11030"/>
      <w:bookmarkStart w:id="100" w:name="_Toc123051454"/>
      <w:bookmarkStart w:id="101" w:name="_Toc6447"/>
      <w:bookmarkStart w:id="102" w:name="_Toc7058"/>
      <w:bookmarkStart w:id="103" w:name="_Toc98560354"/>
      <w:bookmarkStart w:id="104" w:name="_Toc123112236"/>
      <w:bookmarkStart w:id="105" w:name="_Toc141703888"/>
      <w:bookmarkStart w:id="106" w:name="_Toc9706"/>
      <w:bookmarkStart w:id="107" w:name="_Toc123102455"/>
      <w:bookmarkStart w:id="108" w:name="_Toc176189761"/>
      <w:bookmarkStart w:id="109" w:name="_Toc79392583"/>
      <w:bookmarkStart w:id="110" w:name="_Toc18567"/>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67258F1">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1F6921D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6A77A27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5F13A00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0C2545A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1C4F852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733D2ED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019632B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3BD25E6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01F3EBA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6A177FC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47F72B7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3E5B38AE">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14:paraId="09E84069">
      <w:pPr>
        <w:pStyle w:val="34"/>
        <w:spacing w:line="360" w:lineRule="auto"/>
        <w:ind w:firstLine="360" w:firstLineChars="200"/>
        <w:rPr>
          <w:rFonts w:hint="eastAsia" w:ascii="黑体" w:hAnsi="黑体" w:eastAsia="黑体" w:cs="黑体"/>
          <w:kern w:val="0"/>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 </w:t>
      </w:r>
    </w:p>
    <w:p w14:paraId="5D9E902B">
      <w:pPr>
        <w:pStyle w:val="34"/>
        <w:spacing w:line="360" w:lineRule="auto"/>
        <w:ind w:firstLine="360" w:firstLineChars="200"/>
        <w:rPr>
          <w:rFonts w:hint="eastAsia" w:ascii="黑体" w:hAnsi="黑体" w:eastAsia="黑体" w:cs="黑体"/>
          <w:kern w:val="0"/>
          <w:sz w:val="18"/>
          <w:szCs w:val="18"/>
        </w:rPr>
      </w:pPr>
    </w:p>
    <w:permEnd w:id="23"/>
    <w:p w14:paraId="2ABE060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3876BEB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79FE28A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6B0CF72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2BBB8E7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79DE56C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1AA388CF">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7E2BFD5B">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14:paraId="138EF77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业绩报酬计提基准的设置、超额业绩报酬的具体比例数值以《产品说明书》“第二条 理财产品基本情况”为准。</w:t>
      </w:r>
    </w:p>
    <w:p w14:paraId="7C6EA3BF">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1）收取超额业绩报酬的原则：</w:t>
      </w:r>
    </w:p>
    <w:p w14:paraId="7C3A172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①按投资者每份产品份额分别计算年化收益率并计提超额业绩报酬；</w:t>
      </w:r>
    </w:p>
    <w:p w14:paraId="4AC4DC8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②在超额业绩报酬计提日，本产品对符合超额业绩报酬提取条件的产品份额计提超额业绩报酬；</w:t>
      </w:r>
    </w:p>
    <w:p w14:paraId="47C23D5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③在产品终止日提取超额业绩报酬的，超额业绩报酬从清算资金中扣除；</w:t>
      </w:r>
    </w:p>
    <w:p w14:paraId="65F6209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2）超额业绩报酬计提方法</w:t>
      </w:r>
    </w:p>
    <w:p w14:paraId="4D4CBBC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①超额业绩报酬计提起始日</w:t>
      </w:r>
    </w:p>
    <w:p w14:paraId="5ED8685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每份产品份额超额业绩报酬计提起始日为：募集期内认购的产品份额，以产品成立日为该份产品份额超额业绩报酬计提起始日。</w:t>
      </w:r>
    </w:p>
    <w:p w14:paraId="581F886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②超额业绩报酬计提日</w:t>
      </w:r>
    </w:p>
    <w:p w14:paraId="4BF13A98">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每份产品份额超额业绩报酬每日计提，产品终止日（不含部分终止日）结算。</w:t>
      </w:r>
    </w:p>
    <w:p w14:paraId="6DE63CB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③超额业绩报酬的计算</w:t>
      </w:r>
    </w:p>
    <w:p w14:paraId="7046324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产品管理人对每份份额当前年化收益率（R）超过当前业绩报酬计提基准的部分，按比例（N）以及产品份额持有天数（D）提取超额业绩报酬，计算方法如下：</w:t>
      </w:r>
    </w:p>
    <w:p w14:paraId="1F782146">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当R≤当前业绩报酬计提基准，超额业绩报酬=0；</w:t>
      </w:r>
    </w:p>
    <w:p w14:paraId="11EA070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当R＞当前业绩报酬计提基准，超额业绩报酬=产品终止（不含部分终止）时投资者持有的产品份额×产品成立日产品份额净值×（R-当前业绩报酬计提基准）×N×D/365。</w:t>
      </w:r>
    </w:p>
    <w:p w14:paraId="169CBBCA">
      <w:pPr>
        <w:widowControl/>
        <w:spacing w:line="360" w:lineRule="auto"/>
        <w:ind w:firstLine="361" w:firstLineChars="200"/>
        <w:jc w:val="left"/>
        <w:rPr>
          <w:rFonts w:hint="eastAsia" w:ascii="黑体" w:hAnsi="黑体" w:eastAsia="黑体" w:cs="黑体"/>
          <w:b/>
          <w:bCs/>
          <w:sz w:val="18"/>
          <w:szCs w:val="18"/>
        </w:rPr>
      </w:pPr>
      <w:r>
        <w:rPr>
          <w:rFonts w:hint="eastAsia" w:ascii="黑体" w:hAnsi="黑体" w:eastAsia="黑体" w:cs="黑体"/>
          <w:b/>
          <w:bCs/>
          <w:kern w:val="0"/>
          <w:sz w:val="18"/>
          <w:szCs w:val="18"/>
        </w:rPr>
        <w:t>注：产品部分提前终止情况下，部分提前终止份额不收取超额业绩报酬</w:t>
      </w:r>
      <w:r>
        <w:rPr>
          <w:rFonts w:hint="eastAsia" w:ascii="黑体" w:hAnsi="黑体" w:eastAsia="黑体" w:cs="黑体"/>
          <w:b/>
          <w:bCs/>
          <w:sz w:val="18"/>
          <w:szCs w:val="18"/>
        </w:rPr>
        <w:t>。</w:t>
      </w:r>
    </w:p>
    <w:p w14:paraId="235BE876">
      <w:pPr>
        <w:widowControl/>
        <w:spacing w:line="360" w:lineRule="auto"/>
        <w:ind w:firstLine="361" w:firstLineChars="200"/>
        <w:jc w:val="left"/>
        <w:rPr>
          <w:rFonts w:hint="eastAsia" w:ascii="黑体" w:hAnsi="黑体" w:eastAsia="黑体" w:cs="黑体"/>
          <w:b/>
          <w:bCs/>
          <w:sz w:val="18"/>
          <w:szCs w:val="18"/>
        </w:rPr>
      </w:pPr>
    </w:p>
    <w:permEnd w:id="24"/>
    <w:p w14:paraId="22DF3E4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007480B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10CEE19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7795A1A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503BF1C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391BF5E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5D46190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575AECA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6FB84DF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60D4C78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70CBFB3F">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22E29C22">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20BD0643">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7D8AF546">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074CAA56">
      <w:pPr>
        <w:pStyle w:val="2"/>
        <w:spacing w:line="360" w:lineRule="auto"/>
        <w:jc w:val="center"/>
      </w:pPr>
      <w:bookmarkStart w:id="111" w:name="_Toc1745"/>
      <w:bookmarkStart w:id="112" w:name="_Toc3963"/>
      <w:r>
        <w:br w:type="page"/>
      </w:r>
      <w:bookmarkStart w:id="113" w:name="_Toc176189762"/>
      <w:bookmarkStart w:id="114" w:name="_Toc725"/>
      <w:bookmarkStart w:id="115" w:name="_Toc18206"/>
      <w:bookmarkStart w:id="116" w:name="_Toc98560355"/>
      <w:bookmarkStart w:id="117" w:name="_Toc139991739"/>
      <w:bookmarkStart w:id="118" w:name="_Toc123102456"/>
      <w:bookmarkStart w:id="119" w:name="_Toc74065746"/>
      <w:bookmarkStart w:id="120" w:name="_Toc141703889"/>
      <w:bookmarkStart w:id="121" w:name="_Toc79154673"/>
      <w:bookmarkStart w:id="122" w:name="_Toc31821"/>
      <w:bookmarkStart w:id="123" w:name="_Toc123112237"/>
      <w:bookmarkStart w:id="124" w:name="_Toc10398"/>
      <w:bookmarkStart w:id="125" w:name="_Toc3080"/>
      <w:bookmarkStart w:id="126" w:name="_Toc16164"/>
      <w:bookmarkStart w:id="127" w:name="_Toc123051455"/>
      <w:bookmarkStart w:id="128" w:name="_Toc3572"/>
      <w:bookmarkStart w:id="129" w:name="_Toc2173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F62B27E">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57530252"/>
      <w:bookmarkStart w:id="132" w:name="_Toc79392593"/>
      <w:r>
        <w:rPr>
          <w:rFonts w:hint="eastAsia" w:asciiTheme="majorEastAsia" w:hAnsiTheme="majorEastAsia" w:eastAsiaTheme="majorEastAsia"/>
          <w:b/>
          <w:bCs/>
          <w:sz w:val="18"/>
          <w:szCs w:val="18"/>
        </w:rPr>
        <w:t>（一）理财产品的终止</w:t>
      </w:r>
    </w:p>
    <w:p w14:paraId="4808BF36">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65462E8D">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361B2AC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32A9560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1767A7D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3EFE851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1960230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5C7F24B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6876197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2808DDC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13DBE76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72204FBE">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2DBD4D7D">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1E5D3681">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5017733E">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1D1516DA">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3CEFA89">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6F62159A">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773DD247">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54DF14A5">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7C3C3E9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3D53AFF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1CB7B2A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64D486B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2F0739E7">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48590845">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092845A2">
      <w:pPr>
        <w:pStyle w:val="2"/>
        <w:spacing w:before="0" w:after="0" w:line="360" w:lineRule="auto"/>
        <w:jc w:val="center"/>
        <w:rPr>
          <w:rFonts w:ascii="Times New Roman"/>
          <w:sz w:val="30"/>
        </w:rPr>
      </w:pPr>
      <w:r>
        <w:rPr>
          <w:rFonts w:ascii="Times New Roman"/>
          <w:b w:val="0"/>
          <w:bCs w:val="0"/>
          <w:kern w:val="2"/>
        </w:rPr>
        <w:br w:type="page"/>
      </w:r>
      <w:bookmarkStart w:id="133" w:name="_Toc141703890"/>
      <w:bookmarkStart w:id="134" w:name="_Toc123112238"/>
      <w:bookmarkStart w:id="135" w:name="_Toc176189763"/>
      <w:bookmarkStart w:id="136" w:name="_Toc17920"/>
      <w:bookmarkStart w:id="137" w:name="_Toc739"/>
      <w:bookmarkStart w:id="138" w:name="_Toc74065747"/>
      <w:bookmarkStart w:id="139" w:name="_Toc21237"/>
      <w:bookmarkStart w:id="140" w:name="_Toc8791"/>
      <w:bookmarkStart w:id="141" w:name="_Toc79392622"/>
      <w:bookmarkStart w:id="142" w:name="_Toc123051456"/>
      <w:bookmarkStart w:id="143" w:name="_Toc32092"/>
      <w:bookmarkStart w:id="144" w:name="_Toc123102457"/>
      <w:bookmarkStart w:id="145" w:name="_Toc29408"/>
      <w:bookmarkStart w:id="146" w:name="_Toc79154674"/>
      <w:bookmarkStart w:id="147" w:name="_Toc98560356"/>
      <w:bookmarkStart w:id="148" w:name="_Toc139991740"/>
      <w:bookmarkStart w:id="149" w:name="_Toc5170"/>
      <w:bookmarkStart w:id="150" w:name="_Toc32584"/>
      <w:bookmarkStart w:id="151" w:name="_Toc48649708"/>
      <w:bookmarkStart w:id="152" w:name="_Toc3329"/>
      <w:bookmarkStart w:id="153" w:name="_Toc1719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6639539">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73B84A99">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33D40725">
      <w:pPr>
        <w:spacing w:line="360" w:lineRule="auto"/>
        <w:ind w:firstLine="361"/>
        <w:rPr>
          <w:rFonts w:ascii="宋体" w:hAnsi="宋体"/>
          <w:b/>
          <w:bCs/>
          <w:sz w:val="18"/>
          <w:szCs w:val="18"/>
        </w:rPr>
      </w:pPr>
      <w:r>
        <w:rPr>
          <w:rFonts w:hint="eastAsia" w:ascii="宋体" w:hAnsi="宋体"/>
          <w:b/>
          <w:bCs/>
          <w:sz w:val="18"/>
          <w:szCs w:val="18"/>
        </w:rPr>
        <w:t>（二）信息披露的渠道</w:t>
      </w:r>
    </w:p>
    <w:p w14:paraId="55993840">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4BF10871">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61BA7CF0">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1A5308B3">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12042A2E">
      <w:pPr>
        <w:spacing w:line="360" w:lineRule="auto"/>
        <w:ind w:firstLine="361"/>
        <w:rPr>
          <w:rFonts w:ascii="宋体" w:hAnsi="宋体"/>
          <w:b/>
          <w:bCs/>
          <w:sz w:val="18"/>
          <w:szCs w:val="18"/>
        </w:rPr>
      </w:pPr>
      <w:r>
        <w:rPr>
          <w:rFonts w:hint="eastAsia" w:ascii="宋体" w:hAnsi="宋体"/>
          <w:b/>
          <w:bCs/>
          <w:sz w:val="18"/>
          <w:szCs w:val="18"/>
        </w:rPr>
        <w:t>（三）信息披露的内容</w:t>
      </w:r>
    </w:p>
    <w:p w14:paraId="708587CA">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7DEA02EA">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7840704E">
      <w:pPr>
        <w:spacing w:line="360" w:lineRule="auto"/>
        <w:ind w:firstLine="360"/>
        <w:rPr>
          <w:rFonts w:ascii="宋体" w:hAnsi="宋体"/>
          <w:bCs/>
          <w:sz w:val="18"/>
          <w:szCs w:val="18"/>
        </w:rPr>
      </w:pPr>
      <w:r>
        <w:rPr>
          <w:rFonts w:ascii="宋体" w:hAnsi="宋体"/>
          <w:bCs/>
          <w:sz w:val="18"/>
          <w:szCs w:val="18"/>
        </w:rPr>
        <w:t>1.产品成立公告</w:t>
      </w:r>
    </w:p>
    <w:p w14:paraId="2D800535">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167A6CC1">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39DA0CE6">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7072A22E">
      <w:pPr>
        <w:spacing w:line="360" w:lineRule="auto"/>
        <w:ind w:firstLine="360"/>
        <w:rPr>
          <w:rFonts w:ascii="宋体" w:hAnsi="宋体"/>
          <w:bCs/>
          <w:sz w:val="18"/>
          <w:szCs w:val="18"/>
        </w:rPr>
      </w:pPr>
      <w:r>
        <w:rPr>
          <w:rFonts w:ascii="宋体" w:hAnsi="宋体"/>
          <w:bCs/>
          <w:sz w:val="18"/>
          <w:szCs w:val="18"/>
        </w:rPr>
        <w:t>3.定期报告</w:t>
      </w:r>
    </w:p>
    <w:p w14:paraId="54999983">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5D43442">
      <w:pPr>
        <w:spacing w:line="360" w:lineRule="auto"/>
        <w:ind w:firstLine="360"/>
        <w:rPr>
          <w:rFonts w:ascii="宋体" w:hAnsi="宋体"/>
          <w:bCs/>
          <w:sz w:val="18"/>
          <w:szCs w:val="18"/>
        </w:rPr>
      </w:pPr>
      <w:r>
        <w:rPr>
          <w:rFonts w:ascii="宋体" w:hAnsi="宋体"/>
          <w:bCs/>
          <w:sz w:val="18"/>
          <w:szCs w:val="18"/>
        </w:rPr>
        <w:t>4.到期公告</w:t>
      </w:r>
    </w:p>
    <w:p w14:paraId="5CC32690">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7A101038">
      <w:pPr>
        <w:spacing w:line="360" w:lineRule="auto"/>
        <w:ind w:firstLine="360"/>
        <w:rPr>
          <w:rFonts w:ascii="宋体" w:hAnsi="宋体"/>
          <w:bCs/>
          <w:sz w:val="18"/>
          <w:szCs w:val="18"/>
        </w:rPr>
      </w:pPr>
      <w:r>
        <w:rPr>
          <w:rFonts w:ascii="宋体" w:hAnsi="宋体"/>
          <w:bCs/>
          <w:sz w:val="18"/>
          <w:szCs w:val="18"/>
        </w:rPr>
        <w:t>5.估值日公告</w:t>
      </w:r>
    </w:p>
    <w:p w14:paraId="679E4947">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14:paraId="1B1B255C">
      <w:pPr>
        <w:spacing w:line="360" w:lineRule="auto"/>
        <w:ind w:firstLine="360"/>
        <w:rPr>
          <w:rFonts w:ascii="宋体" w:hAnsi="宋体"/>
          <w:bCs/>
          <w:sz w:val="18"/>
          <w:szCs w:val="18"/>
        </w:rPr>
      </w:pPr>
      <w:r>
        <w:rPr>
          <w:rFonts w:ascii="宋体" w:hAnsi="宋体"/>
          <w:bCs/>
          <w:sz w:val="18"/>
          <w:szCs w:val="18"/>
        </w:rPr>
        <w:t>6.临时公告</w:t>
      </w:r>
    </w:p>
    <w:p w14:paraId="0A4814CB">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4DC82A2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23EE1E76">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29F261E2">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59C55D0A">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0C1B1A42">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511A3740">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4C2DC04C">
      <w:pPr>
        <w:widowControl/>
        <w:spacing w:line="360" w:lineRule="auto"/>
        <w:jc w:val="left"/>
        <w:rPr>
          <w:bCs/>
          <w:sz w:val="24"/>
        </w:rPr>
      </w:pPr>
      <w:r>
        <w:rPr>
          <w:bCs/>
          <w:sz w:val="24"/>
        </w:rPr>
        <w:br w:type="page"/>
      </w:r>
    </w:p>
    <w:p w14:paraId="26F8896E">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200BF351">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44513DB9">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587FFFAB">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357CCF4E">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360ADA25">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1F3BAFB">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7AB29C80">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ermEnd w:id="26"/>
    </w:p>
    <w:p w14:paraId="48C28959">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03AADA6C">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6C4CDB7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661A3CB8">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B9F4C97">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6061C3C8">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22E0F3AC">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17C7B79C">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5E6F7752">
      <w:pPr>
        <w:spacing w:line="360" w:lineRule="auto"/>
        <w:ind w:firstLine="360" w:firstLineChars="200"/>
        <w:rPr>
          <w:rFonts w:ascii="宋体" w:hAnsi="宋体"/>
          <w:sz w:val="18"/>
          <w:szCs w:val="18"/>
        </w:rPr>
      </w:pPr>
      <w:r>
        <w:rPr>
          <w:rFonts w:hint="eastAsia" w:ascii="宋体" w:hAnsi="宋体"/>
          <w:sz w:val="18"/>
          <w:szCs w:val="18"/>
        </w:rPr>
        <w:t>4.流动性风险</w:t>
      </w:r>
    </w:p>
    <w:p w14:paraId="78A6AF91">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2F18B4E7">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72BD425C">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6CC58E49">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518EF905">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52DB4C2D">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2C304664">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1835C74">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69D6D134">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1A6A79D3">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292D5F57">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68850B22">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1E365D4B">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16A8EED9">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05F44B5C">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2235A9A6">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6FA549E8">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09037CF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6522DDC1">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0A4A62D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78987E79">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6A7DD53E">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10F18E3C">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25575578">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449C0F9C">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0BBC99DE">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714D9763">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66CA4D0">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3EE34A9B">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20DFE6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7EE87680">
            <w:pPr>
              <w:spacing w:line="280" w:lineRule="atLeast"/>
              <w:ind w:firstLine="422"/>
              <w:jc w:val="center"/>
              <w:rPr>
                <w:rFonts w:ascii="宋体" w:hAnsi="宋体" w:cs="Arial"/>
                <w:b/>
                <w:szCs w:val="21"/>
              </w:rPr>
            </w:pPr>
            <w:r>
              <w:rPr>
                <w:rFonts w:hint="eastAsia" w:ascii="宋体" w:hAnsi="宋体" w:cs="Arial"/>
                <w:b/>
                <w:szCs w:val="21"/>
              </w:rPr>
              <w:t>投资者确认栏</w:t>
            </w:r>
          </w:p>
          <w:p w14:paraId="6D7E3D62">
            <w:pPr>
              <w:spacing w:line="360" w:lineRule="auto"/>
              <w:ind w:firstLine="361"/>
              <w:rPr>
                <w:b/>
                <w:sz w:val="18"/>
                <w:szCs w:val="18"/>
              </w:rPr>
            </w:pPr>
          </w:p>
        </w:tc>
      </w:tr>
      <w:tr w14:paraId="1A1857C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4A4B6FEC">
            <w:pPr>
              <w:spacing w:line="360" w:lineRule="auto"/>
              <w:jc w:val="left"/>
              <w:rPr>
                <w:b/>
                <w:sz w:val="18"/>
                <w:szCs w:val="18"/>
              </w:rPr>
            </w:pPr>
            <w:r>
              <w:rPr>
                <w:rFonts w:hint="eastAsia"/>
                <w:b/>
                <w:sz w:val="18"/>
                <w:szCs w:val="18"/>
              </w:rPr>
              <w:t>个人投资者适用</w:t>
            </w:r>
          </w:p>
        </w:tc>
        <w:tc>
          <w:tcPr>
            <w:tcW w:w="7371" w:type="dxa"/>
          </w:tcPr>
          <w:p w14:paraId="11CCC9D6">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02F66F3E">
            <w:pPr>
              <w:spacing w:line="360" w:lineRule="auto"/>
              <w:ind w:firstLine="361"/>
              <w:jc w:val="left"/>
              <w:rPr>
                <w:b/>
                <w:sz w:val="18"/>
                <w:szCs w:val="18"/>
              </w:rPr>
            </w:pPr>
          </w:p>
          <w:p w14:paraId="60B94AC4">
            <w:pPr>
              <w:spacing w:line="360" w:lineRule="auto"/>
              <w:ind w:firstLine="360"/>
              <w:jc w:val="left"/>
              <w:rPr>
                <w:sz w:val="18"/>
                <w:szCs w:val="18"/>
              </w:rPr>
            </w:pPr>
            <w:r>
              <w:rPr>
                <w:rFonts w:hint="eastAsia"/>
                <w:sz w:val="18"/>
                <w:szCs w:val="18"/>
              </w:rPr>
              <w:t>日期：</w:t>
            </w:r>
          </w:p>
        </w:tc>
      </w:tr>
      <w:tr w14:paraId="0B6D03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1F5CA37E">
            <w:pPr>
              <w:spacing w:line="360" w:lineRule="auto"/>
              <w:jc w:val="left"/>
              <w:rPr>
                <w:b/>
                <w:sz w:val="18"/>
                <w:szCs w:val="18"/>
              </w:rPr>
            </w:pPr>
            <w:r>
              <w:rPr>
                <w:rFonts w:hint="eastAsia"/>
                <w:b/>
                <w:sz w:val="18"/>
                <w:szCs w:val="18"/>
              </w:rPr>
              <w:t>机构投资者适用</w:t>
            </w:r>
          </w:p>
        </w:tc>
        <w:tc>
          <w:tcPr>
            <w:tcW w:w="7371" w:type="dxa"/>
          </w:tcPr>
          <w:p w14:paraId="21AD804C">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14:paraId="63E93F81">
            <w:pPr>
              <w:tabs>
                <w:tab w:val="left" w:pos="5609"/>
              </w:tabs>
              <w:spacing w:line="360" w:lineRule="auto"/>
              <w:ind w:firstLine="360"/>
              <w:jc w:val="left"/>
              <w:rPr>
                <w:rFonts w:cs="Arial"/>
                <w:sz w:val="18"/>
                <w:szCs w:val="18"/>
              </w:rPr>
            </w:pPr>
            <w:r>
              <w:rPr>
                <w:rFonts w:cs="Arial"/>
                <w:sz w:val="18"/>
                <w:szCs w:val="18"/>
              </w:rPr>
              <w:tab/>
            </w:r>
          </w:p>
          <w:p w14:paraId="15BD937E">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14:paraId="0782CF58">
            <w:pPr>
              <w:spacing w:line="360" w:lineRule="auto"/>
              <w:ind w:firstLine="360"/>
              <w:jc w:val="left"/>
              <w:rPr>
                <w:sz w:val="18"/>
                <w:szCs w:val="18"/>
              </w:rPr>
            </w:pPr>
            <w:r>
              <w:rPr>
                <w:rFonts w:hint="eastAsia"/>
                <w:sz w:val="18"/>
                <w:szCs w:val="18"/>
              </w:rPr>
              <w:t>日期：</w:t>
            </w:r>
          </w:p>
        </w:tc>
      </w:tr>
    </w:tbl>
    <w:p w14:paraId="08B178B9">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0871ACEF">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6A2DD">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2BCF9">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056BFC22">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38F2C65"/>
    <w:rsid w:val="046E31C1"/>
    <w:rsid w:val="056C4F65"/>
    <w:rsid w:val="05883C21"/>
    <w:rsid w:val="05B437EC"/>
    <w:rsid w:val="05B80C59"/>
    <w:rsid w:val="06F4696E"/>
    <w:rsid w:val="07245E56"/>
    <w:rsid w:val="072779FF"/>
    <w:rsid w:val="0BE22C8C"/>
    <w:rsid w:val="0C023D8C"/>
    <w:rsid w:val="0E94232E"/>
    <w:rsid w:val="0F1306D5"/>
    <w:rsid w:val="10134CDE"/>
    <w:rsid w:val="11295396"/>
    <w:rsid w:val="12432CFD"/>
    <w:rsid w:val="15DC4082"/>
    <w:rsid w:val="163E2FB7"/>
    <w:rsid w:val="18435CDA"/>
    <w:rsid w:val="1A48157B"/>
    <w:rsid w:val="1ABE2ED9"/>
    <w:rsid w:val="1BD70953"/>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F97B0C"/>
    <w:rsid w:val="2B590E2A"/>
    <w:rsid w:val="2EA644DF"/>
    <w:rsid w:val="2FB532A0"/>
    <w:rsid w:val="2FE14D58"/>
    <w:rsid w:val="319C4BEA"/>
    <w:rsid w:val="3283538E"/>
    <w:rsid w:val="33DA2E89"/>
    <w:rsid w:val="34B41D11"/>
    <w:rsid w:val="34C829B2"/>
    <w:rsid w:val="35381804"/>
    <w:rsid w:val="386A3F56"/>
    <w:rsid w:val="3A810EF7"/>
    <w:rsid w:val="3C3802E9"/>
    <w:rsid w:val="3E0C1771"/>
    <w:rsid w:val="3E421485"/>
    <w:rsid w:val="3E586AB8"/>
    <w:rsid w:val="3E5C1B1D"/>
    <w:rsid w:val="3EAE14E9"/>
    <w:rsid w:val="3FA22D5A"/>
    <w:rsid w:val="3FD261A6"/>
    <w:rsid w:val="42626C92"/>
    <w:rsid w:val="42EB2F9C"/>
    <w:rsid w:val="45226963"/>
    <w:rsid w:val="469F5C49"/>
    <w:rsid w:val="4A3241BC"/>
    <w:rsid w:val="4C163B54"/>
    <w:rsid w:val="4C210EF5"/>
    <w:rsid w:val="4C9978BA"/>
    <w:rsid w:val="4D39606F"/>
    <w:rsid w:val="4E2912CA"/>
    <w:rsid w:val="4F8E3D4D"/>
    <w:rsid w:val="4FA308F4"/>
    <w:rsid w:val="51BA7EA1"/>
    <w:rsid w:val="51E57594"/>
    <w:rsid w:val="526123AA"/>
    <w:rsid w:val="53B3493A"/>
    <w:rsid w:val="5431778B"/>
    <w:rsid w:val="5537323C"/>
    <w:rsid w:val="55855837"/>
    <w:rsid w:val="55974979"/>
    <w:rsid w:val="56503211"/>
    <w:rsid w:val="57BD5DAE"/>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3557</Words>
  <Characters>20276</Characters>
  <Lines>168</Lines>
  <Paragraphs>47</Paragraphs>
  <TotalTime>0</TotalTime>
  <ScaleCrop>false</ScaleCrop>
  <LinksUpToDate>false</LinksUpToDate>
  <CharactersWithSpaces>23786</CharactersWithSpaces>
  <Application>WPS Office_12.1.0.24657_F1E327BC-269C-435d-A152-05C5408002CA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2026-03-11T02:08:26Z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E7753498575549C58E5916A0AC4FD49A_13</vt:lpwstr>
  </property>
</Properties>
</file>