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“苏银理财恒源封闭债权307期</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（2026年6月版）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苏银理财恒源封闭债权307期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苏银理财恒源封闭债权307期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Z7003126000185，投资者可依据该编码在中国理财网www.chinawealth.com.cn查询产品信息。</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A份额：苏银理财恒源封闭债权307期13月A/J20690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B份额：苏银理财恒源封闭债权307期13月B/J20691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C份额：苏银理财恒源封闭债权307期13月C/J20692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D份额：苏银理财恒源封闭债权307期13月D/J20693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E份额：苏银理财恒源封闭债权307期13月E/J20694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F份额：苏银理财恒源封闭债权307期13月F/J20695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G份额：苏银理财恒源封闭债权307期13月G/J20696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H份额：苏银理财恒源封闭债权307期13月H/J20697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I份额：苏银理财恒源封闭债权307期13月I/J20698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JS份额：苏银理财恒源封闭债权307期13月JS鑫福款/J20710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J份额：苏银理财恒源封闭债权307期13月J/J20699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K份额：苏银理财恒源封闭债权307期13月K（新客专属）/J20700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L份额：苏银理财恒源封闭债权307期13月L（童程筑梦）/J20701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M份额：苏银理财恒源封闭债权307期13月M/J20702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N份额：苏银理财恒源封闭债权307期13月N/J20703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O份额：苏银理财恒源封闭债权307期13月O/J20704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P份额：苏银理财恒源封闭债权307期13月P/J20705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Q份额：苏银理财恒源封闭债权307期13月Q/J20706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R份额：苏银理财恒源封闭债权307期13月R/J20707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S份额：苏银理财恒源封闭债权307期13月S/J20708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Z份额：苏银理财恒源封闭债权307期13月Z/J20709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芙蓉锦程·优选份额：苏银理财恒源封闭债权307期13月（芙蓉锦程·优选）/J20711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M份额：面向个人投资者销售；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C份额：10,000元/10,000元的整数倍；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D份额：1元/1元的整数倍；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E份额：300,000元/10,000元的整数倍；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I份额：1元/1元的整数倍；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M份额：10,000元/10,000元的整数倍；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O份额：1元/1元的整数倍；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Q份额：1元/1元的整数倍；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R份额：1元/1元的整数倍；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S份额：1元/1元的整数倍；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JS份额：1元/1元的整数倍；</w:t>
            </w:r>
          </w:p>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2026年6月10日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2026年6月16日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2026年6月17日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2027年7月13日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leftChars="0" w:right="0" w:rightChars="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2.45%-2.85%；B份额：2.40%-2.80%；C份额：2.50%-2.90%；D份额：2.50%-2.90%；E份额：2.55%-2.95%；F份额：2.45%-2.85%；G份额：2.35%-2.75%；H份额：2.45%-2.85%；I份额：2.45%-2.85%；J份额：2.40%-2.80%；JS份额：2.45%-2.85%；K份额：2.65%-3.05%；L份额：2.65%-3.05%；M份额：2.30%-2.70%；N份额：2.40%-2.80%；O份额：2.42%-2.82%；P份额：2.50%-2.90%；Q份额：2.60%-3.00%；R份额：2.65%-3.05%；S份额：2.45%-2.85%；Z份额：2.55%-2.95%；芙蓉锦程·优选份额：2.60%-3.00%。</w:t>
            </w:r>
          </w:p>
          <w:p>
            <w:pPr>
              <w:keepNext w:val="0"/>
              <w:keepLines w:val="0"/>
              <w:pageBreakBefore w:val="0"/>
              <w:widowControl w:val="0"/>
              <w:bidi w:val="0"/>
              <w:spacing w:line="0" w:lineRule="atLeast"/>
              <w:ind w:left="0" w:leftChars="0" w:right="0" w:rightChars="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leftChars="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w:t>
            </w:r>
            <w:r>
              <w:rPr>
                <w:rFonts w:hint="eastAsia" w:ascii="楷体" w:hAnsi="楷体" w:eastAsia="楷体" w:cs="宋体"/>
                <w:spacing w:val="-2"/>
                <w:sz w:val="18"/>
                <w:szCs w:val="18"/>
                <w:highlight w:val="none"/>
                <w:lang w:val="en-US" w:eastAsia="zh-CN"/>
              </w:rPr>
              <w:t>15</w:t>
            </w:r>
            <w:r>
              <w:rPr>
                <w:rFonts w:hint="eastAsia" w:ascii="楷体" w:hAnsi="楷体" w:eastAsia="楷体" w:cs="宋体"/>
                <w:spacing w:val="-2"/>
                <w:sz w:val="18"/>
                <w:szCs w:val="18"/>
                <w:highlight w:val="none"/>
              </w:rPr>
              <w:t>%；B份额：0.30%；C份额：0.15%；D份额：0.20%；E份额：0.</w:t>
            </w:r>
            <w:r>
              <w:rPr>
                <w:rFonts w:hint="eastAsia" w:ascii="楷体" w:hAnsi="楷体" w:eastAsia="楷体" w:cs="宋体"/>
                <w:spacing w:val="-2"/>
                <w:sz w:val="18"/>
                <w:szCs w:val="18"/>
                <w:highlight w:val="none"/>
                <w:lang w:val="en-US" w:eastAsia="zh-CN"/>
              </w:rPr>
              <w:t>15</w:t>
            </w:r>
            <w:r>
              <w:rPr>
                <w:rFonts w:hint="eastAsia" w:ascii="楷体" w:hAnsi="楷体" w:eastAsia="楷体" w:cs="宋体"/>
                <w:spacing w:val="-2"/>
                <w:sz w:val="18"/>
                <w:szCs w:val="18"/>
                <w:highlight w:val="none"/>
              </w:rPr>
              <w:t>%；F份额：0.20%；G份额：0.30%；H份额：0.20%；I份额：0.15%；J份额：0.20%；JS份额：0.20%；K份额：0.10%；L份额：0.05%；M份额：0.35%；N份额：0.25%；O份额：0.30%；P份额：0.15%；Q份额：0.10%；R份额：0.05%；S份额：0.25%；Z份额：0.10%；芙蓉锦程·优选份额：0.15%。其中D/H/K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w:t>
            </w:r>
            <w:r>
              <w:rPr>
                <w:rFonts w:hint="eastAsia" w:ascii="楷体" w:hAnsi="楷体" w:eastAsia="楷体" w:cs="宋体"/>
                <w:spacing w:val="-2"/>
                <w:sz w:val="18"/>
                <w:szCs w:val="18"/>
                <w:highlight w:val="none"/>
                <w:lang w:val="en-US" w:eastAsia="zh-CN"/>
              </w:rPr>
              <w:t>20</w:t>
            </w:r>
            <w:r>
              <w:rPr>
                <w:rFonts w:hint="eastAsia" w:ascii="楷体" w:hAnsi="楷体" w:eastAsia="楷体" w:cs="宋体"/>
                <w:spacing w:val="-2"/>
                <w:sz w:val="18"/>
                <w:szCs w:val="18"/>
                <w:highlight w:val="none"/>
              </w:rPr>
              <w:t>%；B份额：0.10%；C份额：0.</w:t>
            </w:r>
            <w:r>
              <w:rPr>
                <w:rFonts w:hint="eastAsia" w:ascii="楷体" w:hAnsi="楷体" w:eastAsia="楷体" w:cs="宋体"/>
                <w:spacing w:val="-2"/>
                <w:sz w:val="18"/>
                <w:szCs w:val="18"/>
                <w:highlight w:val="none"/>
                <w:lang w:val="en-US" w:eastAsia="zh-CN"/>
              </w:rPr>
              <w:t>15</w:t>
            </w:r>
            <w:r>
              <w:rPr>
                <w:rFonts w:hint="eastAsia" w:ascii="楷体" w:hAnsi="楷体" w:eastAsia="楷体" w:cs="宋体"/>
                <w:spacing w:val="-2"/>
                <w:sz w:val="18"/>
                <w:szCs w:val="18"/>
                <w:highlight w:val="none"/>
              </w:rPr>
              <w:t>%；D份额：0.10%；E份额：0.</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F份额：0.15%；G份额：0.15%；H份额：0.15%；I份额：0.20%；J份额：0.20%；JS份额：0.15%；K份额：0.05%；L份额：0.10%；M份额：0.15%；N份额：0.15%；O份额：0.08%；P份额：0.15%；Q份额：0.10%；R份额：0.10%；S份额：0.10%；Z份额：0.15%；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ightChars="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lang w:val="en-US" w:eastAsia="zh-CN"/>
        </w:rPr>
        <w:t>三、</w:t>
      </w:r>
      <w:r>
        <w:rPr>
          <w:rFonts w:hint="eastAsia" w:ascii="楷体" w:hAnsi="楷体" w:eastAsia="楷体"/>
          <w:b/>
          <w:color w:val="auto"/>
          <w:szCs w:val="21"/>
          <w:highlight w:val="none"/>
        </w:rPr>
        <w:t>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A份额：江苏姜堰农村商业银行股份有限公司/江苏常熟农村商业银行股份有限公司/江苏高淳农村商业银行股份有限公司/江苏银行股份有限公司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B份额：东莞农村商业银行股份有限公司/晋商银行股份有限公司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D份额：宁波东海银行股份有限公司/浙江桐乡农村商业银行股份有限公司/武汉农村商业银行股份有限公司/重庆农村商业银行股份有限公司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E份额：江苏宜兴农村商业银行股份有限公司/江苏常熟农村商业银行股份有限公司/江苏银行股份有限公司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青岛银行股份有限公司/齐鲁银行股份有限公司/威海银行股份有限公司/莱商银行股份有限公司/山西银行股份有限公司/上海银行股份有限公司/嘉兴银行股份有限公司/秦皇岛银行股份有限公司/东营银行股份有限公司/江苏苏州农村商业银行股份有限公司/广州银行股份有限公司/宁夏银行股份有限公司</w:t>
      </w:r>
      <w:r>
        <w:rPr>
          <w:rFonts w:hint="eastAsia" w:ascii="楷体" w:hAnsi="楷体" w:eastAsia="楷体" w:cs="楷体"/>
          <w:b w:val="0"/>
          <w:bCs w:val="0"/>
          <w:sz w:val="21"/>
          <w:szCs w:val="21"/>
          <w:highlight w:val="none"/>
          <w:u w:val="none"/>
          <w:lang w:val="en-US" w:eastAsia="zh-CN"/>
        </w:rPr>
        <w:t>/徽商银行股份有限公司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G份额：山西银行股份有限公司/湖北银行股份有限公司/北京农村商业银行股份有限公司/江苏常熟农村商业银行股份有限公司/江苏苏州农村商业银行股份有限公司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H份额：宁波通商银行股份有限公司/宁波东海银行股份有限公司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南浔农村商业银行股份有限公司/浙江海盐农村商业银行股份有限公司/浙江温岭农村商业银行股份有限公司/浙江禾城农村商业银行股份有限公司/浙江桐庐农村商业银行股份有限公司/浙江舟山普陀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上虞农村商业银行股份有限公司/浙江桐乡农村商业银行股份有限公司/浙江德清农村商业银行股份有限公司/浙江温州龙湾农村商业银行股份有限公司/浙江绍兴瑞丰农村商业银行股份有限公司/浙江岱山农村商业银行股份有限公司/浙江舟山定海海洋农村商业银行股份有限公司/浙江淳安农村商业银行股份有限公司/湖州吴兴农村商业银行股份有限公司/浙江嘉善农村商业银行股份有限公司/浙江永嘉农村商业银行股份有限公司/浙江萧山农村商业银行股份有限公司/杭州联合农村商业银行股份有限公司/浙江乐清农村商业银行股份有限公司/浙江平湖农村商业银行股份有限公司/浙江温州鹿城农村商业银行股份有限公司/浙江台州黄岩农村商业银行股份有限公司/浙江龙泉农村商业银行股份有限公司/浙江浦江农村商业银行股份有限公司/浙江瑞安农村商业银行股份有限公司/浙江江山农村商业银行股份有限公司/浙江海宁农村商业银行股份有限公司/浙江永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瑞安农村商业银行股份有限公司/浙江义乌农村商业银行股份有限公司/浙江桐乡农村商业银行股份有限公司/杭州联合农村商业银行股份有限公司/浙江绍兴恒信农村商业银行股份有限公司/浙江安吉农村商业银行股份有限公司/浙江舟山定海海洋农村商业银行股份有限公司/浙江海宁农村商业银行股份有限公司/浙江南浔农村商业银行股份有限公司/浙江兰溪农村商业银行股份有限公司/浙江龙游农村商业银行股份有限公司/浙江平湖农村商业银行股份有限公司/浙江武义农村商业银行股份有限公司/浙江新昌农村商业银行股份有限公司/浙江绍兴瑞丰农村商业银行股份有限公司/浙江桐庐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K份额：武汉农村商业银行股份有限公司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L份额：浙江永康农村商业银行股份有限公司/浙江海宁农村商业银行股份有限公司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N份额：上海银行股份有限公司/山西银行股份有限公司/青岛银行股份有限公司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O份额：湖北银行股份有限公司/东莞农村商业银行股份有限公司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P份额：齐鲁银行股份有限公司/山西银行股份有限公司/东营银行股份有限公司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Q份额：浙江衢州柯城农村商业银行股份有限公司/浙江桐乡农村商业银行股份有限公司/浙江海盐农村商业银行股份有限公司/浙江平湖农村商业银行股份有限公司/浙江海宁农村商业银行股份有限公司/浙江台州路桥农村商业银行股份有限公司/浙江天台农村商业银行股份有限公司/浙江绍兴恒信农村商业银行股份有限公司/浙江龙泉农村商业银行股份有限公司/浙江文成农村商业银行股份有限公司/浙江衢州衢江农村商业银行股份有限公司/浙江长兴农村商业银行股份有限公司/浙江浦江农村商业银行股份有限公司/浙江缙云农村商业银行股份有限公司/浙江金华成泰农村商业银行股份有限公司/浙江温岭农村商业银行股份有限公司/浙江岱山农村商业银行股份有限公司/浙江青田农村商业银行股份有限公司/浙江义乌农村商业银行股份有限公司/浙江舟山定海海洋农村商业银行股份有限公司/湖州吴兴农村商业银行股份有限公司/浙江临海农村商业银行股份有限公司/浙江舟山普陀农村商业银行股份有限公司/浙江兰溪农村商业银行股份有限公司/浙江南浔农村商业银行股份有限公司/浙江江山农村商业银行股份有限公司/浙江温州鹿城农村商业银行股份有限公司/浙江永康农村商业银行股份有限公司/浙江温州龙湾农村商业银行股份有限公司/泰安银行股份有限公司/广西北部湾银行股份有限公司/莱商银行股份有限公司/浙江新昌农村商业银行股份有限公司/浙江乐清农村商业银行股份有限公司/浙江德清农村商业银行股份有限公司/浙江永嘉农村商业银行股份有限公司/浙江安吉农村商业银行股份有限公司/浙江东阳农村商业银行股份有限公司/浙江嵊州农村商业银行股份有限公司/浙江武义农村商业银行股份有限公司/浙江龙游农村商业银行股份有限公司/浙江仙居农村商业银行股份有限公司/浙江开化农村商业银行股份有限公司/浙江诸暨农村商业银行股份有限公司/浙江绍兴瑞丰农村商业银行股份有限公司/浙江遂昌农村商业银行股份有限公司/浙江瑞安农村商业银行股份有限公司/浙江泰顺农村商业银行股份有限公司/浙江嘉善农村商业银行股份有限公司/浙江台州黄岩农村商业银行股份有限公司/浙江苍南农村商业银行股份有限公司/青岛银行股份有限公司/浙江上虞农村商业银行股份有限公司/日照银行股份有限公司/浙江禾城农村商业银行股份有限公司/苏银直销/浙江温州瓯海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R份额：潍坊银行股份有限公司/浙江嘉善农村商业银行股份有限公司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S份额：兴业银行股份有限公司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Z份额：泰安银行股份有限公司/山西银行股份有限公司/郑州银行股份有限公司/莱商银行股份有限公司/甘肃银行股份有限公司/日照银行股份有限公司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响水农村商业银行股份有限公司/江苏金湖农村商业银行股份有限公司/江苏镇江农村商业银行股份有限公司/江苏大丰农村商业银行股份有限公司/江苏民丰农村商业银行股份有限公司/江苏溧水农村商业银行股份有限公司/江苏沭阳农村商业银行股份有限公司/江苏高邮农村商业银行股份有限公司/江苏淮安农村商业银行股份有限公司/江苏江南农村商业银行股份有限公司/江苏建湖农村商业银行股份有限公司/江苏如东农村商业银行股份有限公司/江苏苏州农村商业银行股份有限公司/江苏张家港农村商业银行股份有限公司/江苏海安农村商业银行股份有限公司/江苏扬州农村商业银行股份有限公司/江苏灌南农村商业银行股份有限公司/江苏灌云农村商业银行股份有限公司/江苏句容农村商业银行股份有限公司/江苏沛县农村商业银行股份有限公司/江苏姜堰农村商业银行股份有限公司/江苏泗阳农村商业银行股份有限公司/江苏靖江农村商业银行股份有限公司/江苏仪征农村商业银行股份有限公司/江苏泰兴农村商业银行股份有限公司/江苏新沂农村商业银行股份有限公司/江苏射阳农村商业银行股份有限公司/江苏常熟农村商业银行股份有限公司/江苏赣榆农村商业银行股份有限公司/江苏江都农村商业银行股份有限公司/江苏东海农村商业银行股份有限公司/江苏海门农村商业银行股份有限公司/江苏扬中农村商业银行股份有限公司/江苏高淳农村商业银行股份有限公司/江苏睢宁农村商业银行股份有限公司/徐州农村商业银行股份有限公司/江苏盐城农村商业银行股份有限公司/江苏启东农村商业银行股份有限公司/江苏东台农村商业银行股份有限公司/江苏如皋农村商业银行股份有限公司/江苏阜宁农村商业银行股份有限公司/连云港东方农村商业银行股份有限公司/江苏宜兴农村商业银行股份有限公司/江苏邳州农村商业银行股份有限公司/江苏丰县农村商业银行股份有限公司/江苏紫金农村商业银行股份有限公司</w:t>
      </w:r>
      <w:r>
        <w:rPr>
          <w:rFonts w:hint="eastAsia" w:ascii="楷体" w:hAnsi="楷体" w:eastAsia="楷体" w:cs="楷体"/>
          <w:b w:val="0"/>
          <w:bCs w:val="0"/>
          <w:sz w:val="21"/>
          <w:szCs w:val="21"/>
          <w:highlight w:val="none"/>
          <w:u w:val="none"/>
          <w:lang w:val="en-US" w:eastAsia="zh-CN"/>
        </w:rPr>
        <w:t>/江苏太仓农村商业银行股份有限公司</w:t>
      </w:r>
    </w:p>
    <w:p>
      <w:p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w:t>
      </w:r>
      <w:r>
        <w:rPr>
          <w:rFonts w:hint="eastAsia" w:ascii="楷体" w:hAnsi="楷体" w:eastAsia="楷体" w:cs="楷体"/>
          <w:b w:val="0"/>
          <w:bCs w:val="0"/>
          <w:sz w:val="21"/>
          <w:szCs w:val="21"/>
          <w:highlight w:val="none"/>
          <w:u w:val="none"/>
          <w:lang w:val="en-US" w:eastAsia="zh-CN"/>
        </w:rPr>
        <w:t>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leftChars="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firstLineChars="10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Segoe Print"/>
    <w:panose1 w:val="020B0603030804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66"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67"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65"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68"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FF460E"/>
    <w:rsid w:val="1AE1489F"/>
    <w:rsid w:val="361C6DDA"/>
    <w:rsid w:val="3E792A6F"/>
    <w:rsid w:val="591174C8"/>
    <w:rsid w:val="620536A5"/>
    <w:rsid w:val="665E0EAF"/>
    <w:rsid w:val="6A0401D1"/>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2026-06-03T08:05:19Z</dcterms:modified>
  <cp:revision>6</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Props1.xml><?xml version="1.0" encoding="utf-8"?>
<ds:datastoreItem xmlns:ds="http://schemas.openxmlformats.org/officeDocument/2006/customXml" ds:itemID="{133d82dd-eadc-4f0b-a6b6-e54afce53416}">
  <ds:schemaRefs/>
</ds:datastoreItem>
</file>

<file path=customXml/itemProps2.xml><?xml version="1.0" encoding="utf-8"?>
<ds:datastoreItem xmlns:ds="http://schemas.openxmlformats.org/officeDocument/2006/customXml" ds:itemID="{0df9ddf5-8b7c-4643-b04d-7c439d251d9b}">
  <ds:schemaRefs/>
</ds:datastoreItem>
</file>

<file path=customXml/itemProps3.xml><?xml version="1.0" encoding="utf-8"?>
<ds:datastoreItem xmlns:ds="http://schemas.openxmlformats.org/officeDocument/2006/customXml" ds:itemID="{99c6293b-d753-4eff-9cf0-92d06074b31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2026-06-04T11:42:20Z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812225CEAB5C400CBB45EED83F2926A4</vt:lpwstr>
  </property>
</Properties>
</file>