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outlineLvl w:val="1"/>
        <w:rPr>
          <w:rFonts w:ascii="宋体" w:hAnsi="宋体"/>
          <w:sz w:val="24"/>
          <w:highlight w:val="none"/>
        </w:rPr>
      </w:pPr>
      <w:r>
        <w:rPr>
          <w:rFonts w:hint="eastAsia" w:ascii="宋体" w:hAnsi="宋体"/>
          <w:sz w:val="24"/>
          <w:highlight w:val="none"/>
        </w:rPr>
        <w:t>附件</w:t>
      </w:r>
      <w:r>
        <w:rPr>
          <w:rFonts w:ascii="宋体" w:hAnsi="宋体"/>
          <w:sz w:val="24"/>
          <w:highlight w:val="none"/>
        </w:rPr>
        <w:t>：</w:t>
      </w:r>
    </w:p>
    <w:p>
      <w:pPr>
        <w:widowControl/>
        <w:spacing w:line="460" w:lineRule="exact"/>
        <w:jc w:val="center"/>
        <w:outlineLvl w:val="0"/>
        <w:rPr>
          <w:rFonts w:ascii="仿宋_GB2312" w:eastAsia="仿宋_GB2312"/>
          <w:b/>
          <w:color w:val="000000"/>
          <w:sz w:val="28"/>
          <w:szCs w:val="28"/>
          <w:highlight w:val="none"/>
        </w:rPr>
      </w:pPr>
      <w:r>
        <w:rPr>
          <w:rFonts w:hint="eastAsia" w:ascii="黑体" w:eastAsia="黑体"/>
          <w:b/>
          <w:sz w:val="32"/>
          <w:szCs w:val="32"/>
          <w:highlight w:val="none"/>
        </w:rPr>
        <w:t>上银理财有限责任公司理财产品投资者权益须知</w:t>
      </w:r>
    </w:p>
    <w:p>
      <w:pPr>
        <w:spacing w:line="460" w:lineRule="exact"/>
        <w:ind w:firstLine="562" w:firstLineChars="200"/>
        <w:jc w:val="center"/>
        <w:rPr>
          <w:rFonts w:ascii="仿宋_GB2312" w:eastAsia="仿宋_GB2312"/>
          <w:b/>
          <w:color w:val="000000"/>
          <w:sz w:val="28"/>
          <w:szCs w:val="28"/>
          <w:highlight w:val="none"/>
        </w:rPr>
      </w:pPr>
      <w:r>
        <w:rPr>
          <w:rFonts w:hint="eastAsia" w:ascii="仿宋_GB2312" w:eastAsia="仿宋_GB2312"/>
          <w:b/>
          <w:color w:val="000000"/>
          <w:sz w:val="28"/>
          <w:szCs w:val="28"/>
          <w:highlight w:val="none"/>
        </w:rPr>
        <w:t>（适用于个人投资者）</w:t>
      </w:r>
    </w:p>
    <w:p>
      <w:pPr>
        <w:spacing w:line="460" w:lineRule="exact"/>
        <w:rPr>
          <w:rFonts w:ascii="仿宋_GB2312" w:eastAsia="仿宋_GB2312"/>
          <w:color w:val="000000"/>
          <w:sz w:val="28"/>
          <w:szCs w:val="28"/>
          <w:highlight w:val="none"/>
        </w:rPr>
      </w:pPr>
      <w:r>
        <w:rPr>
          <w:rFonts w:hint="eastAsia" w:ascii="仿宋_GB2312" w:eastAsia="仿宋_GB2312"/>
          <w:b/>
          <w:bCs/>
          <w:color w:val="000000"/>
          <w:sz w:val="28"/>
          <w:szCs w:val="28"/>
          <w:highlight w:val="none"/>
        </w:rPr>
        <w:t>尊敬的个人投资者：</w:t>
      </w:r>
    </w:p>
    <w:p>
      <w:pPr>
        <w:spacing w:line="460" w:lineRule="exact"/>
        <w:ind w:firstLine="562" w:firstLineChars="200"/>
        <w:rPr>
          <w:rFonts w:ascii="仿宋_GB2312" w:eastAsia="仿宋_GB2312"/>
          <w:color w:val="000000"/>
          <w:sz w:val="28"/>
          <w:szCs w:val="28"/>
          <w:highlight w:val="none"/>
        </w:rPr>
      </w:pPr>
      <w:r>
        <w:rPr>
          <w:rFonts w:hint="eastAsia" w:ascii="仿宋_GB2312" w:eastAsia="仿宋_GB2312"/>
          <w:b/>
          <w:bCs/>
          <w:color w:val="000000"/>
          <w:sz w:val="28"/>
          <w:szCs w:val="28"/>
          <w:highlight w:val="none"/>
        </w:rPr>
        <w:t>理财非存款、产品有风险、投资须谨慎。</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感谢您购买上银理财有限责任公司（以下简称“上银理财”）发行的理财产品，为保护您的合法权益，请您在投资前仔细阅读《投资者权益须知》，行使您在本业务项下的权益。对理财产品销售文件或购买流程等有疑问的，请及时与销售机构相关销售人员咨询。在购买理财产品后，请关注理财产品的信息披露情况，及时获取相关信息；如对理财产品有任何意见或建议，请关注产品发行人及销售机构联络方式并予以反馈，我们将以诚实守信、勤勉尽责的态度竭诚为您提供专业的服务。</w:t>
      </w:r>
    </w:p>
    <w:p>
      <w:pPr>
        <w:spacing w:line="460" w:lineRule="exact"/>
        <w:ind w:firstLine="562" w:firstLineChars="200"/>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一、投资者</w:t>
      </w:r>
      <w:r>
        <w:rPr>
          <w:rFonts w:ascii="仿宋_GB2312" w:eastAsia="仿宋_GB2312"/>
          <w:b/>
          <w:color w:val="000000"/>
          <w:sz w:val="28"/>
          <w:szCs w:val="28"/>
          <w:highlight w:val="none"/>
        </w:rPr>
        <w:t>办理</w:t>
      </w:r>
      <w:r>
        <w:rPr>
          <w:rFonts w:hint="eastAsia" w:ascii="仿宋_GB2312" w:eastAsia="仿宋_GB2312"/>
          <w:b/>
          <w:color w:val="000000"/>
          <w:sz w:val="28"/>
          <w:szCs w:val="28"/>
          <w:highlight w:val="none"/>
        </w:rPr>
        <w:t>理财产品的流程</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（一）提供与有效身份证件户名一致的本人银行储蓄卡，作为“授权指定账户”用于本理财产品的资金的划转及兑付；</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（二）接受并完成销售机构对您的风险承受能力评估，并根据风险评估结果</w:t>
      </w:r>
      <w:r>
        <w:rPr>
          <w:rFonts w:hint="eastAsia" w:ascii="仿宋_GB2312" w:eastAsia="仿宋_GB2312"/>
          <w:b/>
          <w:bCs/>
          <w:color w:val="000000"/>
          <w:sz w:val="28"/>
          <w:szCs w:val="28"/>
          <w:highlight w:val="none"/>
        </w:rPr>
        <w:t>选择与您自身风险承受能力相匹配的理财产品</w:t>
      </w:r>
      <w:r>
        <w:rPr>
          <w:rFonts w:hint="eastAsia" w:ascii="仿宋_GB2312" w:eastAsia="仿宋_GB2312"/>
          <w:color w:val="000000"/>
          <w:sz w:val="28"/>
          <w:szCs w:val="28"/>
          <w:highlight w:val="none"/>
        </w:rPr>
        <w:t>；</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（三）仔细阅读并确认《产品说明书》、《风险揭示书》、《投资者权益须知》、《投资协议书》、《代理销售协议书》以及其他有关文件（如有），签署相关销售文件，并办理购买手续。</w:t>
      </w:r>
    </w:p>
    <w:p>
      <w:pPr>
        <w:spacing w:line="460" w:lineRule="exact"/>
        <w:ind w:firstLine="562" w:firstLineChars="200"/>
        <w:rPr>
          <w:rFonts w:ascii="仿宋_GB2312" w:eastAsia="仿宋_GB2312"/>
          <w:b/>
          <w:color w:val="000000"/>
          <w:sz w:val="28"/>
          <w:szCs w:val="28"/>
          <w:highlight w:val="none"/>
        </w:rPr>
      </w:pPr>
      <w:r>
        <w:rPr>
          <w:rFonts w:hint="eastAsia" w:ascii="仿宋_GB2312" w:eastAsia="仿宋_GB2312"/>
          <w:b/>
          <w:color w:val="000000"/>
          <w:sz w:val="28"/>
          <w:szCs w:val="28"/>
          <w:highlight w:val="none"/>
        </w:rPr>
        <w:t>二、投资者风险承受能力评估</w:t>
      </w:r>
    </w:p>
    <w:p>
      <w:pPr>
        <w:spacing w:line="460" w:lineRule="exact"/>
        <w:ind w:firstLine="560" w:firstLineChars="200"/>
        <w:outlineLvl w:val="1"/>
        <w:rPr>
          <w:rFonts w:ascii="仿宋_GB2312" w:eastAsia="仿宋_GB2312"/>
          <w:color w:val="000000"/>
          <w:sz w:val="28"/>
          <w:szCs w:val="28"/>
          <w:highlight w:val="none"/>
        </w:rPr>
      </w:pPr>
      <w:r>
        <w:rPr>
          <w:rFonts w:hint="eastAsia" w:ascii="仿宋_GB2312" w:eastAsia="仿宋_GB2312"/>
          <w:color w:val="000000"/>
          <w:sz w:val="28"/>
          <w:szCs w:val="28"/>
          <w:highlight w:val="none"/>
        </w:rPr>
        <w:t>（一）首次风险承受能力评估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为了准确地了解和评估您的投资需求，请您首次购买理财产品前，通过销售机构进行有效风险承受能力的评估。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（二）风险评估有效期内再次评估</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在风险评估有效期内（风险评估后一年以内），如您的财务状况发生变化或发生可能影响您自身风险承受能力的情形，请您在再次购买理财产品前重新进行风险评估。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（三）风险评估有效期过后再次评估</w:t>
      </w:r>
    </w:p>
    <w:p>
      <w:pPr>
        <w:spacing w:line="460" w:lineRule="exact"/>
        <w:ind w:firstLine="562" w:firstLineChars="200"/>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在风险评估有效期过后（风险评估一年以后），若您再次购买理财产品，需重新进行风险评估。</w:t>
      </w:r>
    </w:p>
    <w:p>
      <w:pPr>
        <w:spacing w:line="460" w:lineRule="exact"/>
        <w:ind w:firstLine="560" w:firstLineChars="200"/>
        <w:rPr>
          <w:rFonts w:ascii="仿宋_GB2312" w:eastAsia="仿宋_GB2312"/>
          <w:bCs/>
          <w:color w:val="000000"/>
          <w:sz w:val="28"/>
          <w:szCs w:val="28"/>
          <w:highlight w:val="none"/>
        </w:rPr>
      </w:pPr>
      <w:r>
        <w:rPr>
          <w:rFonts w:hint="eastAsia" w:ascii="仿宋_GB2312" w:eastAsia="仿宋_GB2312"/>
          <w:bCs/>
          <w:color w:val="000000"/>
          <w:sz w:val="28"/>
          <w:szCs w:val="28"/>
          <w:highlight w:val="none"/>
        </w:rPr>
        <w:t>（四）风险承受能力评估流程</w:t>
      </w:r>
    </w:p>
    <w:p>
      <w:pPr>
        <w:spacing w:line="460" w:lineRule="exact"/>
        <w:ind w:firstLine="560" w:firstLineChars="200"/>
        <w:rPr>
          <w:rFonts w:ascii="仿宋_GB2312" w:eastAsia="仿宋_GB2312"/>
          <w:b w:val="0"/>
          <w:bCs/>
          <w:color w:val="000000"/>
          <w:sz w:val="28"/>
          <w:szCs w:val="28"/>
          <w:highlight w:val="none"/>
        </w:rPr>
      </w:pPr>
      <w:r>
        <w:rPr>
          <w:rFonts w:hint="eastAsia" w:ascii="仿宋_GB2312" w:eastAsia="仿宋_GB2312"/>
          <w:bCs/>
          <w:color w:val="000000"/>
          <w:sz w:val="28"/>
          <w:szCs w:val="28"/>
          <w:highlight w:val="none"/>
        </w:rPr>
        <w:t>如遇上述场景，请您通过</w:t>
      </w:r>
      <w:r>
        <w:rPr>
          <w:rFonts w:hint="eastAsia" w:ascii="仿宋_GB2312" w:eastAsia="仿宋_GB2312"/>
          <w:b w:val="0"/>
          <w:bCs/>
          <w:color w:val="000000"/>
          <w:sz w:val="28"/>
          <w:szCs w:val="28"/>
          <w:highlight w:val="none"/>
        </w:rPr>
        <w:t>销售机构进行风险承受能力评估，填写销售机构个人客户风险评估问卷，得出投资风险评估结果（即投资者风险类型）及适合度匹配结果并对销售机构个人客户风险评估结果确认书进行确认。</w:t>
      </w:r>
    </w:p>
    <w:p>
      <w:pPr>
        <w:spacing w:line="460" w:lineRule="exact"/>
        <w:ind w:firstLine="562" w:firstLineChars="200"/>
        <w:outlineLvl w:val="1"/>
        <w:rPr>
          <w:rFonts w:ascii="仿宋_GB2312" w:eastAsia="仿宋_GB2312"/>
          <w:color w:val="000000"/>
          <w:sz w:val="28"/>
          <w:szCs w:val="28"/>
          <w:highlight w:val="none"/>
        </w:rPr>
      </w:pPr>
      <w:r>
        <w:rPr>
          <w:rFonts w:hint="eastAsia" w:ascii="仿宋_GB2312" w:eastAsia="仿宋_GB2312"/>
          <w:b/>
          <w:bCs/>
          <w:color w:val="000000"/>
          <w:sz w:val="28"/>
          <w:szCs w:val="28"/>
          <w:highlight w:val="none"/>
        </w:rPr>
        <w:t>三、评级具体含义以及适合购买的理财产品</w:t>
      </w:r>
    </w:p>
    <w:p>
      <w:pPr>
        <w:spacing w:line="460" w:lineRule="exact"/>
        <w:ind w:firstLine="560" w:firstLineChars="200"/>
        <w:rPr>
          <w:rFonts w:hint="default"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val="en-US" w:eastAsia="zh-CN"/>
        </w:rPr>
        <w:t>上银理财</w:t>
      </w:r>
      <w:r>
        <w:rPr>
          <w:rFonts w:hint="eastAsia" w:ascii="仿宋_GB2312" w:eastAsia="仿宋_GB2312"/>
          <w:color w:val="000000"/>
          <w:sz w:val="28"/>
          <w:szCs w:val="28"/>
          <w:highlight w:val="none"/>
        </w:rPr>
        <w:t>将投资者风险承受能力由低到高分为保守型、稳健型、平衡型、成长型、进取型共五个等级。</w:t>
      </w:r>
      <w:r>
        <w:rPr>
          <w:rFonts w:hint="eastAsia" w:ascii="仿宋_GB2312" w:eastAsia="仿宋_GB2312"/>
          <w:color w:val="000000"/>
          <w:sz w:val="28"/>
          <w:szCs w:val="28"/>
          <w:highlight w:val="none"/>
          <w:lang w:val="en-US" w:eastAsia="zh-CN"/>
        </w:rPr>
        <w:t>销售机构对您的风险承受能力评估结果与上银理财不一致的，销售机构应当按照孰低原则采用并披露，具体以销售机构最终展示为准。</w:t>
      </w:r>
    </w:p>
    <w:p>
      <w:pPr>
        <w:spacing w:line="460" w:lineRule="exact"/>
        <w:ind w:firstLine="560" w:firstLineChars="200"/>
        <w:rPr>
          <w:rFonts w:ascii="仿宋_GB2312" w:eastAsia="仿宋"/>
          <w:color w:val="000000"/>
          <w:sz w:val="28"/>
          <w:szCs w:val="28"/>
          <w:highlight w:val="none"/>
        </w:rPr>
      </w:pPr>
      <w:r>
        <w:rPr>
          <w:rFonts w:hint="eastAsia" w:ascii="仿宋_GB2312" w:eastAsia="仿宋_GB2312"/>
          <w:color w:val="000000"/>
          <w:sz w:val="28"/>
          <w:szCs w:val="28"/>
          <w:highlight w:val="none"/>
        </w:rPr>
        <w:t>上银理财的理财产品分为公募理财产品和私募理财产品，根据理财产品投资范围、风险收益特点、流动性等不同因素，上银理财发行的理财产品分为低风险（一级风险，R1)、中低风险产品（二级风险，R2）、中等风险（三级风险，R3）、中高风险（四级风险，R4）、高风险（五级风险，R5）</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销售机构对理财产品的风险等级划分与上银理财不一致的，销售机构应当按照孰高原则采用并披露，具体以销售机构最终展示为准</w:t>
      </w:r>
      <w:r>
        <w:rPr>
          <w:rFonts w:hint="eastAsia" w:ascii="仿宋_GB2312" w:eastAsia="仿宋_GB2312"/>
          <w:color w:val="000000"/>
          <w:sz w:val="28"/>
          <w:szCs w:val="28"/>
          <w:highlight w:val="none"/>
        </w:rPr>
        <w:t>。</w:t>
      </w:r>
    </w:p>
    <w:p>
      <w:pPr>
        <w:spacing w:line="460" w:lineRule="exact"/>
        <w:ind w:firstLine="560" w:firstLineChars="200"/>
        <w:rPr>
          <w:rFonts w:ascii="仿宋_GB2312" w:eastAsia="仿宋_GB2312"/>
          <w:sz w:val="28"/>
          <w:szCs w:val="28"/>
          <w:highlight w:val="none"/>
        </w:rPr>
      </w:pPr>
      <w:r>
        <w:rPr>
          <w:rFonts w:hint="eastAsia" w:ascii="仿宋_GB2312" w:eastAsia="仿宋_GB2312"/>
          <w:color w:val="000000"/>
          <w:sz w:val="28"/>
          <w:szCs w:val="28"/>
          <w:highlight w:val="none"/>
          <w:lang w:val="en-US" w:eastAsia="zh-CN"/>
        </w:rPr>
        <w:t>上银理财</w:t>
      </w:r>
      <w:r>
        <w:rPr>
          <w:rFonts w:hint="eastAsia" w:ascii="仿宋_GB2312" w:eastAsia="仿宋_GB2312"/>
          <w:color w:val="000000"/>
          <w:sz w:val="28"/>
          <w:szCs w:val="28"/>
          <w:highlight w:val="none"/>
        </w:rPr>
        <w:t>对投资者风险承受能力等级和产品风险等级之间建立如下表所示对应关系，</w:t>
      </w:r>
      <w:r>
        <w:rPr>
          <w:rFonts w:hint="eastAsia" w:ascii="仿宋_GB2312" w:eastAsia="仿宋_GB2312"/>
          <w:color w:val="000000"/>
          <w:sz w:val="28"/>
          <w:szCs w:val="28"/>
          <w:highlight w:val="none"/>
          <w:lang w:val="en-US" w:eastAsia="zh-CN"/>
        </w:rPr>
        <w:t>同时销售机构可能另行建立投资者风险承受能力和理财产品风险等级的匹配规则，请您留意。</w:t>
      </w:r>
      <w:r>
        <w:rPr>
          <w:rFonts w:hint="eastAsia" w:ascii="仿宋_GB2312" w:eastAsia="仿宋_GB2312"/>
          <w:color w:val="000000"/>
          <w:sz w:val="28"/>
          <w:szCs w:val="28"/>
          <w:highlight w:val="none"/>
        </w:rPr>
        <w:t>请您根据您的风险承受能力评估结果选择与您风险承受能力相匹配的理财产品。您的风险承受能力评估结果应以您在购买理财产品前的最近一次有效评估结果为准</w:t>
      </w:r>
      <w:r>
        <w:rPr>
          <w:rFonts w:hint="eastAsia" w:ascii="仿宋_GB2312" w:eastAsia="仿宋_GB2312"/>
          <w:b/>
          <w:bCs/>
          <w:color w:val="000000"/>
          <w:sz w:val="28"/>
          <w:szCs w:val="28"/>
          <w:highlight w:val="none"/>
        </w:rPr>
        <w:t>。</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301"/>
        <w:gridCol w:w="1415"/>
        <w:gridCol w:w="1412"/>
        <w:gridCol w:w="141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974" w:type="pct"/>
            <w:tcBorders>
              <w:tl2br w:val="single" w:color="auto" w:sz="4" w:space="0"/>
            </w:tcBorders>
            <w:vAlign w:val="center"/>
          </w:tcPr>
          <w:p>
            <w:pPr>
              <w:pStyle w:val="3"/>
              <w:spacing w:line="360" w:lineRule="auto"/>
              <w:ind w:firstLine="0" w:firstLineChars="0"/>
              <w:jc w:val="right"/>
              <w:rPr>
                <w:rFonts w:ascii="仿宋" w:hAnsi="仿宋" w:eastAsia="仿宋" w:cs="仿宋"/>
                <w:b/>
                <w:sz w:val="21"/>
                <w:szCs w:val="21"/>
                <w:highlight w:val="none"/>
              </w:rPr>
            </w:pPr>
            <w:r>
              <w:rPr>
                <w:rFonts w:hint="eastAsia" w:ascii="仿宋" w:hAnsi="仿宋" w:eastAsia="仿宋" w:cs="仿宋"/>
                <w:b/>
                <w:sz w:val="21"/>
                <w:szCs w:val="21"/>
                <w:highlight w:val="none"/>
              </w:rPr>
              <w:t>产品风险等级</w:t>
            </w:r>
          </w:p>
          <w:p>
            <w:pPr>
              <w:pStyle w:val="3"/>
              <w:spacing w:line="360" w:lineRule="auto"/>
              <w:ind w:firstLine="0" w:firstLineChars="0"/>
              <w:rPr>
                <w:rFonts w:ascii="仿宋" w:hAnsi="仿宋" w:eastAsia="仿宋" w:cs="仿宋"/>
                <w:b/>
                <w:sz w:val="21"/>
                <w:szCs w:val="21"/>
                <w:highlight w:val="none"/>
              </w:rPr>
            </w:pPr>
            <w:r>
              <w:rPr>
                <w:rFonts w:hint="eastAsia" w:ascii="仿宋" w:hAnsi="仿宋" w:eastAsia="仿宋" w:cs="仿宋"/>
                <w:b/>
                <w:sz w:val="21"/>
                <w:szCs w:val="21"/>
                <w:highlight w:val="none"/>
              </w:rPr>
              <w:t>投资者</w:t>
            </w:r>
          </w:p>
          <w:p>
            <w:pPr>
              <w:pStyle w:val="3"/>
              <w:spacing w:line="360" w:lineRule="auto"/>
              <w:ind w:firstLine="0" w:firstLineChars="0"/>
              <w:rPr>
                <w:rFonts w:ascii="仿宋" w:hAnsi="仿宋" w:eastAsia="仿宋" w:cs="仿宋"/>
                <w:sz w:val="21"/>
                <w:szCs w:val="21"/>
                <w:highlight w:val="none"/>
              </w:rPr>
            </w:pPr>
            <w:r>
              <w:rPr>
                <w:rFonts w:hint="eastAsia" w:ascii="仿宋" w:hAnsi="仿宋" w:eastAsia="仿宋" w:cs="仿宋"/>
                <w:b/>
                <w:sz w:val="21"/>
                <w:szCs w:val="21"/>
                <w:highlight w:val="none"/>
              </w:rPr>
              <w:t>风险类型</w:t>
            </w:r>
          </w:p>
        </w:tc>
        <w:tc>
          <w:tcPr>
            <w:tcW w:w="763"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低风险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（一级风险，R1）</w:t>
            </w:r>
          </w:p>
        </w:tc>
        <w:tc>
          <w:tcPr>
            <w:tcW w:w="830"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中低风险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（二级风险，R2）</w:t>
            </w:r>
          </w:p>
        </w:tc>
        <w:tc>
          <w:tcPr>
            <w:tcW w:w="828"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中等风险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（三级风险，R3）</w:t>
            </w:r>
          </w:p>
        </w:tc>
        <w:tc>
          <w:tcPr>
            <w:tcW w:w="828"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中高风险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（四级风险，R4）</w:t>
            </w:r>
          </w:p>
        </w:tc>
        <w:tc>
          <w:tcPr>
            <w:tcW w:w="774"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高风险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（五级风险，R5）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4" w:type="pct"/>
            <w:vAlign w:val="center"/>
          </w:tcPr>
          <w:p>
            <w:pPr>
              <w:adjustRightInd w:val="0"/>
              <w:spacing w:line="360" w:lineRule="auto"/>
              <w:jc w:val="center"/>
              <w:textAlignment w:val="baseline"/>
              <w:outlineLvl w:val="0"/>
              <w:rPr>
                <w:rFonts w:ascii="仿宋" w:hAnsi="仿宋" w:eastAsia="仿宋" w:cs="仿宋"/>
                <w:b/>
                <w:szCs w:val="21"/>
                <w:highlight w:val="none"/>
              </w:rPr>
            </w:pPr>
            <w:r>
              <w:rPr>
                <w:rFonts w:hint="eastAsia" w:ascii="仿宋" w:hAnsi="仿宋" w:eastAsia="仿宋" w:cs="仿宋"/>
                <w:b/>
                <w:szCs w:val="21"/>
                <w:highlight w:val="none"/>
              </w:rPr>
              <w:t>进取型</w:t>
            </w:r>
          </w:p>
        </w:tc>
        <w:tc>
          <w:tcPr>
            <w:tcW w:w="763"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30"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28"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28"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774" w:type="pct"/>
            <w:tcBorders>
              <w:bottom w:val="single" w:color="auto" w:sz="4" w:space="0"/>
            </w:tcBorders>
            <w:vAlign w:val="center"/>
          </w:tcPr>
          <w:p>
            <w:pPr>
              <w:pStyle w:val="3"/>
              <w:spacing w:line="360" w:lineRule="auto"/>
              <w:ind w:firstLine="0" w:firstLineChars="0"/>
              <w:jc w:val="center"/>
              <w:rPr>
                <w:rFonts w:ascii="仿宋" w:hAnsi="仿宋" w:eastAsia="仿宋" w:cs="仿宋"/>
                <w:sz w:val="21"/>
                <w:szCs w:val="21"/>
                <w:highlight w:val="none"/>
              </w:rPr>
            </w:pPr>
            <w:r>
              <w:rPr>
                <w:rFonts w:hint="eastAsia" w:ascii="仿宋" w:hAnsi="仿宋" w:eastAsia="仿宋" w:cs="仿宋"/>
                <w:kern w:val="0"/>
                <w:sz w:val="21"/>
                <w:szCs w:val="21"/>
                <w:highlight w:val="none"/>
              </w:rPr>
              <w:t>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成长型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774" w:type="pct"/>
            <w:tcBorders>
              <w:bottom w:val="single" w:color="auto" w:sz="4" w:space="0"/>
            </w:tcBorders>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平衡型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稳健型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保守型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bl>
    <w:p>
      <w:pPr>
        <w:pStyle w:val="9"/>
        <w:spacing w:line="460" w:lineRule="exact"/>
        <w:ind w:firstLine="562" w:firstLineChars="200"/>
        <w:jc w:val="both"/>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重要提示：请您认真阅读《风险揭示书》中的风险提示部分，并充分知晓产品风险。您一旦做出投资决策，应自行承担产品运营过程中产生的风险。</w:t>
      </w:r>
    </w:p>
    <w:p>
      <w:pPr>
        <w:pStyle w:val="9"/>
        <w:spacing w:line="460" w:lineRule="exact"/>
        <w:ind w:firstLine="562" w:firstLineChars="200"/>
        <w:jc w:val="both"/>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您在发行期内购买理财产品时，销售机构将冻结您“授权指定账户”内的购买金额，并按照约定时间划转至产品发行人指定账户。自购买日至划款日（不含）之间您购买产品的本金金额产生的活期利息将留存在您“授权指定账户”内。</w:t>
      </w:r>
    </w:p>
    <w:p>
      <w:pPr>
        <w:pStyle w:val="9"/>
        <w:spacing w:line="460" w:lineRule="exact"/>
        <w:ind w:firstLine="562" w:firstLineChars="200"/>
        <w:rPr>
          <w:rFonts w:hint="eastAsia"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如您购买的产品为私募理财，则产品设有投资冷静期。在投资冷静期内，如您改变决定，销售机构将遵从您的意愿，解除已签订的销售文件，并按照产品说明书的约定退还您的全部投资款项，投资冷静期具体期限在理财产品对应期次的风险揭示书和产品说明书中载明。</w:t>
      </w:r>
    </w:p>
    <w:p>
      <w:pPr>
        <w:spacing w:line="460" w:lineRule="exact"/>
        <w:ind w:firstLine="562" w:firstLineChars="200"/>
        <w:rPr>
          <w:rFonts w:hint="eastAsia" w:ascii="仿宋_GB2312" w:eastAsia="仿宋_GB2312" w:cstheme="minorBidi"/>
          <w:b/>
          <w:bCs/>
          <w:color w:val="000000"/>
          <w:kern w:val="2"/>
          <w:sz w:val="28"/>
          <w:szCs w:val="28"/>
          <w:highlight w:val="none"/>
        </w:rPr>
      </w:pPr>
      <w:r>
        <w:rPr>
          <w:rFonts w:hint="eastAsia" w:ascii="仿宋_GB2312" w:eastAsia="仿宋_GB2312"/>
          <w:b/>
          <w:bCs/>
          <w:color w:val="000000"/>
          <w:sz w:val="28"/>
          <w:szCs w:val="28"/>
          <w:highlight w:val="none"/>
          <w:lang w:val="en-US" w:eastAsia="zh-CN"/>
        </w:rPr>
        <w:t>请</w:t>
      </w:r>
      <w:r>
        <w:rPr>
          <w:rFonts w:hint="eastAsia" w:ascii="仿宋_GB2312" w:eastAsia="仿宋_GB2312"/>
          <w:b/>
          <w:bCs/>
          <w:color w:val="000000"/>
          <w:sz w:val="28"/>
          <w:szCs w:val="28"/>
          <w:highlight w:val="none"/>
        </w:rPr>
        <w:t>您在理财产品持有期间</w:t>
      </w:r>
      <w:r>
        <w:rPr>
          <w:rFonts w:hint="eastAsia" w:ascii="仿宋_GB2312" w:eastAsia="仿宋_GB2312"/>
          <w:b/>
          <w:bCs/>
          <w:color w:val="000000"/>
          <w:sz w:val="28"/>
          <w:szCs w:val="28"/>
          <w:highlight w:val="none"/>
          <w:lang w:val="en-US" w:eastAsia="zh-CN"/>
        </w:rPr>
        <w:t>关注自身</w:t>
      </w:r>
      <w:r>
        <w:rPr>
          <w:rFonts w:hint="eastAsia" w:ascii="仿宋_GB2312" w:eastAsia="仿宋_GB2312"/>
          <w:b/>
          <w:bCs/>
          <w:color w:val="000000"/>
          <w:sz w:val="28"/>
          <w:szCs w:val="28"/>
          <w:highlight w:val="none"/>
        </w:rPr>
        <w:t>风险承受能力变化</w:t>
      </w:r>
      <w:r>
        <w:rPr>
          <w:rFonts w:hint="eastAsia" w:ascii="仿宋_GB2312" w:eastAsia="仿宋_GB2312"/>
          <w:b/>
          <w:bCs/>
          <w:color w:val="000000"/>
          <w:sz w:val="28"/>
          <w:szCs w:val="28"/>
          <w:highlight w:val="none"/>
          <w:lang w:val="en-US" w:eastAsia="zh-CN"/>
        </w:rPr>
        <w:t>情况，并关注由此可能</w:t>
      </w:r>
      <w:r>
        <w:rPr>
          <w:rFonts w:hint="eastAsia" w:ascii="仿宋_GB2312" w:eastAsia="仿宋_GB2312"/>
          <w:b/>
          <w:bCs/>
          <w:color w:val="000000"/>
          <w:sz w:val="28"/>
          <w:szCs w:val="28"/>
          <w:highlight w:val="none"/>
        </w:rPr>
        <w:t>导致</w:t>
      </w:r>
      <w:r>
        <w:rPr>
          <w:rFonts w:hint="eastAsia" w:ascii="仿宋_GB2312" w:eastAsia="仿宋_GB2312"/>
          <w:b/>
          <w:bCs/>
          <w:color w:val="000000"/>
          <w:sz w:val="28"/>
          <w:szCs w:val="28"/>
          <w:highlight w:val="none"/>
          <w:lang w:val="en-US" w:eastAsia="zh-CN"/>
        </w:rPr>
        <w:t>的</w:t>
      </w:r>
      <w:r>
        <w:rPr>
          <w:rFonts w:hint="eastAsia" w:ascii="仿宋_GB2312" w:eastAsia="仿宋_GB2312"/>
          <w:b/>
          <w:bCs/>
          <w:color w:val="000000"/>
          <w:sz w:val="28"/>
          <w:szCs w:val="28"/>
          <w:highlight w:val="none"/>
        </w:rPr>
        <w:t>您</w:t>
      </w:r>
      <w:r>
        <w:rPr>
          <w:rFonts w:hint="eastAsia" w:ascii="仿宋_GB2312" w:eastAsia="仿宋_GB2312"/>
          <w:b/>
          <w:bCs/>
          <w:color w:val="000000"/>
          <w:sz w:val="28"/>
          <w:szCs w:val="28"/>
          <w:highlight w:val="none"/>
          <w:lang w:val="en-US" w:eastAsia="zh-CN"/>
        </w:rPr>
        <w:t>购买</w:t>
      </w:r>
      <w:r>
        <w:rPr>
          <w:rFonts w:hint="eastAsia" w:ascii="仿宋_GB2312" w:eastAsia="仿宋_GB2312"/>
          <w:b/>
          <w:bCs/>
          <w:color w:val="000000"/>
          <w:sz w:val="28"/>
          <w:szCs w:val="28"/>
          <w:highlight w:val="none"/>
        </w:rPr>
        <w:t>的理财产品与您自身风险承受能力</w:t>
      </w:r>
      <w:r>
        <w:rPr>
          <w:rFonts w:hint="eastAsia" w:ascii="仿宋_GB2312" w:eastAsia="仿宋_GB2312"/>
          <w:b/>
          <w:bCs/>
          <w:color w:val="000000"/>
          <w:sz w:val="28"/>
          <w:szCs w:val="28"/>
          <w:highlight w:val="none"/>
          <w:lang w:val="en-US" w:eastAsia="zh-CN"/>
        </w:rPr>
        <w:t>匹配情况的变动。</w:t>
      </w:r>
      <w:r>
        <w:rPr>
          <w:rFonts w:hint="eastAsia" w:ascii="仿宋_GB2312" w:eastAsia="仿宋_GB2312"/>
          <w:b/>
          <w:bCs/>
          <w:color w:val="000000"/>
          <w:sz w:val="28"/>
          <w:szCs w:val="28"/>
          <w:highlight w:val="none"/>
        </w:rPr>
        <w:t>您</w:t>
      </w:r>
      <w:r>
        <w:rPr>
          <w:rFonts w:hint="eastAsia" w:ascii="仿宋_GB2312" w:eastAsia="仿宋_GB2312"/>
          <w:b/>
          <w:bCs/>
          <w:color w:val="000000"/>
          <w:sz w:val="28"/>
          <w:szCs w:val="28"/>
          <w:highlight w:val="none"/>
          <w:lang w:val="en-US" w:eastAsia="zh-CN"/>
        </w:rPr>
        <w:t>可以依照已签署的理财产品销售文件的约定及时行使赎回权利赎回理财产品份额</w:t>
      </w:r>
      <w:r>
        <w:rPr>
          <w:rStyle w:val="7"/>
          <w:rFonts w:hint="eastAsia" w:ascii="仿宋_GB2312" w:eastAsia="仿宋_GB2312"/>
          <w:b/>
          <w:bCs/>
          <w:color w:val="000000"/>
          <w:sz w:val="28"/>
          <w:szCs w:val="28"/>
          <w:highlight w:val="none"/>
          <w:lang w:eastAsia="zh-CN"/>
        </w:rPr>
        <w:t>。</w:t>
      </w:r>
    </w:p>
    <w:p>
      <w:pPr>
        <w:pStyle w:val="9"/>
        <w:numPr>
          <w:ilvl w:val="0"/>
          <w:numId w:val="1"/>
        </w:numPr>
        <w:spacing w:line="460" w:lineRule="exact"/>
        <w:ind w:firstLine="562" w:firstLineChars="200"/>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投资者的权利</w:t>
      </w:r>
    </w:p>
    <w:p>
      <w:pPr>
        <w:pStyle w:val="9"/>
        <w:numPr>
          <w:ilvl w:val="255"/>
          <w:numId w:val="0"/>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根据《产品说明书》的约定，投资者享有下列权利：</w:t>
      </w:r>
    </w:p>
    <w:p>
      <w:pPr>
        <w:pStyle w:val="9"/>
        <w:numPr>
          <w:ilvl w:val="0"/>
          <w:numId w:val="2"/>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在购买前，有权了解理财产品的类型、风险等级、投资方向、期限、费用等关键信息；</w:t>
      </w:r>
    </w:p>
    <w:p>
      <w:pPr>
        <w:pStyle w:val="9"/>
        <w:numPr>
          <w:ilvl w:val="0"/>
          <w:numId w:val="2"/>
        </w:numPr>
        <w:spacing w:line="460" w:lineRule="exact"/>
        <w:ind w:firstLine="560" w:firstLineChars="200"/>
        <w:outlineLvl w:val="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有权获取理财产品净值、理财产品定期报告、理财产品临时性信息披露、理财产品重大事项公告和理财产品终止公告；</w:t>
      </w:r>
    </w:p>
    <w:p>
      <w:pPr>
        <w:pStyle w:val="9"/>
        <w:numPr>
          <w:ilvl w:val="0"/>
          <w:numId w:val="2"/>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有权获取理财产品收益（如有）；</w:t>
      </w:r>
    </w:p>
    <w:p>
      <w:pPr>
        <w:pStyle w:val="9"/>
        <w:numPr>
          <w:ilvl w:val="0"/>
          <w:numId w:val="2"/>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w:t>
      </w:r>
      <w:r>
        <w:rPr>
          <w:rFonts w:ascii="仿宋_GB2312" w:eastAsia="仿宋_GB2312" w:cstheme="minorBidi"/>
          <w:kern w:val="2"/>
          <w:sz w:val="28"/>
          <w:szCs w:val="28"/>
          <w:highlight w:val="none"/>
        </w:rPr>
        <w:t>财产品终止日当日及之后的理财产品可得资金分配</w:t>
      </w:r>
      <w:r>
        <w:rPr>
          <w:rFonts w:hint="eastAsia" w:ascii="仿宋_GB2312" w:eastAsia="仿宋_GB2312" w:cstheme="minorBidi"/>
          <w:kern w:val="2"/>
          <w:sz w:val="28"/>
          <w:szCs w:val="28"/>
          <w:highlight w:val="none"/>
        </w:rPr>
        <w:t>权，该等可得资金包括本金和理财收益（如有）；</w:t>
      </w:r>
    </w:p>
    <w:p>
      <w:pPr>
        <w:pStyle w:val="9"/>
        <w:numPr>
          <w:ilvl w:val="0"/>
          <w:numId w:val="2"/>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对理财产品管理人、托管人、销售机构损害其合法权益的行为依法提起诉讼；</w:t>
      </w:r>
    </w:p>
    <w:p>
      <w:pPr>
        <w:pStyle w:val="9"/>
        <w:numPr>
          <w:ilvl w:val="0"/>
          <w:numId w:val="2"/>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理财产品说明书约定的其他权利。</w:t>
      </w:r>
    </w:p>
    <w:p>
      <w:pPr>
        <w:spacing w:line="460" w:lineRule="exact"/>
        <w:ind w:firstLine="562" w:firstLineChars="200"/>
        <w:jc w:val="left"/>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五、理财产品兑付/赎回</w:t>
      </w:r>
    </w:p>
    <w:p>
      <w:pPr>
        <w:spacing w:line="460" w:lineRule="exact"/>
        <w:ind w:firstLine="560" w:firstLineChars="200"/>
        <w:jc w:val="left"/>
        <w:outlineLvl w:val="0"/>
        <w:rPr>
          <w:rFonts w:hint="eastAsia" w:ascii="仿宋_GB2312" w:eastAsia="仿宋_GB2312"/>
          <w:bCs/>
          <w:color w:val="000000"/>
          <w:sz w:val="28"/>
          <w:szCs w:val="28"/>
          <w:highlight w:val="none"/>
        </w:rPr>
      </w:pPr>
      <w:r>
        <w:rPr>
          <w:rFonts w:hint="eastAsia" w:ascii="仿宋_GB2312" w:eastAsia="仿宋_GB2312"/>
          <w:bCs/>
          <w:color w:val="000000"/>
          <w:sz w:val="28"/>
          <w:szCs w:val="28"/>
          <w:highlight w:val="none"/>
        </w:rPr>
        <w:t>理财产品到期可兑付金额由产品发行人按照产品说明书的约定，在理财产品清算日通过销售机构分配至您的授权指定账户内。</w:t>
      </w:r>
    </w:p>
    <w:p>
      <w:pPr>
        <w:spacing w:line="460" w:lineRule="exact"/>
        <w:ind w:firstLine="560" w:firstLineChars="200"/>
        <w:jc w:val="left"/>
        <w:outlineLvl w:val="0"/>
        <w:rPr>
          <w:rFonts w:ascii="仿宋_GB2312" w:eastAsia="仿宋_GB2312"/>
          <w:b/>
          <w:color w:val="000000"/>
          <w:sz w:val="28"/>
          <w:szCs w:val="28"/>
          <w:highlight w:val="none"/>
        </w:rPr>
      </w:pPr>
      <w:r>
        <w:rPr>
          <w:rFonts w:hint="eastAsia" w:ascii="仿宋_GB2312" w:eastAsia="仿宋_GB2312"/>
          <w:bCs/>
          <w:color w:val="000000"/>
          <w:sz w:val="28"/>
          <w:szCs w:val="28"/>
          <w:highlight w:val="none"/>
        </w:rPr>
        <w:t>理财产品是否可赎回及赎回规则按照理财产品销售文件的约定执行。您可在理财产品销售文件约定的赎回条件下，通过销售机构及理财产品销售文件中约定的其它渠道，赎回理财产品。</w:t>
      </w:r>
    </w:p>
    <w:p>
      <w:pPr>
        <w:spacing w:line="460" w:lineRule="exact"/>
        <w:ind w:firstLine="562" w:firstLineChars="200"/>
        <w:jc w:val="left"/>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六、信息披露</w:t>
      </w:r>
    </w:p>
    <w:p>
      <w:pPr>
        <w:adjustRightInd w:val="0"/>
        <w:snapToGrid w:val="0"/>
        <w:spacing w:line="460" w:lineRule="exact"/>
        <w:ind w:firstLine="560" w:firstLineChars="200"/>
        <w:jc w:val="left"/>
        <w:rPr>
          <w:rFonts w:ascii="仿宋_GB2312" w:eastAsia="仿宋_GB2312"/>
          <w:color w:val="000000"/>
          <w:sz w:val="28"/>
          <w:szCs w:val="28"/>
          <w:highlight w:val="none"/>
        </w:rPr>
      </w:pPr>
      <w:r>
        <w:rPr>
          <w:rFonts w:hint="eastAsia" w:ascii="仿宋_GB2312" w:eastAsia="仿宋_GB2312"/>
          <w:color w:val="000000"/>
          <w:sz w:val="28"/>
          <w:szCs w:val="28"/>
          <w:highlight w:val="none"/>
        </w:rPr>
        <w:t>本理财产品信息披露将通过销售机构、上银理财的信息披露渠道（包括但不限于销售机构官方网站或其他官方渠道、电子销售渠道及上银理财官方网站等）进行。理财产品相关信息的具体披露方式、渠道和频率，以上银理财提供的《产品说明书》中相关“信息披露”约定为准。</w:t>
      </w:r>
    </w:p>
    <w:p>
      <w:pPr>
        <w:numPr>
          <w:ilvl w:val="255"/>
          <w:numId w:val="0"/>
        </w:numPr>
        <w:adjustRightInd w:val="0"/>
        <w:snapToGrid w:val="0"/>
        <w:spacing w:line="460" w:lineRule="exact"/>
        <w:ind w:firstLine="562" w:firstLineChars="200"/>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七、投诉与联络方式</w:t>
      </w:r>
    </w:p>
    <w:p>
      <w:pPr>
        <w:adjustRightInd w:val="0"/>
        <w:snapToGrid w:val="0"/>
        <w:spacing w:line="460" w:lineRule="exact"/>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 xml:space="preserve">    </w:t>
      </w:r>
      <w:r>
        <w:rPr>
          <w:rFonts w:hint="eastAsia" w:ascii="仿宋_GB2312" w:eastAsia="仿宋_GB2312"/>
          <w:color w:val="000000"/>
          <w:sz w:val="28"/>
          <w:szCs w:val="28"/>
          <w:highlight w:val="none"/>
        </w:rPr>
        <w:t>如您对本产品有任何意见或建议，可通过销售机构营业网点工作人员，销售机构、上银理财客户服务热线、官方网站或其他官方渠道进行反映，将由专人接听、记录您的意见或建议，并由各方协商共同解决。</w:t>
      </w:r>
    </w:p>
    <w:p>
      <w:pPr>
        <w:adjustRightInd w:val="0"/>
        <w:snapToGrid w:val="0"/>
        <w:spacing w:line="460" w:lineRule="exact"/>
        <w:ind w:firstLine="562" w:firstLineChars="200"/>
        <w:rPr>
          <w:rFonts w:ascii="仿宋_GB2312" w:hAnsi="宋体" w:eastAsia="仿宋_GB2312" w:cs="宋体"/>
          <w:b/>
          <w:bCs/>
          <w:color w:val="000000"/>
          <w:sz w:val="28"/>
          <w:szCs w:val="28"/>
          <w:highlight w:val="none"/>
        </w:rPr>
      </w:pPr>
      <w:r>
        <w:rPr>
          <w:rFonts w:hint="eastAsia" w:ascii="仿宋_GB2312" w:hAnsi="宋体" w:eastAsia="仿宋_GB2312" w:cs="宋体"/>
          <w:b/>
          <w:bCs/>
          <w:color w:val="000000"/>
          <w:sz w:val="28"/>
          <w:szCs w:val="28"/>
          <w:highlight w:val="none"/>
        </w:rPr>
        <w:t>（一）销售机构的联络方式</w:t>
      </w:r>
    </w:p>
    <w:p>
      <w:pPr>
        <w:widowControl/>
        <w:numPr>
          <w:ilvl w:val="255"/>
          <w:numId w:val="0"/>
        </w:numPr>
        <w:adjustRightInd w:val="0"/>
        <w:snapToGrid w:val="0"/>
        <w:spacing w:line="460" w:lineRule="exact"/>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销售机构联络方式：详见销售机构提供的相关协议或理财产品说明书等销售文件。</w:t>
      </w:r>
    </w:p>
    <w:p>
      <w:pPr>
        <w:adjustRightInd w:val="0"/>
        <w:snapToGrid w:val="0"/>
        <w:spacing w:line="460" w:lineRule="exact"/>
        <w:ind w:firstLine="562" w:firstLineChars="200"/>
        <w:rPr>
          <w:rFonts w:ascii="仿宋_GB2312" w:hAnsi="宋体" w:eastAsia="仿宋_GB2312" w:cs="宋体"/>
          <w:b/>
          <w:bCs/>
          <w:color w:val="000000"/>
          <w:sz w:val="28"/>
          <w:szCs w:val="28"/>
          <w:highlight w:val="none"/>
        </w:rPr>
      </w:pPr>
      <w:r>
        <w:rPr>
          <w:rFonts w:hint="eastAsia" w:ascii="仿宋_GB2312" w:hAnsi="宋体" w:eastAsia="仿宋_GB2312" w:cs="宋体"/>
          <w:b/>
          <w:bCs/>
          <w:color w:val="000000"/>
          <w:sz w:val="28"/>
          <w:szCs w:val="28"/>
          <w:highlight w:val="none"/>
        </w:rPr>
        <w:t>（二）上银理财的联络方式</w:t>
      </w:r>
    </w:p>
    <w:p>
      <w:pPr>
        <w:adjustRightInd w:val="0"/>
        <w:snapToGrid w:val="0"/>
        <w:spacing w:line="460" w:lineRule="exact"/>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1、上银理财地址：中国上海市黄浦区中山南路666号2幢2号实际楼层2层、3层</w:t>
      </w:r>
    </w:p>
    <w:p>
      <w:pPr>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2、上银理财官方网站：【https://www.boscwm.cn/】</w:t>
      </w:r>
    </w:p>
    <w:p>
      <w:pPr>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3、上银理财客户服务热线：021-23206666</w:t>
      </w:r>
    </w:p>
    <w:p>
      <w:pPr>
        <w:ind w:firstLine="560" w:firstLineChars="200"/>
        <w:rPr>
          <w:rFonts w:ascii="仿宋_GB2312" w:hAnsi="宋体" w:eastAsia="仿宋_GB2312" w:cs="宋体"/>
          <w:color w:val="000000"/>
          <w:sz w:val="28"/>
          <w:szCs w:val="28"/>
          <w:highlight w:val="none"/>
        </w:rPr>
      </w:pPr>
    </w:p>
    <w:p>
      <w:pPr>
        <w:ind w:firstLine="560" w:firstLineChars="200"/>
        <w:jc w:val="right"/>
        <w:rPr>
          <w:rFonts w:ascii="仿宋_GB2312" w:hAnsi="宋体" w:eastAsia="仿宋_GB2312" w:cs="宋体"/>
          <w:color w:val="000000"/>
          <w:sz w:val="28"/>
          <w:szCs w:val="28"/>
          <w:highlight w:val="none"/>
        </w:rPr>
      </w:pPr>
    </w:p>
    <w:p>
      <w:pPr>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br w:type="page"/>
      </w:r>
    </w:p>
    <w:p>
      <w:pPr>
        <w:jc w:val="center"/>
        <w:rPr>
          <w:rFonts w:asciiTheme="minorEastAsia" w:hAnsiTheme="minorEastAsia" w:cstheme="minorEastAsia"/>
          <w:bCs/>
          <w:sz w:val="24"/>
          <w:szCs w:val="21"/>
          <w:highlight w:val="none"/>
        </w:rPr>
      </w:pPr>
      <w:r>
        <w:rPr>
          <w:rFonts w:hint="eastAsia" w:ascii="黑体" w:eastAsia="黑体"/>
          <w:b/>
          <w:sz w:val="32"/>
          <w:szCs w:val="32"/>
          <w:highlight w:val="none"/>
        </w:rPr>
        <w:t>上银理财有限责任公司理财产品投资者权益须知</w:t>
      </w:r>
    </w:p>
    <w:p>
      <w:pPr>
        <w:jc w:val="center"/>
        <w:rPr>
          <w:rFonts w:asciiTheme="minorEastAsia" w:hAnsiTheme="minorEastAsia" w:cstheme="minorEastAsia"/>
          <w:b/>
          <w:sz w:val="28"/>
          <w:highlight w:val="none"/>
        </w:rPr>
      </w:pPr>
      <w:r>
        <w:rPr>
          <w:rFonts w:hint="eastAsia" w:asciiTheme="minorEastAsia" w:hAnsiTheme="minorEastAsia" w:cstheme="minorEastAsia"/>
          <w:b/>
          <w:sz w:val="28"/>
          <w:highlight w:val="none"/>
        </w:rPr>
        <w:t>（适用于机构投资者）</w:t>
      </w:r>
    </w:p>
    <w:p>
      <w:pPr>
        <w:autoSpaceDE w:val="0"/>
        <w:autoSpaceDN w:val="0"/>
        <w:adjustRightInd w:val="0"/>
        <w:spacing w:line="460" w:lineRule="exact"/>
        <w:rPr>
          <w:rFonts w:ascii="仿宋_GB2312" w:eastAsia="仿宋_GB2312"/>
          <w:color w:val="000000"/>
          <w:sz w:val="28"/>
          <w:szCs w:val="28"/>
          <w:highlight w:val="none"/>
        </w:rPr>
      </w:pPr>
      <w:r>
        <w:rPr>
          <w:rFonts w:hint="eastAsia" w:ascii="仿宋_GB2312" w:eastAsia="仿宋_GB2312"/>
          <w:color w:val="000000"/>
          <w:sz w:val="28"/>
          <w:szCs w:val="28"/>
          <w:highlight w:val="none"/>
        </w:rPr>
        <w:t>尊敬的机构投资者：</w:t>
      </w:r>
    </w:p>
    <w:p>
      <w:pPr>
        <w:spacing w:line="460" w:lineRule="exact"/>
        <w:ind w:firstLine="562" w:firstLineChars="200"/>
        <w:rPr>
          <w:rFonts w:ascii="仿宋_GB2312" w:eastAsia="仿宋_GB2312"/>
          <w:color w:val="000000"/>
          <w:sz w:val="28"/>
          <w:szCs w:val="28"/>
          <w:highlight w:val="none"/>
        </w:rPr>
      </w:pPr>
      <w:r>
        <w:rPr>
          <w:rFonts w:hint="eastAsia" w:ascii="仿宋_GB2312" w:eastAsia="仿宋_GB2312"/>
          <w:b/>
          <w:bCs/>
          <w:color w:val="000000"/>
          <w:sz w:val="28"/>
          <w:szCs w:val="28"/>
          <w:highlight w:val="none"/>
        </w:rPr>
        <w:t>理财非存款、产品有风险、投资须谨慎。</w:t>
      </w:r>
    </w:p>
    <w:p>
      <w:pPr>
        <w:autoSpaceDE w:val="0"/>
        <w:autoSpaceDN w:val="0"/>
        <w:adjustRightInd w:val="0"/>
        <w:spacing w:line="460" w:lineRule="exact"/>
        <w:ind w:firstLine="560"/>
        <w:rPr>
          <w:rFonts w:asciiTheme="minorEastAsia" w:hAnsiTheme="minorEastAsia" w:cstheme="minorEastAsia"/>
          <w:b/>
          <w:color w:val="000000"/>
          <w:kern w:val="0"/>
          <w:szCs w:val="21"/>
          <w:highlight w:val="none"/>
        </w:rPr>
      </w:pPr>
      <w:r>
        <w:rPr>
          <w:rFonts w:hint="eastAsia" w:ascii="仿宋_GB2312" w:eastAsia="仿宋_GB2312"/>
          <w:color w:val="000000"/>
          <w:sz w:val="28"/>
          <w:szCs w:val="28"/>
          <w:highlight w:val="none"/>
        </w:rPr>
        <w:t>感谢贵机构购买上银理财有限责任公司（以下简称“上银理财”）发行的理财产品，为保护贵机构的合法权益，请在投资前仔细阅读《投资者权益须知》，行使贵机构在本业务项下的权益。对理财产品销售文件或购买流程等有疑问的，请及时与销售机构相关销售人员咨询。在购买理财产品后，请关注理财产品的信息披露情况，及时获取相关信息；如对理财产品有任何意见或建议，请关注产品发行人及销售机构联络方式并予以反馈，我们将以诚实守信、勤勉尽责的态度竭诚为贵机构提供专业的服务。</w:t>
      </w:r>
    </w:p>
    <w:p>
      <w:pPr>
        <w:spacing w:line="460" w:lineRule="exact"/>
        <w:ind w:firstLine="562" w:firstLineChars="200"/>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一、投资者</w:t>
      </w:r>
      <w:r>
        <w:rPr>
          <w:rFonts w:ascii="仿宋_GB2312" w:eastAsia="仿宋_GB2312"/>
          <w:b/>
          <w:color w:val="000000"/>
          <w:sz w:val="28"/>
          <w:szCs w:val="28"/>
          <w:highlight w:val="none"/>
        </w:rPr>
        <w:t>办理</w:t>
      </w:r>
      <w:r>
        <w:rPr>
          <w:rFonts w:hint="eastAsia" w:ascii="仿宋_GB2312" w:eastAsia="仿宋_GB2312"/>
          <w:b/>
          <w:color w:val="000000"/>
          <w:sz w:val="28"/>
          <w:szCs w:val="28"/>
          <w:highlight w:val="none"/>
        </w:rPr>
        <w:t>理财产品的流程</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（一）首次认购前，贵机构应在销售机构及/或其分支机构开立人民币结算账户，并指定其为购买理财产品的“授权指定账户”用于本理财产品的资金划转及兑付；</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二）首次认购时，如在销售机构营业网点进行签约的，贵机构需持《企业（法人）营业执照》原件及加盖公章的复印件、《组织机构代码证》原件及加盖公章的复印件（三证合一的客户仅需携带营业执照）、企业经办人员有效身份证件原件及复印件，企业经办人员不是企业法定代表人本人的，还应提供企业法定代表人出具并加盖企业公章的《授权委托书》等材料至销售机构营业网点，接受并完成产品销售机构对贵机构的风险承受能力评估，并根据风险评估结果选择与贵机构风险承受能力相匹配的理财产品；</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（三）仔细阅读《产品说明书》、《风险揭示书》、《投资者权益须知》、《投资协议书》、《代理销售协议书》以及其他有关文件（如有），签署相关销售文件，并办理购买手续；</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四）贵机构完成认购后，销售机构实时冻结贵机构授权指定账户内的认购金额，并按照产品说明书约定划至指定账户，实际划款金额为贵机构认购产品的本金金额。认购资金成功扣款且产品成立后，贵机构可通过理财产品说明书约定的渠道查询理财产品份额。如理财产品募集失败，贵机构相应冻结资金由销售机构予以解冻，并按销售机构公布的活期存款利率计付相应利息。</w:t>
      </w:r>
    </w:p>
    <w:p>
      <w:pPr>
        <w:spacing w:line="460" w:lineRule="exact"/>
        <w:ind w:firstLine="562" w:firstLineChars="200"/>
        <w:rPr>
          <w:rFonts w:ascii="仿宋_GB2312" w:eastAsia="仿宋_GB2312"/>
          <w:color w:val="000000"/>
          <w:sz w:val="28"/>
          <w:szCs w:val="28"/>
          <w:highlight w:val="none"/>
        </w:rPr>
      </w:pPr>
      <w:r>
        <w:rPr>
          <w:rFonts w:hint="eastAsia" w:ascii="仿宋_GB2312" w:eastAsia="仿宋_GB2312"/>
          <w:b/>
          <w:color w:val="000000"/>
          <w:sz w:val="28"/>
          <w:szCs w:val="28"/>
          <w:highlight w:val="none"/>
        </w:rPr>
        <w:t>二、投资者风险承受能力评估</w:t>
      </w:r>
    </w:p>
    <w:p>
      <w:pPr>
        <w:pStyle w:val="9"/>
        <w:spacing w:line="460" w:lineRule="exact"/>
        <w:ind w:firstLine="420" w:firstLineChars="150"/>
        <w:jc w:val="both"/>
        <w:rPr>
          <w:rFonts w:asciiTheme="minorEastAsia" w:hAnsiTheme="minorEastAsia" w:eastAsiaTheme="minorEastAsia" w:cstheme="minorEastAsia"/>
          <w:szCs w:val="21"/>
          <w:highlight w:val="none"/>
        </w:rPr>
      </w:pPr>
      <w:r>
        <w:rPr>
          <w:rFonts w:hint="eastAsia" w:ascii="仿宋_GB2312" w:eastAsia="仿宋_GB2312" w:cstheme="minorBidi"/>
          <w:kern w:val="2"/>
          <w:sz w:val="28"/>
          <w:szCs w:val="28"/>
          <w:highlight w:val="none"/>
        </w:rPr>
        <w:t>（一）首次风险承受能力评估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为了准确地了解和评估贵机构的投资需求，请贵机构首次购买理财产品前，通过销售机构进行有效风险承受能力的评估。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（二）风险评估有效期内再次评估</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在风险评估有效期内（风险评估后一年以内），如贵机构的财务状况发生变化或发生可能影响贵机构自身风险承受能力的情形，请贵机构在再次购买理财产品前，重新通过销售机构进行风险评估。</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（三）风险评估有效期过后再次评估</w:t>
      </w:r>
    </w:p>
    <w:p>
      <w:pPr>
        <w:spacing w:line="460" w:lineRule="exact"/>
        <w:ind w:firstLine="562" w:firstLineChars="200"/>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在风险评估有效期过后（风险评估一年以后），若贵机构再次购买理财产品，需重新通过销售机构进行风险评估。</w:t>
      </w:r>
    </w:p>
    <w:p>
      <w:pPr>
        <w:spacing w:line="460" w:lineRule="exact"/>
        <w:ind w:firstLine="560" w:firstLineChars="200"/>
        <w:rPr>
          <w:rFonts w:ascii="仿宋_GB2312" w:eastAsia="仿宋_GB2312"/>
          <w:b w:val="0"/>
          <w:bCs/>
          <w:color w:val="000000"/>
          <w:sz w:val="28"/>
          <w:szCs w:val="28"/>
          <w:highlight w:val="none"/>
        </w:rPr>
      </w:pPr>
      <w:r>
        <w:rPr>
          <w:rFonts w:hint="eastAsia" w:ascii="仿宋_GB2312" w:eastAsia="仿宋_GB2312"/>
          <w:b w:val="0"/>
          <w:bCs/>
          <w:color w:val="000000"/>
          <w:sz w:val="28"/>
          <w:szCs w:val="28"/>
          <w:highlight w:val="none"/>
        </w:rPr>
        <w:t>（四）风险承受能力评估流程</w:t>
      </w:r>
    </w:p>
    <w:p>
      <w:pPr>
        <w:spacing w:line="460" w:lineRule="exact"/>
        <w:ind w:firstLine="560" w:firstLineChars="200"/>
        <w:rPr>
          <w:rFonts w:ascii="仿宋_GB2312" w:eastAsia="仿宋_GB2312"/>
          <w:b w:val="0"/>
          <w:bCs/>
          <w:color w:val="000000"/>
          <w:sz w:val="28"/>
          <w:szCs w:val="28"/>
          <w:highlight w:val="none"/>
        </w:rPr>
      </w:pPr>
      <w:r>
        <w:rPr>
          <w:rFonts w:hint="eastAsia" w:ascii="仿宋_GB2312" w:eastAsia="仿宋_GB2312"/>
          <w:b w:val="0"/>
          <w:bCs/>
          <w:color w:val="000000"/>
          <w:sz w:val="28"/>
          <w:szCs w:val="28"/>
          <w:highlight w:val="none"/>
        </w:rPr>
        <w:t>如遇上述场景，请贵机构通过销售机构进行风险承受能力评估，填写销售机构</w:t>
      </w:r>
      <w:r>
        <w:rPr>
          <w:rFonts w:hint="eastAsia" w:ascii="仿宋_GB2312" w:eastAsia="仿宋_GB2312"/>
          <w:bCs/>
          <w:color w:val="000000"/>
          <w:sz w:val="28"/>
          <w:szCs w:val="28"/>
          <w:highlight w:val="none"/>
        </w:rPr>
        <w:t>机构</w:t>
      </w:r>
      <w:r>
        <w:rPr>
          <w:rFonts w:hint="eastAsia" w:ascii="仿宋_GB2312" w:eastAsia="仿宋_GB2312"/>
          <w:b w:val="0"/>
          <w:bCs/>
          <w:color w:val="000000"/>
          <w:sz w:val="28"/>
          <w:szCs w:val="28"/>
          <w:highlight w:val="none"/>
        </w:rPr>
        <w:t>客户风险评估问卷，得出投资风险评估结果（即</w:t>
      </w:r>
      <w:r>
        <w:rPr>
          <w:rFonts w:hint="eastAsia" w:ascii="仿宋_GB2312" w:eastAsia="仿宋_GB2312"/>
          <w:bCs/>
          <w:color w:val="000000"/>
          <w:sz w:val="28"/>
          <w:szCs w:val="28"/>
          <w:highlight w:val="none"/>
        </w:rPr>
        <w:t>投资者风险</w:t>
      </w:r>
      <w:r>
        <w:rPr>
          <w:rFonts w:hint="eastAsia" w:ascii="仿宋_GB2312" w:eastAsia="仿宋_GB2312"/>
          <w:b w:val="0"/>
          <w:bCs/>
          <w:color w:val="000000"/>
          <w:sz w:val="28"/>
          <w:szCs w:val="28"/>
          <w:highlight w:val="none"/>
        </w:rPr>
        <w:t>类型）及适合度匹配结果并对销售机构</w:t>
      </w:r>
      <w:r>
        <w:rPr>
          <w:rFonts w:hint="eastAsia" w:ascii="仿宋_GB2312" w:eastAsia="仿宋_GB2312"/>
          <w:bCs/>
          <w:color w:val="000000"/>
          <w:sz w:val="28"/>
          <w:szCs w:val="28"/>
          <w:highlight w:val="none"/>
        </w:rPr>
        <w:t>机构</w:t>
      </w:r>
      <w:r>
        <w:rPr>
          <w:rFonts w:hint="eastAsia" w:ascii="仿宋_GB2312" w:eastAsia="仿宋_GB2312"/>
          <w:b w:val="0"/>
          <w:bCs/>
          <w:color w:val="000000"/>
          <w:sz w:val="28"/>
          <w:szCs w:val="28"/>
          <w:highlight w:val="none"/>
        </w:rPr>
        <w:t>客户风险评估结果确认书进行确认。</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对于专业投资者、合格投资者的适当性要求及认定流程，以销售机构为准。</w:t>
      </w:r>
    </w:p>
    <w:p>
      <w:pPr>
        <w:pStyle w:val="9"/>
        <w:spacing w:line="460" w:lineRule="exact"/>
        <w:ind w:firstLine="560" w:firstLineChars="200"/>
        <w:jc w:val="both"/>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三、</w:t>
      </w:r>
      <w:r>
        <w:rPr>
          <w:rFonts w:hint="eastAsia" w:ascii="仿宋_GB2312" w:eastAsia="仿宋_GB2312"/>
          <w:b/>
          <w:bCs/>
          <w:sz w:val="28"/>
          <w:szCs w:val="28"/>
          <w:highlight w:val="none"/>
        </w:rPr>
        <w:t>评级具体含义以及适合购买的理财产品</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lang w:val="en-US" w:eastAsia="zh-CN"/>
        </w:rPr>
        <w:t>上银理财</w:t>
      </w:r>
      <w:r>
        <w:rPr>
          <w:rFonts w:hint="eastAsia" w:ascii="仿宋_GB2312" w:eastAsia="仿宋_GB2312"/>
          <w:color w:val="000000"/>
          <w:sz w:val="28"/>
          <w:szCs w:val="28"/>
          <w:highlight w:val="none"/>
        </w:rPr>
        <w:t>将投资者风险承受能力由低到高分为保守型、稳健型、平衡型、成长型、进取型共五个等级。</w:t>
      </w:r>
      <w:r>
        <w:rPr>
          <w:rFonts w:hint="eastAsia" w:ascii="仿宋_GB2312" w:eastAsia="仿宋_GB2312"/>
          <w:color w:val="000000"/>
          <w:sz w:val="28"/>
          <w:szCs w:val="28"/>
          <w:highlight w:val="none"/>
          <w:lang w:val="en-US" w:eastAsia="zh-CN"/>
        </w:rPr>
        <w:t>销售机构对贵机构的风险承受能力评估结果与上银理财不一致的，销售机构应当按照孰低原则采用并披露，以销售机构最终展示为准。</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上银理财的理财产品分为公募理财产品和私募理财产品，根据理财产品投资范围、风险收益特点、流动性等不同因素，上银理财发行的理财产品分为低风险（一级风险，R1)、中低风险产品（二级风险，R2）、中等风险（三级风险，R3）、中高风险（四级风险，R4）、高风险（五级风险，R5）</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销售机构对理财产品的风险等级划分与上银理财不一致的，销售机构应当按照孰高原则采用并披露，具体以销售机构最终展示为准</w:t>
      </w:r>
      <w:r>
        <w:rPr>
          <w:rFonts w:hint="eastAsia" w:ascii="仿宋_GB2312" w:eastAsia="仿宋_GB2312"/>
          <w:color w:val="000000"/>
          <w:sz w:val="28"/>
          <w:szCs w:val="28"/>
          <w:highlight w:val="none"/>
        </w:rPr>
        <w:t>。</w:t>
      </w:r>
    </w:p>
    <w:p>
      <w:pPr>
        <w:autoSpaceDE w:val="0"/>
        <w:autoSpaceDN w:val="0"/>
        <w:adjustRightInd w:val="0"/>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lang w:val="en-US" w:eastAsia="zh-CN"/>
        </w:rPr>
        <w:t>上银理财</w:t>
      </w:r>
      <w:r>
        <w:rPr>
          <w:rFonts w:hint="eastAsia" w:ascii="仿宋_GB2312" w:eastAsia="仿宋_GB2312"/>
          <w:color w:val="000000"/>
          <w:sz w:val="28"/>
          <w:szCs w:val="28"/>
          <w:highlight w:val="none"/>
        </w:rPr>
        <w:t>对投资者风险承受能力等级和产品风险等级之间建立如下表所示对应关系，</w:t>
      </w:r>
      <w:r>
        <w:rPr>
          <w:rFonts w:hint="eastAsia" w:ascii="仿宋_GB2312" w:eastAsia="仿宋_GB2312"/>
          <w:color w:val="000000"/>
          <w:sz w:val="28"/>
          <w:szCs w:val="28"/>
          <w:highlight w:val="none"/>
          <w:lang w:val="en-US" w:eastAsia="zh-CN"/>
        </w:rPr>
        <w:t>同时销售机构可能另行建立投资者风险承受能力和理财产品风险等级的匹配规则，请贵机构留意。</w:t>
      </w:r>
      <w:r>
        <w:rPr>
          <w:rFonts w:hint="eastAsia" w:ascii="仿宋_GB2312" w:eastAsia="仿宋_GB2312"/>
          <w:color w:val="000000"/>
          <w:sz w:val="28"/>
          <w:szCs w:val="28"/>
          <w:highlight w:val="none"/>
        </w:rPr>
        <w:t>请贵机构根据贵机构的风险承受能力评估结果选择与贵机构风险承受能力相匹配的理财产品。贵机构的风险承受能力评估结果应以贵机构在购买理财产品前的最近一次有效评估结果为准。</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301"/>
        <w:gridCol w:w="1415"/>
        <w:gridCol w:w="1412"/>
        <w:gridCol w:w="141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974" w:type="pct"/>
            <w:tcBorders>
              <w:tl2br w:val="single" w:color="auto" w:sz="4" w:space="0"/>
            </w:tcBorders>
            <w:vAlign w:val="center"/>
          </w:tcPr>
          <w:p>
            <w:pPr>
              <w:pStyle w:val="3"/>
              <w:spacing w:line="360" w:lineRule="auto"/>
              <w:ind w:firstLine="0" w:firstLineChars="0"/>
              <w:jc w:val="right"/>
              <w:rPr>
                <w:rFonts w:ascii="仿宋" w:hAnsi="仿宋" w:eastAsia="仿宋" w:cs="仿宋"/>
                <w:b/>
                <w:sz w:val="21"/>
                <w:szCs w:val="21"/>
                <w:highlight w:val="none"/>
              </w:rPr>
            </w:pPr>
            <w:r>
              <w:rPr>
                <w:rFonts w:hint="eastAsia" w:ascii="仿宋" w:hAnsi="仿宋" w:eastAsia="仿宋" w:cs="仿宋"/>
                <w:b/>
                <w:sz w:val="21"/>
                <w:szCs w:val="21"/>
                <w:highlight w:val="none"/>
              </w:rPr>
              <w:t>产品风险等级</w:t>
            </w:r>
          </w:p>
          <w:p>
            <w:pPr>
              <w:pStyle w:val="3"/>
              <w:spacing w:line="360" w:lineRule="auto"/>
              <w:ind w:firstLine="0" w:firstLineChars="0"/>
              <w:rPr>
                <w:rFonts w:ascii="仿宋" w:hAnsi="仿宋" w:eastAsia="仿宋" w:cs="仿宋"/>
                <w:b/>
                <w:sz w:val="21"/>
                <w:szCs w:val="21"/>
                <w:highlight w:val="none"/>
              </w:rPr>
            </w:pPr>
            <w:r>
              <w:rPr>
                <w:rFonts w:hint="eastAsia" w:ascii="仿宋" w:hAnsi="仿宋" w:eastAsia="仿宋" w:cs="仿宋"/>
                <w:b/>
                <w:sz w:val="21"/>
                <w:szCs w:val="21"/>
                <w:highlight w:val="none"/>
              </w:rPr>
              <w:t>投资者</w:t>
            </w:r>
          </w:p>
          <w:p>
            <w:pPr>
              <w:pStyle w:val="3"/>
              <w:spacing w:line="360" w:lineRule="auto"/>
              <w:ind w:firstLine="0" w:firstLineChars="0"/>
              <w:rPr>
                <w:rFonts w:ascii="仿宋" w:hAnsi="仿宋" w:eastAsia="仿宋" w:cs="仿宋"/>
                <w:sz w:val="21"/>
                <w:szCs w:val="21"/>
                <w:highlight w:val="none"/>
              </w:rPr>
            </w:pPr>
            <w:r>
              <w:rPr>
                <w:rFonts w:hint="eastAsia" w:ascii="仿宋" w:hAnsi="仿宋" w:eastAsia="仿宋" w:cs="仿宋"/>
                <w:b/>
                <w:sz w:val="21"/>
                <w:szCs w:val="21"/>
                <w:highlight w:val="none"/>
              </w:rPr>
              <w:t>风险类型</w:t>
            </w:r>
          </w:p>
        </w:tc>
        <w:tc>
          <w:tcPr>
            <w:tcW w:w="763"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低风险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（一级风险，R1）</w:t>
            </w:r>
          </w:p>
        </w:tc>
        <w:tc>
          <w:tcPr>
            <w:tcW w:w="830"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中低风险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（二级风险，R2）</w:t>
            </w:r>
          </w:p>
        </w:tc>
        <w:tc>
          <w:tcPr>
            <w:tcW w:w="828"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中等风险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（三级风险，R3）</w:t>
            </w:r>
          </w:p>
        </w:tc>
        <w:tc>
          <w:tcPr>
            <w:tcW w:w="828"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中高风险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（四级风险，R4）</w:t>
            </w:r>
          </w:p>
        </w:tc>
        <w:tc>
          <w:tcPr>
            <w:tcW w:w="774" w:type="pct"/>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高风险</w:t>
            </w:r>
          </w:p>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（五级风险，R5）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4" w:type="pct"/>
            <w:vAlign w:val="center"/>
          </w:tcPr>
          <w:p>
            <w:pPr>
              <w:adjustRightInd w:val="0"/>
              <w:spacing w:line="360" w:lineRule="auto"/>
              <w:jc w:val="center"/>
              <w:textAlignment w:val="baseline"/>
              <w:outlineLvl w:val="0"/>
              <w:rPr>
                <w:rFonts w:ascii="仿宋" w:hAnsi="仿宋" w:eastAsia="仿宋" w:cs="仿宋"/>
                <w:b/>
                <w:szCs w:val="21"/>
                <w:highlight w:val="none"/>
              </w:rPr>
            </w:pPr>
            <w:r>
              <w:rPr>
                <w:rFonts w:hint="eastAsia" w:ascii="仿宋" w:hAnsi="仿宋" w:eastAsia="仿宋" w:cs="仿宋"/>
                <w:b/>
                <w:szCs w:val="21"/>
                <w:highlight w:val="none"/>
              </w:rPr>
              <w:t>进取型</w:t>
            </w:r>
          </w:p>
        </w:tc>
        <w:tc>
          <w:tcPr>
            <w:tcW w:w="763"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30"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28"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828" w:type="pct"/>
            <w:vAlign w:val="center"/>
          </w:tcPr>
          <w:p>
            <w:pPr>
              <w:spacing w:line="360" w:lineRule="auto"/>
              <w:jc w:val="center"/>
              <w:rPr>
                <w:rFonts w:ascii="仿宋" w:hAnsi="仿宋" w:eastAsia="仿宋" w:cs="仿宋"/>
                <w:szCs w:val="21"/>
                <w:highlight w:val="none"/>
              </w:rPr>
            </w:pPr>
            <w:r>
              <w:rPr>
                <w:rFonts w:hint="eastAsia" w:ascii="仿宋" w:hAnsi="仿宋" w:eastAsia="仿宋" w:cs="仿宋"/>
                <w:kern w:val="0"/>
                <w:szCs w:val="21"/>
                <w:highlight w:val="none"/>
              </w:rPr>
              <w:t>适合</w:t>
            </w:r>
          </w:p>
        </w:tc>
        <w:tc>
          <w:tcPr>
            <w:tcW w:w="774" w:type="pct"/>
            <w:tcBorders>
              <w:bottom w:val="single" w:color="auto" w:sz="4" w:space="0"/>
            </w:tcBorders>
            <w:vAlign w:val="center"/>
          </w:tcPr>
          <w:p>
            <w:pPr>
              <w:pStyle w:val="3"/>
              <w:spacing w:line="360" w:lineRule="auto"/>
              <w:ind w:firstLine="0" w:firstLineChars="0"/>
              <w:jc w:val="center"/>
              <w:rPr>
                <w:rFonts w:ascii="仿宋" w:hAnsi="仿宋" w:eastAsia="仿宋" w:cs="仿宋"/>
                <w:sz w:val="21"/>
                <w:szCs w:val="21"/>
                <w:highlight w:val="none"/>
              </w:rPr>
            </w:pPr>
            <w:r>
              <w:rPr>
                <w:rFonts w:hint="eastAsia" w:ascii="仿宋" w:hAnsi="仿宋" w:eastAsia="仿宋" w:cs="仿宋"/>
                <w:kern w:val="0"/>
                <w:sz w:val="21"/>
                <w:szCs w:val="21"/>
                <w:highlight w:val="none"/>
              </w:rPr>
              <w:t>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成长型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774" w:type="pct"/>
            <w:tcBorders>
              <w:bottom w:val="single" w:color="auto" w:sz="4" w:space="0"/>
            </w:tcBorders>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平衡型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稳健型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tcBorders>
              <w:bottom w:val="single" w:color="auto" w:sz="4" w:space="0"/>
            </w:tcBorders>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4" w:type="pct"/>
            <w:shd w:val="clear" w:color="auto" w:fill="auto"/>
            <w:vAlign w:val="center"/>
          </w:tcPr>
          <w:p>
            <w:pPr>
              <w:pStyle w:val="3"/>
              <w:spacing w:line="360" w:lineRule="auto"/>
              <w:ind w:firstLine="0" w:firstLineChars="0"/>
              <w:jc w:val="center"/>
              <w:rPr>
                <w:rFonts w:ascii="仿宋" w:hAnsi="仿宋" w:eastAsia="仿宋" w:cs="仿宋"/>
                <w:b/>
                <w:sz w:val="21"/>
                <w:szCs w:val="21"/>
                <w:highlight w:val="none"/>
              </w:rPr>
            </w:pPr>
            <w:r>
              <w:rPr>
                <w:rFonts w:hint="eastAsia" w:ascii="仿宋" w:hAnsi="仿宋" w:eastAsia="仿宋" w:cs="仿宋"/>
                <w:b/>
                <w:sz w:val="21"/>
                <w:szCs w:val="21"/>
                <w:highlight w:val="none"/>
              </w:rPr>
              <w:t>保守型</w:t>
            </w:r>
          </w:p>
        </w:tc>
        <w:tc>
          <w:tcPr>
            <w:tcW w:w="763" w:type="pct"/>
            <w:shd w:val="clear" w:color="auto" w:fill="auto"/>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适合</w:t>
            </w:r>
          </w:p>
        </w:tc>
        <w:tc>
          <w:tcPr>
            <w:tcW w:w="830"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828"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774" w:type="pct"/>
            <w:shd w:val="clear" w:color="auto" w:fill="E6E6E6"/>
            <w:vAlign w:val="center"/>
          </w:tcPr>
          <w:p>
            <w:pPr>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不适合</w:t>
            </w:r>
          </w:p>
        </w:tc>
      </w:tr>
    </w:tbl>
    <w:p>
      <w:pPr>
        <w:pStyle w:val="9"/>
        <w:spacing w:line="460" w:lineRule="exact"/>
        <w:ind w:firstLine="562" w:firstLineChars="200"/>
        <w:jc w:val="both"/>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重要提示：请贵机构认真阅读《风险揭示书》中的风险提示部分，并充分知晓产品风险。贵机构一旦做出投资决策，应自行承担产品运营过程中产生的风险。</w:t>
      </w:r>
    </w:p>
    <w:p>
      <w:pPr>
        <w:pStyle w:val="9"/>
        <w:spacing w:line="460" w:lineRule="exact"/>
        <w:ind w:firstLine="562" w:firstLineChars="200"/>
        <w:jc w:val="both"/>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贵机构在发行期内购买理财产品时，销售机构将冻结贵机构“授权指定账户”内的购买金额，并按照约定时间划转至产品发行人指定账户。自购买日至划款日（不含）之间贵机构购买产品的本金金额产生的活期利息将留存在贵机构“授权指定账户”内。</w:t>
      </w:r>
    </w:p>
    <w:p>
      <w:pPr>
        <w:pStyle w:val="9"/>
        <w:spacing w:line="460" w:lineRule="exact"/>
        <w:ind w:firstLine="562" w:firstLineChars="200"/>
        <w:jc w:val="both"/>
        <w:rPr>
          <w:rFonts w:hint="eastAsia"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如贵机构购买的产品为私募理财，则产品设有投资冷静期。在投资冷静期内，如贵机构改变决定，销售机构将遵从贵机构的意愿，解除已签订的销售文件，并按照产品说明书的约定退还贵机构的全部投资款项，投资冷静期具体期限在理财产品对应期次的风险揭示书和产品说明书中载明。</w:t>
      </w:r>
    </w:p>
    <w:p>
      <w:pPr>
        <w:spacing w:line="460" w:lineRule="exact"/>
        <w:ind w:firstLine="562" w:firstLineChars="200"/>
        <w:rPr>
          <w:rFonts w:hint="eastAsia" w:ascii="仿宋_GB2312" w:eastAsia="仿宋_GB2312" w:cstheme="minorBidi"/>
          <w:b/>
          <w:bCs/>
          <w:color w:val="000000"/>
          <w:kern w:val="2"/>
          <w:sz w:val="28"/>
          <w:szCs w:val="28"/>
          <w:highlight w:val="none"/>
        </w:rPr>
      </w:pPr>
      <w:r>
        <w:rPr>
          <w:rFonts w:hint="eastAsia" w:ascii="仿宋_GB2312" w:eastAsia="仿宋_GB2312"/>
          <w:b/>
          <w:bCs/>
          <w:color w:val="000000"/>
          <w:sz w:val="28"/>
          <w:szCs w:val="28"/>
          <w:highlight w:val="none"/>
          <w:lang w:val="en-US" w:eastAsia="zh-CN"/>
        </w:rPr>
        <w:t>请贵机构</w:t>
      </w:r>
      <w:r>
        <w:rPr>
          <w:rFonts w:hint="eastAsia" w:ascii="仿宋_GB2312" w:eastAsia="仿宋_GB2312"/>
          <w:b/>
          <w:bCs/>
          <w:color w:val="000000"/>
          <w:sz w:val="28"/>
          <w:szCs w:val="28"/>
          <w:highlight w:val="none"/>
        </w:rPr>
        <w:t>在理财产品持有期间</w:t>
      </w:r>
      <w:r>
        <w:rPr>
          <w:rFonts w:hint="eastAsia" w:ascii="仿宋_GB2312" w:eastAsia="仿宋_GB2312"/>
          <w:b/>
          <w:bCs/>
          <w:color w:val="000000"/>
          <w:sz w:val="28"/>
          <w:szCs w:val="28"/>
          <w:highlight w:val="none"/>
          <w:lang w:val="en-US" w:eastAsia="zh-CN"/>
        </w:rPr>
        <w:t>关注自身</w:t>
      </w:r>
      <w:r>
        <w:rPr>
          <w:rFonts w:hint="eastAsia" w:ascii="仿宋_GB2312" w:eastAsia="仿宋_GB2312"/>
          <w:b/>
          <w:bCs/>
          <w:color w:val="000000"/>
          <w:sz w:val="28"/>
          <w:szCs w:val="28"/>
          <w:highlight w:val="none"/>
        </w:rPr>
        <w:t>风险承受能力变化</w:t>
      </w:r>
      <w:r>
        <w:rPr>
          <w:rFonts w:hint="eastAsia" w:ascii="仿宋_GB2312" w:eastAsia="仿宋_GB2312"/>
          <w:b/>
          <w:bCs/>
          <w:color w:val="000000"/>
          <w:sz w:val="28"/>
          <w:szCs w:val="28"/>
          <w:highlight w:val="none"/>
          <w:lang w:val="en-US" w:eastAsia="zh-CN"/>
        </w:rPr>
        <w:t>情况，并关注由此可能</w:t>
      </w:r>
      <w:r>
        <w:rPr>
          <w:rFonts w:hint="eastAsia" w:ascii="仿宋_GB2312" w:eastAsia="仿宋_GB2312"/>
          <w:b/>
          <w:bCs/>
          <w:color w:val="000000"/>
          <w:sz w:val="28"/>
          <w:szCs w:val="28"/>
          <w:highlight w:val="none"/>
        </w:rPr>
        <w:t>导致</w:t>
      </w:r>
      <w:r>
        <w:rPr>
          <w:rFonts w:hint="eastAsia" w:ascii="仿宋_GB2312" w:eastAsia="仿宋_GB2312"/>
          <w:b/>
          <w:bCs/>
          <w:color w:val="000000"/>
          <w:sz w:val="28"/>
          <w:szCs w:val="28"/>
          <w:highlight w:val="none"/>
          <w:lang w:val="en-US" w:eastAsia="zh-CN"/>
        </w:rPr>
        <w:t>的</w:t>
      </w:r>
      <w:r>
        <w:rPr>
          <w:rFonts w:hint="eastAsia" w:ascii="仿宋_GB2312" w:eastAsia="仿宋_GB2312"/>
          <w:b/>
          <w:bCs/>
          <w:color w:val="000000"/>
          <w:sz w:val="28"/>
          <w:szCs w:val="28"/>
          <w:highlight w:val="none"/>
        </w:rPr>
        <w:t>您</w:t>
      </w:r>
      <w:r>
        <w:rPr>
          <w:rFonts w:hint="eastAsia" w:ascii="仿宋_GB2312" w:eastAsia="仿宋_GB2312"/>
          <w:b/>
          <w:bCs/>
          <w:color w:val="000000"/>
          <w:sz w:val="28"/>
          <w:szCs w:val="28"/>
          <w:highlight w:val="none"/>
          <w:lang w:val="en-US" w:eastAsia="zh-CN"/>
        </w:rPr>
        <w:t>购买</w:t>
      </w:r>
      <w:r>
        <w:rPr>
          <w:rFonts w:hint="eastAsia" w:ascii="仿宋_GB2312" w:eastAsia="仿宋_GB2312"/>
          <w:b/>
          <w:bCs/>
          <w:color w:val="000000"/>
          <w:sz w:val="28"/>
          <w:szCs w:val="28"/>
          <w:highlight w:val="none"/>
        </w:rPr>
        <w:t>的理财产品与</w:t>
      </w:r>
      <w:r>
        <w:rPr>
          <w:rFonts w:hint="eastAsia" w:ascii="仿宋_GB2312" w:eastAsia="仿宋_GB2312"/>
          <w:b/>
          <w:bCs/>
          <w:color w:val="000000"/>
          <w:sz w:val="28"/>
          <w:szCs w:val="28"/>
          <w:highlight w:val="none"/>
          <w:lang w:val="en-US" w:eastAsia="zh-CN"/>
        </w:rPr>
        <w:t>贵机构</w:t>
      </w:r>
      <w:r>
        <w:rPr>
          <w:rFonts w:hint="eastAsia" w:ascii="仿宋_GB2312" w:eastAsia="仿宋_GB2312"/>
          <w:b/>
          <w:bCs/>
          <w:color w:val="000000"/>
          <w:sz w:val="28"/>
          <w:szCs w:val="28"/>
          <w:highlight w:val="none"/>
        </w:rPr>
        <w:t>风险承受能力</w:t>
      </w:r>
      <w:r>
        <w:rPr>
          <w:rFonts w:hint="eastAsia" w:ascii="仿宋_GB2312" w:eastAsia="仿宋_GB2312"/>
          <w:b/>
          <w:bCs/>
          <w:color w:val="000000"/>
          <w:sz w:val="28"/>
          <w:szCs w:val="28"/>
          <w:highlight w:val="none"/>
          <w:lang w:val="en-US" w:eastAsia="zh-CN"/>
        </w:rPr>
        <w:t>匹配情况的变动。贵机构可以依照已签署的理财产品销售文件的约定及时行使赎回权利赎回理财产品份额</w:t>
      </w:r>
      <w:r>
        <w:rPr>
          <w:rFonts w:hint="eastAsia" w:ascii="仿宋_GB2312" w:eastAsia="仿宋_GB2312"/>
          <w:b/>
          <w:bCs/>
          <w:color w:val="000000"/>
          <w:sz w:val="28"/>
          <w:szCs w:val="28"/>
          <w:highlight w:val="none"/>
          <w:lang w:eastAsia="zh-CN"/>
        </w:rPr>
        <w:t>。</w:t>
      </w:r>
    </w:p>
    <w:p>
      <w:pPr>
        <w:pStyle w:val="9"/>
        <w:spacing w:line="460" w:lineRule="exact"/>
        <w:ind w:firstLine="562" w:firstLineChars="200"/>
        <w:jc w:val="both"/>
        <w:rPr>
          <w:rFonts w:ascii="仿宋_GB2312" w:eastAsia="仿宋_GB2312" w:cstheme="minorBidi"/>
          <w:b/>
          <w:bCs/>
          <w:kern w:val="2"/>
          <w:sz w:val="28"/>
          <w:szCs w:val="28"/>
          <w:highlight w:val="none"/>
        </w:rPr>
      </w:pPr>
      <w:r>
        <w:rPr>
          <w:rFonts w:hint="eastAsia" w:ascii="仿宋_GB2312" w:eastAsia="仿宋_GB2312" w:cstheme="minorBidi"/>
          <w:b/>
          <w:bCs/>
          <w:kern w:val="2"/>
          <w:sz w:val="28"/>
          <w:szCs w:val="28"/>
          <w:highlight w:val="none"/>
        </w:rPr>
        <w:t>四、投资者的权利</w:t>
      </w:r>
    </w:p>
    <w:p>
      <w:pPr>
        <w:pStyle w:val="9"/>
        <w:numPr>
          <w:ilvl w:val="255"/>
          <w:numId w:val="0"/>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根据《产品说明书》的约定，投资者享有下列权利：</w:t>
      </w:r>
    </w:p>
    <w:p>
      <w:pPr>
        <w:pStyle w:val="9"/>
        <w:numPr>
          <w:ilvl w:val="0"/>
          <w:numId w:val="3"/>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在购买前，有权了解理财产品的类型、风险等级、投资方向、期限、费用等关键信息；</w:t>
      </w:r>
    </w:p>
    <w:p>
      <w:pPr>
        <w:pStyle w:val="9"/>
        <w:numPr>
          <w:ilvl w:val="0"/>
          <w:numId w:val="3"/>
        </w:numPr>
        <w:spacing w:line="460" w:lineRule="exact"/>
        <w:ind w:firstLine="560" w:firstLineChars="200"/>
        <w:outlineLvl w:val="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有权获取理财产品净值、理财产品定期报告、理财产品临时性信息披露、理财产品重大事项公告和理财产品终止公告；</w:t>
      </w:r>
    </w:p>
    <w:p>
      <w:pPr>
        <w:pStyle w:val="9"/>
        <w:numPr>
          <w:ilvl w:val="0"/>
          <w:numId w:val="3"/>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有权获取理财产品收益（如有）；</w:t>
      </w:r>
    </w:p>
    <w:p>
      <w:pPr>
        <w:pStyle w:val="9"/>
        <w:numPr>
          <w:ilvl w:val="0"/>
          <w:numId w:val="3"/>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w:t>
      </w:r>
      <w:r>
        <w:rPr>
          <w:rFonts w:ascii="仿宋_GB2312" w:eastAsia="仿宋_GB2312" w:cstheme="minorBidi"/>
          <w:kern w:val="2"/>
          <w:sz w:val="28"/>
          <w:szCs w:val="28"/>
          <w:highlight w:val="none"/>
        </w:rPr>
        <w:t>财产品终止日当日及之后的理财产品可得资金分配</w:t>
      </w:r>
      <w:r>
        <w:rPr>
          <w:rFonts w:hint="eastAsia" w:ascii="仿宋_GB2312" w:eastAsia="仿宋_GB2312" w:cstheme="minorBidi"/>
          <w:kern w:val="2"/>
          <w:sz w:val="28"/>
          <w:szCs w:val="28"/>
          <w:highlight w:val="none"/>
        </w:rPr>
        <w:t>权，该等可得资金包括本金和理财收益（如有）；</w:t>
      </w:r>
    </w:p>
    <w:p>
      <w:pPr>
        <w:pStyle w:val="9"/>
        <w:numPr>
          <w:ilvl w:val="0"/>
          <w:numId w:val="3"/>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对理财产品管理人、托管人、销售机构损害其合法权益的行为依法提起诉讼；</w:t>
      </w:r>
    </w:p>
    <w:p>
      <w:pPr>
        <w:pStyle w:val="9"/>
        <w:numPr>
          <w:ilvl w:val="0"/>
          <w:numId w:val="3"/>
        </w:numPr>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理财产品说明书约定的其他权利。</w:t>
      </w:r>
    </w:p>
    <w:p>
      <w:pPr>
        <w:autoSpaceDE w:val="0"/>
        <w:autoSpaceDN w:val="0"/>
        <w:adjustRightInd w:val="0"/>
        <w:spacing w:line="460" w:lineRule="exact"/>
        <w:ind w:firstLine="562" w:firstLineChars="200"/>
        <w:rPr>
          <w:rFonts w:asciiTheme="minorEastAsia" w:hAnsiTheme="minorEastAsia" w:cstheme="minorEastAsia"/>
          <w:b/>
          <w:color w:val="000000"/>
          <w:kern w:val="0"/>
          <w:szCs w:val="21"/>
          <w:highlight w:val="none"/>
        </w:rPr>
      </w:pPr>
      <w:r>
        <w:rPr>
          <w:rFonts w:hint="eastAsia" w:ascii="仿宋_GB2312" w:eastAsia="仿宋_GB2312"/>
          <w:b/>
          <w:bCs/>
          <w:color w:val="000000"/>
          <w:sz w:val="28"/>
          <w:szCs w:val="28"/>
          <w:highlight w:val="none"/>
        </w:rPr>
        <w:t>五、理财产品兑付/赎回</w:t>
      </w:r>
    </w:p>
    <w:p>
      <w:pPr>
        <w:pStyle w:val="9"/>
        <w:spacing w:line="460" w:lineRule="exact"/>
        <w:ind w:firstLine="560" w:firstLineChars="200"/>
        <w:jc w:val="both"/>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理财产品到期可兑付金额由产品发行人按照产品说明书的约定，在理财产品清算日通过销售机构分配至贵机构的授权指定账户内。</w:t>
      </w:r>
    </w:p>
    <w:p>
      <w:pPr>
        <w:pStyle w:val="9"/>
        <w:spacing w:line="460" w:lineRule="exact"/>
        <w:ind w:firstLine="560" w:firstLineChars="200"/>
        <w:rPr>
          <w:rFonts w:ascii="仿宋_GB2312" w:eastAsia="仿宋_GB2312" w:cstheme="minorBidi"/>
          <w:kern w:val="2"/>
          <w:sz w:val="28"/>
          <w:szCs w:val="28"/>
          <w:highlight w:val="none"/>
        </w:rPr>
      </w:pPr>
      <w:r>
        <w:rPr>
          <w:rFonts w:hint="eastAsia" w:ascii="仿宋_GB2312" w:eastAsia="仿宋_GB2312" w:cstheme="minorBidi"/>
          <w:kern w:val="2"/>
          <w:sz w:val="28"/>
          <w:szCs w:val="28"/>
          <w:highlight w:val="none"/>
        </w:rPr>
        <w:t>理财产品是否可赎回及赎回规则按照理财产品销售文件的约定执行。贵机构可在理财产品销售文件约定的赎回条件下，通过销售机构营业网点及理财产品销售文件中约定的其它渠道，赎回理财产品。</w:t>
      </w:r>
    </w:p>
    <w:p>
      <w:pPr>
        <w:autoSpaceDE w:val="0"/>
        <w:autoSpaceDN w:val="0"/>
        <w:adjustRightInd w:val="0"/>
        <w:spacing w:line="460" w:lineRule="exact"/>
        <w:ind w:firstLine="562" w:firstLineChars="200"/>
        <w:jc w:val="left"/>
        <w:rPr>
          <w:rFonts w:asciiTheme="minorEastAsia" w:hAnsiTheme="minorEastAsia" w:cstheme="minorEastAsia"/>
          <w:b/>
          <w:color w:val="000000"/>
          <w:kern w:val="0"/>
          <w:szCs w:val="21"/>
          <w:highlight w:val="none"/>
        </w:rPr>
      </w:pPr>
      <w:r>
        <w:rPr>
          <w:rFonts w:hint="eastAsia" w:ascii="仿宋_GB2312" w:eastAsia="仿宋_GB2312"/>
          <w:b/>
          <w:bCs/>
          <w:color w:val="000000"/>
          <w:sz w:val="28"/>
          <w:szCs w:val="28"/>
          <w:highlight w:val="none"/>
        </w:rPr>
        <w:t xml:space="preserve">六、信息披露 </w:t>
      </w:r>
    </w:p>
    <w:p>
      <w:pPr>
        <w:autoSpaceDE w:val="0"/>
        <w:autoSpaceDN w:val="0"/>
        <w:adjustRightInd w:val="0"/>
        <w:spacing w:line="460" w:lineRule="exact"/>
        <w:ind w:firstLine="560" w:firstLineChars="200"/>
        <w:jc w:val="left"/>
        <w:rPr>
          <w:rFonts w:ascii="仿宋_GB2312" w:eastAsia="仿宋_GB2312"/>
          <w:b/>
          <w:bCs/>
          <w:color w:val="000000"/>
          <w:sz w:val="28"/>
          <w:szCs w:val="28"/>
          <w:highlight w:val="none"/>
        </w:rPr>
      </w:pPr>
      <w:r>
        <w:rPr>
          <w:rFonts w:hint="eastAsia" w:ascii="仿宋_GB2312" w:eastAsia="仿宋_GB2312"/>
          <w:color w:val="000000"/>
          <w:sz w:val="28"/>
          <w:szCs w:val="28"/>
          <w:highlight w:val="none"/>
        </w:rPr>
        <w:t>本理财产品信息披露将通过销售机构、上银理财的信息披露渠道（包括但不限于销售机构官方网站或其他官方渠道、电子销售渠道及上银理财官方网站等）进行。理财产品相关信息的具体披露方式、渠道和频率，以上银理财提供的《产品说明书》中相关“信息披露”约定为准。</w:t>
      </w:r>
    </w:p>
    <w:p>
      <w:pPr>
        <w:autoSpaceDE w:val="0"/>
        <w:autoSpaceDN w:val="0"/>
        <w:adjustRightInd w:val="0"/>
        <w:spacing w:line="460" w:lineRule="exact"/>
        <w:ind w:firstLine="562" w:firstLineChars="200"/>
        <w:jc w:val="left"/>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七、投诉与</w:t>
      </w:r>
      <w:r>
        <w:rPr>
          <w:rFonts w:hint="eastAsia" w:ascii="仿宋_GB2312" w:eastAsia="仿宋_GB2312"/>
          <w:b/>
          <w:bCs/>
          <w:color w:val="000000"/>
          <w:sz w:val="28"/>
          <w:szCs w:val="28"/>
          <w:highlight w:val="none"/>
          <w:lang w:val="en-US" w:eastAsia="zh-CN"/>
        </w:rPr>
        <w:t>联络</w:t>
      </w:r>
      <w:bookmarkStart w:id="0" w:name="_GoBack"/>
      <w:bookmarkEnd w:id="0"/>
      <w:r>
        <w:rPr>
          <w:rFonts w:hint="eastAsia" w:ascii="仿宋_GB2312" w:eastAsia="仿宋_GB2312"/>
          <w:b/>
          <w:bCs/>
          <w:color w:val="000000"/>
          <w:sz w:val="28"/>
          <w:szCs w:val="28"/>
          <w:highlight w:val="none"/>
        </w:rPr>
        <w:t>方式</w:t>
      </w:r>
    </w:p>
    <w:p>
      <w:pPr>
        <w:adjustRightInd w:val="0"/>
        <w:snapToGrid w:val="0"/>
        <w:spacing w:line="460" w:lineRule="exact"/>
        <w:ind w:firstLine="420"/>
        <w:rPr>
          <w:rFonts w:ascii="仿宋_GB2312" w:eastAsia="仿宋_GB2312"/>
          <w:b/>
          <w:bCs/>
          <w:color w:val="000000"/>
          <w:sz w:val="28"/>
          <w:szCs w:val="28"/>
          <w:highlight w:val="none"/>
        </w:rPr>
      </w:pPr>
      <w:r>
        <w:rPr>
          <w:rFonts w:hint="eastAsia" w:ascii="仿宋_GB2312" w:eastAsia="仿宋_GB2312"/>
          <w:color w:val="000000"/>
          <w:sz w:val="28"/>
          <w:szCs w:val="28"/>
          <w:highlight w:val="none"/>
        </w:rPr>
        <w:t>如贵机构对本产品有任何意见或建议，可通过销售机构营业网点工作人员，销售机构、上银理财客户服务热线、官方网站或其他官方渠道进行反映，将由专人接听、记录贵机构的意见或建议，并由各方协商共同解决。</w:t>
      </w:r>
    </w:p>
    <w:p>
      <w:pPr>
        <w:adjustRightInd w:val="0"/>
        <w:snapToGrid w:val="0"/>
        <w:spacing w:line="460" w:lineRule="exact"/>
        <w:ind w:firstLine="562" w:firstLineChars="200"/>
        <w:rPr>
          <w:rFonts w:ascii="仿宋_GB2312" w:hAnsi="宋体" w:eastAsia="仿宋_GB2312" w:cs="宋体"/>
          <w:b/>
          <w:bCs/>
          <w:color w:val="000000"/>
          <w:sz w:val="28"/>
          <w:szCs w:val="28"/>
          <w:highlight w:val="none"/>
        </w:rPr>
      </w:pPr>
      <w:r>
        <w:rPr>
          <w:rFonts w:hint="eastAsia" w:ascii="仿宋_GB2312" w:hAnsi="宋体" w:eastAsia="仿宋_GB2312" w:cs="宋体"/>
          <w:b/>
          <w:bCs/>
          <w:color w:val="000000"/>
          <w:sz w:val="28"/>
          <w:szCs w:val="28"/>
          <w:highlight w:val="none"/>
        </w:rPr>
        <w:t>（一）销售机构的联络方式</w:t>
      </w:r>
    </w:p>
    <w:p>
      <w:pPr>
        <w:widowControl/>
        <w:numPr>
          <w:ilvl w:val="255"/>
          <w:numId w:val="0"/>
        </w:numPr>
        <w:adjustRightInd w:val="0"/>
        <w:snapToGrid w:val="0"/>
        <w:spacing w:line="460" w:lineRule="exact"/>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销售机构联络方式：详见销售机构提供的相关协议或理财产品说明书等销售文件。</w:t>
      </w:r>
    </w:p>
    <w:p>
      <w:pPr>
        <w:adjustRightInd w:val="0"/>
        <w:snapToGrid w:val="0"/>
        <w:spacing w:line="460" w:lineRule="exact"/>
        <w:ind w:firstLine="562" w:firstLineChars="200"/>
        <w:rPr>
          <w:rFonts w:ascii="仿宋_GB2312" w:hAnsi="宋体" w:eastAsia="仿宋_GB2312" w:cs="宋体"/>
          <w:b/>
          <w:bCs/>
          <w:color w:val="000000"/>
          <w:sz w:val="28"/>
          <w:szCs w:val="28"/>
          <w:highlight w:val="none"/>
        </w:rPr>
      </w:pPr>
      <w:r>
        <w:rPr>
          <w:rFonts w:hint="eastAsia" w:ascii="仿宋_GB2312" w:hAnsi="宋体" w:eastAsia="仿宋_GB2312" w:cs="宋体"/>
          <w:b/>
          <w:bCs/>
          <w:color w:val="000000"/>
          <w:sz w:val="28"/>
          <w:szCs w:val="28"/>
          <w:highlight w:val="none"/>
        </w:rPr>
        <w:t>（二）上银理财的联络方式</w:t>
      </w:r>
    </w:p>
    <w:p>
      <w:pPr>
        <w:adjustRightInd w:val="0"/>
        <w:snapToGrid w:val="0"/>
        <w:spacing w:line="460" w:lineRule="exact"/>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1、上银理财地址：中国上海市黄浦区中山南路666号2幢2号实际楼层2层、3层</w:t>
      </w:r>
    </w:p>
    <w:p>
      <w:pPr>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2、上银理财官方网站：【https://www.boscwm.cn/】</w:t>
      </w:r>
    </w:p>
    <w:p>
      <w:pPr>
        <w:ind w:firstLine="560" w:firstLineChars="200"/>
        <w:rPr>
          <w:rFonts w:ascii="仿宋_GB2312" w:hAnsi="宋体" w:eastAsia="仿宋_GB2312" w:cs="宋体"/>
          <w:color w:val="000000"/>
          <w:sz w:val="28"/>
          <w:szCs w:val="28"/>
          <w:highlight w:val="none"/>
        </w:rPr>
      </w:pPr>
      <w:r>
        <w:rPr>
          <w:rFonts w:hint="eastAsia" w:ascii="仿宋_GB2312" w:hAnsi="宋体" w:eastAsia="仿宋_GB2312" w:cs="宋体"/>
          <w:color w:val="000000"/>
          <w:sz w:val="28"/>
          <w:szCs w:val="28"/>
          <w:highlight w:val="none"/>
        </w:rPr>
        <w:t>3、上银理财客户服务热线：021-23206666</w:t>
      </w:r>
    </w:p>
    <w:p>
      <w:pPr>
        <w:ind w:firstLine="560" w:firstLineChars="200"/>
        <w:rPr>
          <w:rFonts w:ascii="仿宋_GB2312" w:hAnsi="宋体" w:eastAsia="仿宋_GB2312" w:cs="宋体"/>
          <w:color w:val="000000"/>
          <w:sz w:val="28"/>
          <w:szCs w:val="28"/>
          <w:highlight w:val="none"/>
        </w:rPr>
      </w:pPr>
    </w:p>
    <w:p>
      <w:pPr>
        <w:jc w:val="right"/>
        <w:rPr>
          <w:rFonts w:ascii="仿宋_GB2312" w:hAnsi="宋体" w:eastAsia="仿宋_GB2312" w:cs="宋体"/>
          <w:color w:val="000000"/>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蜮.艀.">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F729D"/>
    <w:multiLevelType w:val="singleLevel"/>
    <w:tmpl w:val="B59F729D"/>
    <w:lvl w:ilvl="0" w:tentative="0">
      <w:start w:val="1"/>
      <w:numFmt w:val="chineseCounting"/>
      <w:suff w:val="nothing"/>
      <w:lvlText w:val="（%1）"/>
      <w:lvlJc w:val="left"/>
      <w:rPr>
        <w:rFonts w:hint="eastAsia"/>
      </w:rPr>
    </w:lvl>
  </w:abstractNum>
  <w:abstractNum w:abstractNumId="1">
    <w:nsid w:val="D6BC8CED"/>
    <w:multiLevelType w:val="singleLevel"/>
    <w:tmpl w:val="D6BC8CED"/>
    <w:lvl w:ilvl="0" w:tentative="0">
      <w:start w:val="4"/>
      <w:numFmt w:val="chineseCounting"/>
      <w:suff w:val="nothing"/>
      <w:lvlText w:val="%1、"/>
      <w:lvlJc w:val="left"/>
      <w:rPr>
        <w:rFonts w:hint="eastAsia"/>
      </w:rPr>
    </w:lvl>
  </w:abstractNum>
  <w:abstractNum w:abstractNumId="2">
    <w:nsid w:val="56077D01"/>
    <w:multiLevelType w:val="singleLevel"/>
    <w:tmpl w:val="56077D01"/>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0C2"/>
    <w:rsid w:val="00107C38"/>
    <w:rsid w:val="00222064"/>
    <w:rsid w:val="0061321B"/>
    <w:rsid w:val="006B480F"/>
    <w:rsid w:val="007D1DE8"/>
    <w:rsid w:val="00853CF4"/>
    <w:rsid w:val="008B4772"/>
    <w:rsid w:val="008E02C5"/>
    <w:rsid w:val="0090783C"/>
    <w:rsid w:val="009E0F88"/>
    <w:rsid w:val="00A31654"/>
    <w:rsid w:val="00A62F8C"/>
    <w:rsid w:val="00B02035"/>
    <w:rsid w:val="00B032E5"/>
    <w:rsid w:val="00B71431"/>
    <w:rsid w:val="00B900C2"/>
    <w:rsid w:val="00C0787F"/>
    <w:rsid w:val="00EB3D94"/>
    <w:rsid w:val="018D1136"/>
    <w:rsid w:val="01B95638"/>
    <w:rsid w:val="06EC3396"/>
    <w:rsid w:val="07407693"/>
    <w:rsid w:val="08280F37"/>
    <w:rsid w:val="09BF5F03"/>
    <w:rsid w:val="0A2F7385"/>
    <w:rsid w:val="0A524EDA"/>
    <w:rsid w:val="0B06043D"/>
    <w:rsid w:val="0BC51F79"/>
    <w:rsid w:val="0CDC5C41"/>
    <w:rsid w:val="0D8E3ABC"/>
    <w:rsid w:val="0F4B1124"/>
    <w:rsid w:val="10283348"/>
    <w:rsid w:val="13606688"/>
    <w:rsid w:val="15D77B0D"/>
    <w:rsid w:val="16855DF9"/>
    <w:rsid w:val="1768126E"/>
    <w:rsid w:val="17821335"/>
    <w:rsid w:val="18C76175"/>
    <w:rsid w:val="1D505096"/>
    <w:rsid w:val="202A117D"/>
    <w:rsid w:val="2100618E"/>
    <w:rsid w:val="2114362C"/>
    <w:rsid w:val="21294FEF"/>
    <w:rsid w:val="237B414A"/>
    <w:rsid w:val="23ED19CF"/>
    <w:rsid w:val="26B0767A"/>
    <w:rsid w:val="26BC5BD7"/>
    <w:rsid w:val="27441D81"/>
    <w:rsid w:val="274A2FE5"/>
    <w:rsid w:val="275209D6"/>
    <w:rsid w:val="27D32991"/>
    <w:rsid w:val="29C42350"/>
    <w:rsid w:val="29C82BB7"/>
    <w:rsid w:val="2A2F45F6"/>
    <w:rsid w:val="2A681FE3"/>
    <w:rsid w:val="2B9876E1"/>
    <w:rsid w:val="2CCE4197"/>
    <w:rsid w:val="2CF94E81"/>
    <w:rsid w:val="2DD71FC2"/>
    <w:rsid w:val="2FE42745"/>
    <w:rsid w:val="2FE74EB6"/>
    <w:rsid w:val="304024A1"/>
    <w:rsid w:val="30D147EA"/>
    <w:rsid w:val="30E47C40"/>
    <w:rsid w:val="31742F48"/>
    <w:rsid w:val="32680574"/>
    <w:rsid w:val="333C6F65"/>
    <w:rsid w:val="334600BF"/>
    <w:rsid w:val="35866A1E"/>
    <w:rsid w:val="3BB278C6"/>
    <w:rsid w:val="3E5408F8"/>
    <w:rsid w:val="3FF367C3"/>
    <w:rsid w:val="42814057"/>
    <w:rsid w:val="43862501"/>
    <w:rsid w:val="46E26704"/>
    <w:rsid w:val="46E93B91"/>
    <w:rsid w:val="47273CF5"/>
    <w:rsid w:val="474912EC"/>
    <w:rsid w:val="48F401DF"/>
    <w:rsid w:val="498E6A9B"/>
    <w:rsid w:val="49B53565"/>
    <w:rsid w:val="4B66746B"/>
    <w:rsid w:val="4BA401E6"/>
    <w:rsid w:val="4BAC2D6D"/>
    <w:rsid w:val="4C083203"/>
    <w:rsid w:val="4C1B1E7D"/>
    <w:rsid w:val="4E2966B6"/>
    <w:rsid w:val="51BC2180"/>
    <w:rsid w:val="52877604"/>
    <w:rsid w:val="52DE4D7F"/>
    <w:rsid w:val="5628278C"/>
    <w:rsid w:val="575D7B54"/>
    <w:rsid w:val="59286736"/>
    <w:rsid w:val="594C6C88"/>
    <w:rsid w:val="5A55615C"/>
    <w:rsid w:val="5AB23936"/>
    <w:rsid w:val="5B2114AD"/>
    <w:rsid w:val="5D076B9B"/>
    <w:rsid w:val="5DB40AEF"/>
    <w:rsid w:val="5E4F3865"/>
    <w:rsid w:val="5EDE0D26"/>
    <w:rsid w:val="5FF722D5"/>
    <w:rsid w:val="600450CB"/>
    <w:rsid w:val="602B1C19"/>
    <w:rsid w:val="60440D18"/>
    <w:rsid w:val="605F6C04"/>
    <w:rsid w:val="623C320C"/>
    <w:rsid w:val="62C26189"/>
    <w:rsid w:val="62D713CB"/>
    <w:rsid w:val="63295CDF"/>
    <w:rsid w:val="647D608E"/>
    <w:rsid w:val="65CD7AC4"/>
    <w:rsid w:val="663E364A"/>
    <w:rsid w:val="69CD7301"/>
    <w:rsid w:val="6A0E1DCE"/>
    <w:rsid w:val="6D226502"/>
    <w:rsid w:val="6D491D29"/>
    <w:rsid w:val="6E5179B9"/>
    <w:rsid w:val="6F081ECC"/>
    <w:rsid w:val="6F874BE2"/>
    <w:rsid w:val="702E5B24"/>
    <w:rsid w:val="71490794"/>
    <w:rsid w:val="72345C2A"/>
    <w:rsid w:val="74BA1C71"/>
    <w:rsid w:val="75D115E9"/>
    <w:rsid w:val="770E0E41"/>
    <w:rsid w:val="7AFA783C"/>
    <w:rsid w:val="7B9C57EA"/>
    <w:rsid w:val="7CFC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Indent"/>
    <w:basedOn w:val="1"/>
    <w:qFormat/>
    <w:uiPriority w:val="0"/>
    <w:pPr>
      <w:adjustRightInd w:val="0"/>
      <w:snapToGrid w:val="0"/>
      <w:ind w:firstLine="360" w:firstLineChars="150"/>
      <w:jc w:val="left"/>
    </w:pPr>
    <w:rPr>
      <w:sz w:val="24"/>
    </w:rPr>
  </w:style>
  <w:style w:type="paragraph" w:styleId="4">
    <w:name w:val="Balloon Text"/>
    <w:basedOn w:val="1"/>
    <w:link w:val="10"/>
    <w:qFormat/>
    <w:uiPriority w:val="0"/>
    <w:rPr>
      <w:sz w:val="18"/>
      <w:szCs w:val="18"/>
    </w:rPr>
  </w:style>
  <w:style w:type="paragraph" w:styleId="5">
    <w:name w:val="annotation subject"/>
    <w:basedOn w:val="2"/>
    <w:next w:val="2"/>
    <w:link w:val="12"/>
    <w:qFormat/>
    <w:uiPriority w:val="0"/>
    <w:rPr>
      <w:b/>
      <w:bCs/>
    </w:rPr>
  </w:style>
  <w:style w:type="character" w:styleId="8">
    <w:name w:val="annotation reference"/>
    <w:basedOn w:val="7"/>
    <w:qFormat/>
    <w:uiPriority w:val="0"/>
    <w:rPr>
      <w:sz w:val="21"/>
      <w:szCs w:val="21"/>
    </w:rPr>
  </w:style>
  <w:style w:type="paragraph" w:customStyle="1" w:styleId="9">
    <w:name w:val="Default"/>
    <w:qFormat/>
    <w:uiPriority w:val="0"/>
    <w:pPr>
      <w:widowControl w:val="0"/>
      <w:autoSpaceDE w:val="0"/>
      <w:autoSpaceDN w:val="0"/>
      <w:adjustRightInd w:val="0"/>
    </w:pPr>
    <w:rPr>
      <w:rFonts w:ascii="宋体@.蜮.艀." w:eastAsia="宋体@.蜮.艀." w:cs="宋体@.蜮.艀." w:hAnsiTheme="minorHAnsi"/>
      <w:color w:val="000000"/>
      <w:sz w:val="24"/>
      <w:szCs w:val="24"/>
      <w:lang w:val="en-US" w:eastAsia="zh-CN" w:bidi="ar-SA"/>
    </w:rPr>
  </w:style>
  <w:style w:type="character" w:customStyle="1" w:styleId="10">
    <w:name w:val="批注框文本 字符"/>
    <w:basedOn w:val="7"/>
    <w:link w:val="4"/>
    <w:qFormat/>
    <w:uiPriority w:val="0"/>
    <w:rPr>
      <w:kern w:val="2"/>
      <w:sz w:val="18"/>
      <w:szCs w:val="18"/>
    </w:rPr>
  </w:style>
  <w:style w:type="character" w:customStyle="1" w:styleId="11">
    <w:name w:val="批注文字 字符"/>
    <w:basedOn w:val="7"/>
    <w:link w:val="2"/>
    <w:qFormat/>
    <w:uiPriority w:val="0"/>
    <w:rPr>
      <w:kern w:val="2"/>
      <w:sz w:val="21"/>
      <w:szCs w:val="24"/>
    </w:rPr>
  </w:style>
  <w:style w:type="character" w:customStyle="1" w:styleId="12">
    <w:name w:val="批注主题 字符"/>
    <w:basedOn w:val="11"/>
    <w:link w:val="5"/>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9</Pages>
  <Words>863</Words>
  <Characters>4922</Characters>
  <Lines>41</Lines>
  <Paragraphs>11</Paragraphs>
  <TotalTime>29</TotalTime>
  <ScaleCrop>false</ScaleCrop>
  <LinksUpToDate>false</LinksUpToDate>
  <CharactersWithSpaces>5774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2026-02-01T14:35:00Z</dcterms:created>
  <dc:creator>L319388</dc:creator>
  <cp:lastModifiedBy>周 翔</cp:lastModifiedBy>
  <dcterms:modified xsi:type="dcterms:W3CDTF">2026-02-09T05:50:53Z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4390D56E15FA49698BEAC355F506E3E4</vt:lpwstr>
  </property>
</Properties>
</file>