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utlineLvl w:val="0"/>
        <w:rPr>
          <w:rFonts w:ascii="黑体" w:hAnsi="黑体" w:eastAsia="黑体" w:cs="Arial"/>
          <w:b/>
          <w:bCs/>
          <w:sz w:val="28"/>
          <w:szCs w:val="28"/>
        </w:rPr>
      </w:pPr>
      <w:r>
        <w:rPr>
          <w:rFonts w:hint="eastAsia" w:ascii="黑体" w:hAnsi="黑体" w:eastAsia="黑体" w:cs="Arial"/>
          <w:b/>
          <w:bCs/>
          <w:sz w:val="28"/>
          <w:szCs w:val="28"/>
        </w:rPr>
        <w:t>上银理财                理财非存款、产品有风险、投资须谨慎</w:t>
      </w:r>
    </w:p>
    <w:p>
      <w:pPr>
        <w:rPr>
          <w:rFonts w:ascii="黑体" w:hAnsi="黑体" w:eastAsia="黑体" w:cs="Arial"/>
          <w:b/>
          <w:bCs/>
          <w:sz w:val="20"/>
          <w:szCs w:val="20"/>
        </w:rPr>
      </w:pPr>
      <w:r>
        <w:rPr>
          <w:sz w:val="20"/>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41910</wp:posOffset>
                </wp:positionV>
                <wp:extent cx="5254625" cy="0"/>
                <wp:effectExtent l="0" t="0" r="0" b="0"/>
                <wp:wrapNone/>
                <wp:docPr id="2" name="直接连接符 2"/>
                <wp:cNvGraphicFramePr/>
                <a:graphic xmlns:a="http://schemas.openxmlformats.org/drawingml/2006/main">
                  <a:graphicData uri="http://schemas.microsoft.com/office/word/2010/wordprocessingShape">
                    <wps:wsp>
                      <wps:cNvCnPr/>
                      <wps:spPr>
                        <a:xfrm>
                          <a:off x="1152525" y="1352550"/>
                          <a:ext cx="5254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0.75pt;margin-top:3.3pt;height:0pt;width:413.75pt;z-index:251659264;mso-width-relative:page;mso-height-relative:page;" filled="f" stroked="t" coordsize="21600,21600" o:gfxdata="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oVMmNIAAAAFAQAADwAAAAAAAAABACAAAAAiAAAAZHJzL2Rvd25yZXYueG1sUEsBAhQA&#10;FAAAAAgAh07iQEP+X/f4AQAA3wMAAA4AAAAAAAAAAQAgAAAAIQEAAGRycy9lMm9Eb2MueG1sUEsF&#10;BgAAAAAGAAYAWQEAAIsFAAAAAA==&#10;">
                <v:fill on="f" focussize="0,0"/>
                <v:stroke color="#000000 [3200]" joinstyle="round"/>
                <v:imagedata o:title=""/>
                <o:lock v:ext="edit" aspectratio="f"/>
              </v:line>
            </w:pict>
          </mc:Fallback>
        </mc:AlternateContent>
      </w: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spacing w:line="720" w:lineRule="auto"/>
        <w:jc w:val="center"/>
        <w:textAlignment w:val="auto"/>
        <w:outlineLvl w:val="0"/>
        <w:rPr>
          <w:rFonts w:ascii="黑体" w:hAnsi="黑体" w:eastAsia="黑体" w:cs="Arial"/>
          <w:b/>
          <w:bCs/>
          <w:sz w:val="40"/>
          <w:szCs w:val="40"/>
        </w:rPr>
      </w:pPr>
      <w:r>
        <w:rPr>
          <w:rFonts w:hint="eastAsia" w:ascii="黑体" w:hAnsi="黑体" w:eastAsia="黑体" w:cs="Arial"/>
          <w:b/>
          <w:bCs/>
          <w:sz w:val="40"/>
          <w:szCs w:val="40"/>
        </w:rPr>
        <w:t>【上银理财“美好”系列稳健封闭式理财产品WPWF26M13035期】</w:t>
      </w:r>
    </w:p>
    <w:p>
      <w:pPr>
        <w:keepNext w:val="0"/>
        <w:keepLines w:val="0"/>
        <w:pageBreakBefore w:val="0"/>
        <w:widowControl w:val="0"/>
        <w:kinsoku/>
        <w:wordWrap/>
        <w:overflowPunct/>
        <w:topLinePunct w:val="0"/>
        <w:autoSpaceDE/>
        <w:autoSpaceDN/>
        <w:bidi w:val="0"/>
        <w:adjustRightInd/>
        <w:snapToGrid/>
        <w:spacing w:line="720" w:lineRule="auto"/>
        <w:jc w:val="center"/>
        <w:textAlignment w:val="auto"/>
        <w:outlineLvl w:val="0"/>
        <w:rPr>
          <w:rFonts w:ascii="黑体" w:hAnsi="黑体" w:eastAsia="黑体" w:cs="Arial"/>
          <w:b/>
          <w:bCs/>
          <w:sz w:val="40"/>
          <w:szCs w:val="40"/>
        </w:rPr>
      </w:pPr>
      <w:r>
        <w:rPr>
          <w:rFonts w:hint="eastAsia" w:ascii="黑体" w:hAnsi="黑体" w:eastAsia="黑体" w:cs="Arial"/>
          <w:b/>
          <w:bCs/>
          <w:sz w:val="40"/>
          <w:szCs w:val="40"/>
        </w:rPr>
        <w:t>产品说明书</w:t>
      </w: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ascii="黑体" w:hAnsi="黑体" w:eastAsia="黑体" w:cs="Arial"/>
          <w:b/>
          <w:bCs/>
          <w:sz w:val="24"/>
          <w:szCs w:val="24"/>
        </w:rPr>
      </w:pPr>
      <w:r>
        <w:rPr>
          <w:rFonts w:hint="eastAsia" w:ascii="黑体" w:hAnsi="黑体" w:eastAsia="黑体" w:cs="Arial"/>
          <w:b/>
          <w:bCs/>
          <w:sz w:val="24"/>
          <w:szCs w:val="24"/>
        </w:rPr>
        <w:t>理财产品管理人：上银理财有限责任公司</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黑体" w:hAnsi="黑体" w:eastAsia="黑体" w:cs="Arial"/>
          <w:b/>
          <w:bCs/>
          <w:sz w:val="24"/>
          <w:szCs w:val="24"/>
        </w:rPr>
      </w:pPr>
      <w:r>
        <w:rPr>
          <w:rFonts w:hint="eastAsia" w:ascii="黑体" w:hAnsi="黑体" w:eastAsia="黑体" w:cs="Arial"/>
          <w:b/>
          <w:bCs/>
          <w:sz w:val="24"/>
          <w:szCs w:val="24"/>
        </w:rPr>
        <w:t>理财产品托管人：【上海银行股份有限公司】</w:t>
      </w:r>
    </w:p>
    <w:p>
      <w:pPr>
        <w:rPr>
          <w:rFonts w:hint="eastAsia" w:ascii="黑体" w:hAnsi="黑体" w:eastAsia="黑体" w:cs="Arial"/>
          <w:b/>
          <w:bCs/>
          <w:sz w:val="24"/>
          <w:szCs w:val="24"/>
        </w:rPr>
      </w:pPr>
      <w:r>
        <w:rPr>
          <w:rFonts w:hint="eastAsia" w:ascii="黑体" w:hAnsi="黑体" w:eastAsia="黑体" w:cs="Arial"/>
          <w:b/>
          <w:bCs/>
          <w:sz w:val="24"/>
          <w:szCs w:val="24"/>
        </w:rPr>
        <w:br w:type="page"/>
      </w:r>
    </w:p>
    <w:p>
      <w:pPr>
        <w:rPr>
          <w:rFonts w:ascii="黑体" w:hAnsi="黑体" w:eastAsia="黑体" w:cs="Arial"/>
          <w:b/>
          <w:bCs/>
          <w:sz w:val="20"/>
          <w:szCs w:val="20"/>
        </w:rPr>
      </w:pPr>
      <w:r>
        <w:rPr>
          <w:rFonts w:hint="eastAsia" w:ascii="黑体" w:hAnsi="黑体" w:eastAsia="黑体" w:cs="Arial"/>
          <w:b/>
          <w:bCs/>
          <w:sz w:val="20"/>
          <w:szCs w:val="20"/>
        </w:rPr>
        <w:t>产品登记编码：【Z7007126000144】</w:t>
      </w:r>
      <w:r>
        <w:rPr>
          <w:rFonts w:ascii="黑体" w:hAnsi="黑体" w:eastAsia="黑体" w:cs="Arial"/>
          <w:b/>
          <w:bCs/>
          <w:sz w:val="20"/>
          <w:szCs w:val="20"/>
        </w:rPr>
        <w:t xml:space="preserve">                             </w:t>
      </w:r>
      <w:r>
        <w:rPr>
          <w:rFonts w:hint="eastAsia" w:ascii="黑体" w:hAnsi="黑体" w:eastAsia="黑体" w:cs="Arial"/>
          <w:b/>
          <w:bCs/>
          <w:color w:val="000000" w:themeColor="text1"/>
          <w:sz w:val="20"/>
          <w:szCs w:val="20"/>
          <w:highlight w:val="none"/>
          <w14:textFill>
            <w14:solidFill>
              <w14:schemeClr w14:val="tx1"/>
            </w14:solidFill>
          </w14:textFill>
        </w:rPr>
        <w:t>版本号：【2026.02】</w:t>
      </w:r>
    </w:p>
    <w:p>
      <w:pPr>
        <w:snapToGrid w:val="0"/>
        <w:spacing w:line="360" w:lineRule="auto"/>
        <w:jc w:val="center"/>
        <w:rPr>
          <w:rFonts w:ascii="楷体_GB2312" w:hAnsi="宋体" w:eastAsia="楷体_GB2312"/>
          <w:b/>
          <w:bCs/>
          <w:sz w:val="30"/>
          <w:szCs w:val="30"/>
        </w:rPr>
      </w:pPr>
    </w:p>
    <w:p>
      <w:pPr>
        <w:snapToGrid w:val="0"/>
        <w:spacing w:line="360" w:lineRule="auto"/>
        <w:jc w:val="center"/>
        <w:rPr>
          <w:rFonts w:ascii="楷体_GB2312" w:hAnsi="宋体" w:eastAsia="楷体_GB2312"/>
          <w:b/>
          <w:bCs/>
          <w:sz w:val="30"/>
          <w:szCs w:val="30"/>
        </w:rPr>
      </w:pPr>
    </w:p>
    <w:p>
      <w:pPr>
        <w:spacing w:before="330" w:after="340" w:line="480" w:lineRule="auto"/>
        <w:ind w:firstLine="720"/>
        <w:jc w:val="center"/>
        <w:outlineLvl w:val="0"/>
        <w:rPr>
          <w:rFonts w:ascii="黑体" w:hAnsi="黑体" w:eastAsia="黑体"/>
          <w:b/>
          <w:bCs/>
          <w:sz w:val="36"/>
        </w:rPr>
      </w:pPr>
      <w:r>
        <w:rPr>
          <w:rFonts w:hint="eastAsia" w:ascii="黑体" w:hAnsi="黑体" w:eastAsia="黑体"/>
          <w:b/>
          <w:bCs/>
          <w:sz w:val="36"/>
        </w:rPr>
        <w:t>【上银理财“美好”系列稳健封闭式理财产品WPWF26M13035期】</w:t>
      </w:r>
    </w:p>
    <w:p>
      <w:pPr>
        <w:spacing w:before="330" w:after="340" w:line="480" w:lineRule="auto"/>
        <w:ind w:firstLine="720"/>
        <w:jc w:val="center"/>
        <w:outlineLvl w:val="0"/>
        <w:rPr>
          <w:rFonts w:ascii="黑体" w:hAnsi="黑体" w:eastAsia="黑体"/>
          <w:b/>
          <w:bCs/>
          <w:sz w:val="36"/>
        </w:rPr>
      </w:pPr>
      <w:r>
        <w:rPr>
          <w:rFonts w:hint="eastAsia" w:ascii="黑体" w:hAnsi="黑体" w:eastAsia="黑体"/>
          <w:b/>
          <w:bCs/>
          <w:sz w:val="36"/>
        </w:rPr>
        <w:t>产品说明书</w:t>
      </w:r>
    </w:p>
    <w:p>
      <w:pPr>
        <w:spacing w:line="480" w:lineRule="auto"/>
        <w:ind w:firstLine="720"/>
        <w:jc w:val="center"/>
        <w:outlineLvl w:val="0"/>
        <w:rPr>
          <w:rFonts w:ascii="黑体" w:hAnsi="黑体" w:eastAsia="黑体"/>
          <w:b/>
          <w:bCs/>
          <w:sz w:val="36"/>
        </w:rPr>
      </w:pPr>
      <w:r>
        <w:rPr>
          <w:rFonts w:hint="eastAsia" w:ascii="黑体" w:hAnsi="黑体" w:eastAsia="黑体"/>
          <w:b/>
          <w:bCs/>
          <w:sz w:val="32"/>
          <w:szCs w:val="21"/>
        </w:rPr>
        <w:t>（产品代码</w:t>
      </w:r>
      <w:r>
        <w:rPr>
          <w:rFonts w:ascii="黑体" w:hAnsi="黑体" w:eastAsia="黑体"/>
          <w:b/>
          <w:bCs/>
          <w:sz w:val="32"/>
          <w:szCs w:val="21"/>
        </w:rPr>
        <w:t>：</w:t>
      </w:r>
      <w:r>
        <w:rPr>
          <w:rFonts w:hint="eastAsia" w:ascii="黑体" w:hAnsi="黑体" w:eastAsia="黑体"/>
          <w:b/>
          <w:bCs/>
          <w:sz w:val="32"/>
          <w:szCs w:val="21"/>
        </w:rPr>
        <w:t>【WPWF26M13035】）</w:t>
      </w:r>
    </w:p>
    <w:p>
      <w:pPr>
        <w:ind w:firstLine="720"/>
        <w:jc w:val="center"/>
        <w:rPr>
          <w:rFonts w:ascii="黑体" w:hAnsi="黑体" w:eastAsia="黑体"/>
          <w:b/>
          <w:bCs/>
          <w:sz w:val="28"/>
        </w:rPr>
      </w:pPr>
    </w:p>
    <w:p>
      <w:pPr>
        <w:pStyle w:val="2"/>
        <w:spacing w:before="120" w:after="120" w:line="240" w:lineRule="auto"/>
        <w:rPr>
          <w:rFonts w:ascii="楷体" w:hAnsi="楷体" w:eastAsia="楷体"/>
          <w:sz w:val="28"/>
          <w:szCs w:val="28"/>
        </w:rPr>
      </w:pPr>
      <w:r>
        <w:rPr>
          <w:rFonts w:hint="eastAsia" w:ascii="楷体" w:hAnsi="楷体" w:eastAsia="楷体"/>
          <w:sz w:val="28"/>
          <w:szCs w:val="28"/>
        </w:rPr>
        <w:t>一、重要须知</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本理财产品《产品说明书》、《风险揭示书》、《投资协议书》、《销售（代理销售）协议书》和《投资者权益须知》共同构成一份完整且不可分割的理财产品销售文件。其中《产品说明书》与《风险揭示书》、《投资协议书》共同组成投资者与管理人之间就本理财产品达成的理财产品合同的不可分割之组成部分。</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2.本理财产品不等同于银行存款，不保证本金和最低收益，您的本金有可能会因市场变动蒙受损失，您应充分认识投资风险，谨慎投资。</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3.本理财产品仅向依据中华人民共和国有关法律法规及本《产品说明书》规定可以购买本理财产品的投资者发售。</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4.投资者承诺其用于购买理财产品的资金为自有资金，不存在使用贷款、发行债券等筹集的非自有资金投资本理财产品的情形。</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5.投资者承诺投资本理财产品使用的资金为投资者合法持有，不属于依据联合国、中国政府及其他可适用政府或国际组织制裁（名单）范围，仅为合法目的投资本理财产品；如发生异常情况，投资者将配合销售机构及管理人开展客户身份识别</w:t>
      </w:r>
      <w:r>
        <w:rPr>
          <w:rFonts w:hint="eastAsia" w:ascii="楷体" w:hAnsi="楷体" w:eastAsia="楷体" w:cs="楷体"/>
          <w:b/>
          <w:bCs/>
          <w:szCs w:val="21"/>
          <w:lang w:val="en-US" w:eastAsia="zh-CN"/>
        </w:rPr>
        <w:t>及</w:t>
      </w:r>
      <w:r>
        <w:rPr>
          <w:rFonts w:hint="eastAsia" w:ascii="楷体" w:hAnsi="楷体" w:eastAsia="楷体" w:cs="楷体"/>
          <w:b/>
          <w:bCs/>
          <w:color w:val="000000" w:themeColor="text1"/>
          <w:szCs w:val="21"/>
          <w14:textFill>
            <w14:solidFill>
              <w14:schemeClr w14:val="tx1"/>
            </w14:solidFill>
          </w14:textFill>
        </w:rPr>
        <w:t>反洗钱、反恐怖融资以及非居民金融账户涉税信息尽职调查活动</w:t>
      </w:r>
      <w:r>
        <w:rPr>
          <w:rFonts w:hint="eastAsia" w:ascii="楷体" w:hAnsi="楷体" w:eastAsia="楷体" w:cs="楷体"/>
          <w:b/>
          <w:bCs/>
          <w:szCs w:val="21"/>
        </w:rPr>
        <w:t>，及时、真实、准确、完整提供身份信息及资金来源等信息。</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 xml:space="preserve">6.投资者承诺依照可适用的法律法规投资本理财产品，如销售机构及管理人发现投资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者或投资者重要关联方存在洗钱或者被制裁风险，例如提供不实、不完整或者无效的身份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或交易信息，未及时更新身份证明文件，投资者或投资者账户、投资者重要关联方出现异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常或涉嫌洗钱、恐怖融资，投资者或投资者交易、投资者重要关联方或其交易涉及联合国、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中国等国际组织或国家发布的监控名单或者制裁事项，或投资者或投资者重要关联方在使用金融服务中出现其他违反可适用法律法规的情况等，销售机构及管理人有权单方对投资者采取拒绝开户申请、限制交易、停止支付及终止账户业务等一项或多项措施，并可要求投资者配合尽职调查、补充证明文件或者在指定期限内办理销户及其他相关手续。投资者逾期未办理的，则视同自愿销户，此时销售机构及管理人可单方予以销户。销售机构及管理人因投资者出现本条所述的风险情况而采取上述措施所造成的责任和损失由投资者自行承担，给销售机构及管理人造成损失的，投资者应承担相应赔偿责任。其中，“重要关联方”包含“法定代表人、授权签字人、实际控制人、受益所有人、重要投资人、重要被投资人、重要债权人、被控制实体等”。 </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7.在购买本理财产品前，投资者应仔细阅读本理财产品销售文件，确保自己已详细了解和审慎评估本理财产品的投资方向、风险等级等重要信息，完全理解该项投资的性质和所涉及的风险，并充分、慎重考虑自身的风险承受能力。投资者若对本产品《产品说明书》的内容有任何疑问，请向销售机构咨询。</w:t>
      </w:r>
    </w:p>
    <w:p>
      <w:pPr>
        <w:numPr>
          <w:ilvl w:val="12"/>
          <w:numId w:val="0"/>
        </w:num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8.投资者认购（如有）本理财产品的资金划出账户应与本理财产品到期或期间赎回（如有）接收资金的账户相同。在本理财产品存续期间，除非经管理人同意，该账户不得变更、注销。如发生投资者账户被有权机关采取司法强制措施的，投资者不得申请对投资者账户予以变更或注销。</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9.在购买本理财产品后，投资者应随时关注本理财产品的信息披露情况，及时获取相关信息，相关信息通过《产品说明书》“信息披露”约定的方式披露。</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10.任何业绩比较基准或类似表述均属不具有法律约束力的用语，不代表投资者可能获得的实际收益，亦不构成管理人对本理财产品的任何收益承诺。客户所能获得的最终收益以管理人实际支付的为准。</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11.管理人承诺以诚实信用、勤勉尽责为原则，并根据本《产品说明书》所载要求管理和运用理财产品资产。</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12.管理人对本理财产品的产品风险评级为</w:t>
      </w:r>
      <w:r>
        <w:rPr>
          <w:rFonts w:hint="eastAsia" w:ascii="楷体" w:hAnsi="楷体" w:eastAsia="楷体" w:cs="楷体"/>
          <w:b/>
          <w:bCs/>
          <w:color w:val="C00000"/>
          <w:szCs w:val="21"/>
        </w:rPr>
        <w:t>中低风险（二级风险）</w:t>
      </w:r>
      <w:r>
        <w:rPr>
          <w:rFonts w:hint="eastAsia" w:ascii="楷体" w:hAnsi="楷体" w:eastAsia="楷体" w:cs="楷体"/>
          <w:b/>
          <w:bCs/>
          <w:szCs w:val="21"/>
        </w:rPr>
        <w:t>，本理财产品通过</w:t>
      </w:r>
      <w:r>
        <w:rPr>
          <w:rFonts w:hint="eastAsia" w:ascii="楷体" w:hAnsi="楷体" w:eastAsia="楷体" w:cs="楷体"/>
          <w:b/>
          <w:bCs/>
          <w:szCs w:val="21"/>
          <w:lang w:val="en-US" w:eastAsia="zh-CN"/>
        </w:rPr>
        <w:t>代理</w:t>
      </w:r>
      <w:r>
        <w:rPr>
          <w:rFonts w:hint="eastAsia" w:ascii="楷体" w:hAnsi="楷体" w:eastAsia="楷体" w:cs="楷体"/>
          <w:b/>
          <w:bCs/>
          <w:szCs w:val="21"/>
        </w:rPr>
        <w:t>销售机构销售的，</w:t>
      </w:r>
      <w:r>
        <w:rPr>
          <w:rFonts w:hint="eastAsia" w:ascii="楷体" w:hAnsi="楷体" w:eastAsia="楷体" w:cs="楷体"/>
          <w:b/>
          <w:bCs/>
          <w:szCs w:val="21"/>
          <w:lang w:val="en-US" w:eastAsia="zh-CN"/>
        </w:rPr>
        <w:t>代理</w:t>
      </w:r>
      <w:r>
        <w:rPr>
          <w:rFonts w:hint="eastAsia" w:ascii="楷体" w:hAnsi="楷体" w:eastAsia="楷体" w:cs="楷体"/>
          <w:b/>
          <w:bCs/>
          <w:szCs w:val="21"/>
        </w:rPr>
        <w:t>销售机构应当根据销售机构的方式和方法，独立、审慎地对销售的本理财产品进行销售评级，销售评级与管理人评级结果不一致的，</w:t>
      </w:r>
      <w:r>
        <w:rPr>
          <w:rFonts w:hint="eastAsia" w:ascii="楷体" w:hAnsi="楷体" w:eastAsia="楷体" w:cs="楷体"/>
          <w:b/>
          <w:bCs/>
          <w:szCs w:val="21"/>
          <w:lang w:val="en-US" w:eastAsia="zh-CN"/>
        </w:rPr>
        <w:t>代理</w:t>
      </w:r>
      <w:r>
        <w:rPr>
          <w:rFonts w:hint="eastAsia" w:ascii="楷体" w:hAnsi="楷体" w:eastAsia="楷体" w:cs="楷体"/>
          <w:b/>
          <w:bCs/>
          <w:szCs w:val="21"/>
        </w:rPr>
        <w:t>销售机构应当采用对应较高风险等级的评级结果并予以披露，本理财产品评级应当以</w:t>
      </w:r>
      <w:r>
        <w:rPr>
          <w:rFonts w:hint="eastAsia" w:ascii="楷体" w:hAnsi="楷体" w:eastAsia="楷体" w:cs="楷体"/>
          <w:b/>
          <w:bCs/>
          <w:szCs w:val="21"/>
          <w:lang w:val="en-US" w:eastAsia="zh-CN"/>
        </w:rPr>
        <w:t>代理</w:t>
      </w:r>
      <w:r>
        <w:rPr>
          <w:rFonts w:hint="eastAsia" w:ascii="楷体" w:hAnsi="楷体" w:eastAsia="楷体" w:cs="楷体"/>
          <w:b/>
          <w:bCs/>
          <w:szCs w:val="21"/>
        </w:rPr>
        <w:t>销售机构最终披露的评级结果为准。本理财产品收益特征为</w:t>
      </w:r>
      <w:r>
        <w:rPr>
          <w:rFonts w:hint="eastAsia" w:ascii="楷体" w:hAnsi="楷体" w:eastAsia="楷体" w:cs="楷体"/>
          <w:b/>
          <w:bCs/>
          <w:color w:val="C00000"/>
          <w:szCs w:val="21"/>
        </w:rPr>
        <w:t>非保本浮动收益型</w:t>
      </w:r>
      <w:r>
        <w:rPr>
          <w:rFonts w:hint="eastAsia" w:ascii="楷体" w:hAnsi="楷体" w:eastAsia="楷体" w:cs="楷体"/>
          <w:b/>
          <w:bCs/>
          <w:szCs w:val="21"/>
        </w:rPr>
        <w:t>，您的本金有可能会因市场变动蒙受重大损失，您应充分认识投资风险，谨慎投资。</w:t>
      </w:r>
    </w:p>
    <w:p>
      <w:pPr>
        <w:numPr>
          <w:ilvl w:val="12"/>
          <w:numId w:val="0"/>
        </w:num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13.在本理财产品存续期内，如出于维持本理财产品正常运营的需要且在不损害投资者利益的前提下，或因国家法律法规、监管规定发生变化，管理人有权单方对本理财产品合同进行修订。管理人决定对理财产品合同进行修订的，将提前2个工作日通过“信息披露”章节约定的信息披露渠道发布相关信息公告通知投资者。修订后的理财产品合同对投资者具有法律约束力。</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14.为贯彻落实银行业理财登记托管中心发布的《&lt;中国银行保险监督管理委员会办公厅关于进一步做好银行理财登记工作有关事项的通知&gt;实施细则》（理财中心发〔2018〕18号）文件的精神及相关实施细则及《银行业理财登记托管中心关于&lt;中国银保监会办公厅关于印发银行业金融机构监管数据标准化规范（2019版）&gt;数据报送工作的通知》的要求，管理人将向监管机构报送投资者身份信息、每日交易、持仓等信息。后续监管机构和银行业理财登记托管中心等机构如果提出新的信息报送要求，管理人将按照该等要求执行。投资者签署本理财产品销售文件即视为已经同意管理人将投资者身份信息及每日持仓信息报送相关监管机构。</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15.根据监管机构要求，本理财产品的投资合作机构（</w:t>
      </w:r>
      <w:r>
        <w:rPr>
          <w:rFonts w:hint="eastAsia" w:ascii="楷体" w:hAnsi="楷体" w:eastAsia="楷体" w:cs="楷体"/>
          <w:b/>
          <w:bCs/>
          <w:szCs w:val="21"/>
          <w:u w:val="none"/>
        </w:rPr>
        <w:t>包括但不限于理财产品所投资资产管理产品的发行机构、根据合同约定从事理财产品受托投资的机构以及与理财产品投资管理相关的投资顾问等</w:t>
      </w:r>
      <w:r>
        <w:rPr>
          <w:rFonts w:hint="eastAsia" w:ascii="楷体" w:hAnsi="楷体" w:eastAsia="楷体" w:cs="楷体"/>
          <w:b/>
          <w:bCs/>
          <w:szCs w:val="21"/>
        </w:rPr>
        <w:t>，下同）有可能需要向监管机构报送投资者身份信息、持仓信息等相关信息，管理人将根据上述机构申请，在必要范围内向其提供相关信息，并要求该等投资合作机构履行投资者信息保密义务。投资者签署本理财产品销售文件即视为已经同意管理人在前述范围内向相关方提供投资者身份信息、持仓信息等相关信息。</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16.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17.</w:t>
      </w:r>
      <w:r>
        <w:rPr>
          <w:rFonts w:hint="eastAsia" w:ascii="楷体" w:hAnsi="楷体" w:eastAsia="楷体" w:cs="楷体"/>
          <w:b/>
          <w:bCs/>
        </w:rPr>
        <w:t xml:space="preserve"> 本理财产品合同在法律许可的范围内由管理人负责解释。若客户对上述内容有任何疑问，请联系销售机构咨询，也可致电销售机构全国统一客户服务热线。</w:t>
      </w:r>
    </w:p>
    <w:p>
      <w:pPr>
        <w:pStyle w:val="2"/>
        <w:spacing w:before="120" w:after="120" w:line="240" w:lineRule="auto"/>
        <w:rPr>
          <w:rFonts w:ascii="楷体" w:hAnsi="楷体" w:eastAsia="楷体"/>
          <w:sz w:val="28"/>
          <w:szCs w:val="28"/>
        </w:rPr>
      </w:pPr>
      <w:r>
        <w:rPr>
          <w:rFonts w:hint="eastAsia" w:ascii="楷体" w:hAnsi="楷体" w:eastAsia="楷体"/>
          <w:sz w:val="28"/>
          <w:szCs w:val="28"/>
        </w:rPr>
        <w:t>二、定义解释</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在本《产品说明书》中，除上下文另有明确约定，下列用词将具有如下含义：</w:t>
      </w:r>
    </w:p>
    <w:p>
      <w:pPr>
        <w:pStyle w:val="3"/>
        <w:snapToGrid w:val="0"/>
        <w:spacing w:before="0" w:after="0" w:line="360" w:lineRule="auto"/>
        <w:ind w:firstLine="422" w:firstLineChars="200"/>
        <w:rPr>
          <w:rFonts w:ascii="楷体" w:hAnsi="楷体" w:eastAsia="楷体"/>
          <w:sz w:val="21"/>
          <w:szCs w:val="21"/>
        </w:rPr>
      </w:pPr>
      <w:r>
        <w:rPr>
          <w:rFonts w:hint="eastAsia" w:ascii="楷体" w:hAnsi="楷体" w:eastAsia="楷体"/>
          <w:sz w:val="21"/>
          <w:szCs w:val="21"/>
        </w:rPr>
        <w:t>（一）参与主体</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1.管理人/投资管理人/理财产品管理人：</w:t>
      </w:r>
      <w:r>
        <w:rPr>
          <w:rFonts w:hint="eastAsia" w:ascii="楷体" w:hAnsi="楷体" w:eastAsia="楷体" w:cs="楷体"/>
          <w:szCs w:val="21"/>
        </w:rPr>
        <w:t>指上银理财有限责任公司（以下简称“上银理财”）。</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2.托管人/产品托管人/理财产品托管人：</w:t>
      </w:r>
      <w:r>
        <w:rPr>
          <w:rFonts w:hint="eastAsia" w:ascii="楷体" w:hAnsi="楷体" w:eastAsia="楷体" w:cs="楷体"/>
          <w:szCs w:val="21"/>
        </w:rPr>
        <w:t>指【上海银行股份有限公司】。</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3.销售机构</w:t>
      </w:r>
      <w:r>
        <w:rPr>
          <w:rFonts w:hint="eastAsia" w:ascii="楷体" w:hAnsi="楷体" w:eastAsia="楷体" w:cs="楷体"/>
          <w:b/>
          <w:bCs/>
          <w:szCs w:val="21"/>
          <w:lang w:eastAsia="zh-CN"/>
        </w:rPr>
        <w:t>：</w:t>
      </w:r>
      <w:r>
        <w:rPr>
          <w:rFonts w:hint="eastAsia" w:ascii="楷体" w:hAnsi="楷体" w:eastAsia="楷体" w:cs="楷体"/>
          <w:szCs w:val="21"/>
        </w:rPr>
        <w:t>指管理人指定的销售本理财产品的机构</w:t>
      </w:r>
      <w:r>
        <w:rPr>
          <w:rFonts w:hint="eastAsia" w:ascii="楷体" w:hAnsi="楷体" w:eastAsia="楷体" w:cs="楷体"/>
          <w:szCs w:val="21"/>
          <w:lang w:eastAsia="zh-CN"/>
        </w:rPr>
        <w:t>，包括管理人和代理销售机构</w:t>
      </w:r>
      <w:r>
        <w:rPr>
          <w:rFonts w:hint="eastAsia" w:ascii="楷体" w:hAnsi="楷体" w:eastAsia="楷体" w:cs="楷体"/>
          <w:szCs w:val="21"/>
        </w:rPr>
        <w:t>。</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4.</w:t>
      </w:r>
      <w:r>
        <w:rPr>
          <w:rFonts w:hint="eastAsia" w:ascii="楷体" w:hAnsi="楷体" w:eastAsia="楷体" w:cs="楷体"/>
          <w:b/>
          <w:bCs/>
          <w:szCs w:val="21"/>
          <w:lang w:eastAsia="zh-CN"/>
        </w:rPr>
        <w:t>认购人：</w:t>
      </w:r>
      <w:r>
        <w:rPr>
          <w:rFonts w:hint="eastAsia" w:ascii="楷体" w:hAnsi="楷体" w:eastAsia="楷体" w:cs="楷体"/>
          <w:szCs w:val="21"/>
        </w:rPr>
        <w:t>指在产品认购期内签署理财产品销售文件并向理财产品管理人交付认购资金以购买理财产品份额的投资者。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5.理财产品份额持有人/持有人：</w:t>
      </w:r>
      <w:r>
        <w:rPr>
          <w:rFonts w:hint="eastAsia" w:ascii="楷体" w:hAnsi="楷体" w:eastAsia="楷体" w:cs="楷体"/>
          <w:szCs w:val="21"/>
        </w:rPr>
        <w:t>指其认购申请经过管理人确认成功，从而持有理财产品份额的投资者。</w:t>
      </w:r>
    </w:p>
    <w:p>
      <w:pPr>
        <w:snapToGrid w:val="0"/>
        <w:spacing w:line="360" w:lineRule="auto"/>
        <w:ind w:firstLine="422" w:firstLineChars="200"/>
        <w:rPr>
          <w:rFonts w:hint="eastAsia" w:ascii="楷体" w:hAnsi="楷体" w:eastAsia="楷体" w:cs="楷体"/>
          <w:b w:val="0"/>
          <w:bCs w:val="0"/>
          <w:szCs w:val="21"/>
        </w:rPr>
      </w:pPr>
      <w:r>
        <w:rPr>
          <w:rFonts w:hint="eastAsia" w:ascii="楷体" w:hAnsi="楷体" w:eastAsia="楷体" w:cs="楷体"/>
          <w:b/>
          <w:bCs/>
          <w:szCs w:val="21"/>
          <w:lang w:val="en-US" w:eastAsia="zh-CN"/>
        </w:rPr>
        <w:t>6</w:t>
      </w:r>
      <w:r>
        <w:rPr>
          <w:rFonts w:hint="eastAsia" w:ascii="楷体" w:hAnsi="楷体" w:eastAsia="楷体" w:cs="楷体"/>
          <w:b/>
          <w:bCs/>
          <w:szCs w:val="21"/>
        </w:rPr>
        <w:t>.</w:t>
      </w:r>
      <w:r>
        <w:rPr>
          <w:rFonts w:hint="eastAsia" w:ascii="楷体" w:hAnsi="楷体" w:eastAsia="楷体" w:cs="楷体"/>
          <w:b/>
          <w:bCs/>
          <w:spacing w:val="6"/>
          <w:sz w:val="21"/>
          <w:szCs w:val="21"/>
          <w:lang w:val="en-US" w:eastAsia="zh-CN"/>
        </w:rPr>
        <w:t>投资合作机构</w:t>
      </w:r>
      <w:r>
        <w:rPr>
          <w:rFonts w:hint="eastAsia" w:ascii="楷体" w:hAnsi="楷体" w:eastAsia="楷体" w:cs="楷体"/>
          <w:b/>
          <w:bCs/>
          <w:spacing w:val="20"/>
          <w:sz w:val="21"/>
          <w:szCs w:val="21"/>
        </w:rPr>
        <w:t>：</w:t>
      </w:r>
      <w:r>
        <w:rPr>
          <w:rFonts w:hint="eastAsia" w:ascii="楷体" w:hAnsi="楷体" w:eastAsia="楷体" w:cs="楷体"/>
          <w:b w:val="0"/>
          <w:bCs w:val="0"/>
          <w:szCs w:val="21"/>
          <w:lang w:val="en-US" w:eastAsia="zh-CN"/>
        </w:rPr>
        <w:t>包括但不限于理财产品所投资资产管理产品的发行机构、根据合同约定从事理财产品受托投资的机构以及与理财产品投资管理相关的投资顾问等</w:t>
      </w:r>
      <w:r>
        <w:rPr>
          <w:rFonts w:hint="eastAsia" w:ascii="楷体" w:hAnsi="楷体" w:eastAsia="楷体" w:cs="楷体"/>
          <w:b w:val="0"/>
          <w:bCs w:val="0"/>
          <w:szCs w:val="21"/>
          <w:lang w:eastAsia="zh-CN"/>
        </w:rPr>
        <w:t>；主要职责为进行受托资金的投资管理，根据合同约定从事受托投资或提供投资顾问等服务，具体职责以管理人与投资合作机构签署的合同为准。</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lang w:val="en-US" w:eastAsia="zh-CN"/>
        </w:rPr>
        <w:t>7</w:t>
      </w:r>
      <w:r>
        <w:rPr>
          <w:rFonts w:hint="eastAsia" w:ascii="楷体" w:hAnsi="楷体" w:eastAsia="楷体" w:cs="楷体"/>
          <w:b/>
          <w:bCs/>
          <w:szCs w:val="21"/>
        </w:rPr>
        <w:t>.监管机构：</w:t>
      </w:r>
      <w:r>
        <w:rPr>
          <w:rFonts w:hint="eastAsia" w:ascii="楷体" w:hAnsi="楷体" w:eastAsia="楷体" w:cs="楷体"/>
          <w:szCs w:val="21"/>
        </w:rPr>
        <w:t>指对管理人（包括本理财产品的管理人、所投资的信托计划/资管计划/基金的管理人/受托人、相关投资顾问（如有）等）实施监督管理的机构，包括但不限于中国人民银行、国家金融监督管理总局、中国证券监督管理委员会、外汇管理局、银行业理财登记托管中心等。</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（二）法律文件</w:t>
      </w:r>
    </w:p>
    <w:p>
      <w:pPr>
        <w:snapToGrid w:val="0"/>
        <w:spacing w:line="360" w:lineRule="auto"/>
        <w:ind w:firstLine="422" w:firstLineChars="200"/>
        <w:rPr>
          <w:rFonts w:hint="eastAsia" w:ascii="楷体" w:hAnsi="楷体" w:eastAsia="楷体" w:cs="楷体"/>
        </w:rPr>
      </w:pPr>
      <w:r>
        <w:rPr>
          <w:rFonts w:hint="eastAsia" w:ascii="楷体" w:hAnsi="楷体" w:eastAsia="楷体" w:cs="楷体"/>
          <w:b/>
          <w:bCs/>
          <w:szCs w:val="21"/>
        </w:rPr>
        <w:t>1.理财产品销售文件/销售文件：</w:t>
      </w:r>
      <w:r>
        <w:rPr>
          <w:rFonts w:hint="eastAsia" w:ascii="楷体" w:hAnsi="楷体" w:eastAsia="楷体" w:cs="楷体"/>
          <w:szCs w:val="21"/>
        </w:rPr>
        <w:t>指《产品说明书》、《风险揭示书》、《投资协议书》、《销售（代理销售）协议书》和《投资者权益须知》的总称。</w:t>
      </w:r>
    </w:p>
    <w:p>
      <w:pPr>
        <w:snapToGrid w:val="0"/>
        <w:spacing w:line="360" w:lineRule="auto"/>
        <w:ind w:firstLine="422" w:firstLineChars="200"/>
        <w:rPr>
          <w:rFonts w:hint="eastAsia" w:ascii="楷体" w:hAnsi="楷体" w:eastAsia="楷体" w:cs="楷体"/>
        </w:rPr>
      </w:pPr>
      <w:r>
        <w:rPr>
          <w:rFonts w:hint="eastAsia" w:ascii="楷体" w:hAnsi="楷体" w:eastAsia="楷体" w:cs="楷体"/>
          <w:b/>
          <w:bCs/>
          <w:szCs w:val="21"/>
        </w:rPr>
        <w:t>2.理财产品合同：</w:t>
      </w:r>
      <w:r>
        <w:rPr>
          <w:rFonts w:hint="eastAsia" w:ascii="楷体" w:hAnsi="楷体" w:eastAsia="楷体" w:cs="楷体"/>
          <w:szCs w:val="21"/>
        </w:rPr>
        <w:t>指《产品说明书》、《风险揭示书》和《投资协议书》的总称。</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3.《产品说明书》：</w:t>
      </w:r>
      <w:r>
        <w:rPr>
          <w:rFonts w:hint="eastAsia" w:ascii="楷体" w:hAnsi="楷体" w:eastAsia="楷体" w:cs="楷体"/>
          <w:szCs w:val="21"/>
        </w:rPr>
        <w:t>指《【上银理财“美好”系列稳健封闭式理财产品WPWF26M13035期】产品说明书》，以及对该文件的有效修改或补充。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4.《风险揭示书》：</w:t>
      </w:r>
      <w:r>
        <w:rPr>
          <w:rFonts w:hint="eastAsia" w:ascii="楷体" w:hAnsi="楷体" w:eastAsia="楷体" w:cs="楷体"/>
          <w:szCs w:val="21"/>
        </w:rPr>
        <w:t>指《【上银理财“美好”系列稳健封闭式理财产品WPWF26M13035期】风险揭示书》，以及对该文件的有效修改或补充。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5.《投资协议书》：</w:t>
      </w:r>
      <w:r>
        <w:rPr>
          <w:rFonts w:hint="eastAsia" w:ascii="楷体" w:hAnsi="楷体" w:eastAsia="楷体" w:cs="楷体"/>
          <w:szCs w:val="21"/>
        </w:rPr>
        <w:t>指《上银理财理财产品投资协议书》，以及对该文件的有效修改或补充。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6.《销售（代理销售）协议书》：</w:t>
      </w:r>
      <w:r>
        <w:rPr>
          <w:rFonts w:hint="eastAsia" w:ascii="楷体" w:hAnsi="楷体" w:eastAsia="楷体" w:cs="楷体"/>
          <w:szCs w:val="21"/>
        </w:rPr>
        <w:t>指由投资者和销售机构签署的，作为本产品销售文件不可分割组成部分的《销售（代理销售）协议书》，以及对该文件的有效修改或补充。</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7.《投资者权益须知》：</w:t>
      </w:r>
      <w:r>
        <w:rPr>
          <w:rFonts w:hint="eastAsia" w:ascii="楷体" w:hAnsi="楷体" w:eastAsia="楷体" w:cs="楷体"/>
          <w:szCs w:val="21"/>
        </w:rPr>
        <w:t>指由投资者和销售机构签署的，作为本产品销售文件不可分割组成部分的《投资者权益须知》，以及对该文件的有效修改或补充。</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（三）产品要素</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1.理财产品/本产品/产品：</w:t>
      </w:r>
      <w:r>
        <w:rPr>
          <w:rFonts w:hint="eastAsia" w:ascii="楷体" w:hAnsi="楷体" w:eastAsia="楷体" w:cs="楷体"/>
          <w:szCs w:val="21"/>
        </w:rPr>
        <w:t>指【上银理财“美好”系列稳健封闭式理财产品WPWF26M13035期】。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2.产品风险评级：</w:t>
      </w:r>
      <w:r>
        <w:rPr>
          <w:rFonts w:hint="eastAsia" w:ascii="楷体" w:hAnsi="楷体" w:eastAsia="楷体" w:cs="楷体"/>
          <w:szCs w:val="21"/>
        </w:rPr>
        <w:t>指管理人内部对本公司发行理财产品的评级结果。上银理财产品风险评级由低到高共分为五级：低风险（一级风险）、中低风险（二级风险）、中</w:t>
      </w:r>
      <w:r>
        <w:rPr>
          <w:rFonts w:hint="eastAsia" w:ascii="楷体" w:hAnsi="楷体" w:eastAsia="楷体" w:cs="楷体"/>
          <w:szCs w:val="21"/>
          <w:lang w:val="en-US" w:eastAsia="zh-CN"/>
        </w:rPr>
        <w:t>等</w:t>
      </w:r>
      <w:r>
        <w:rPr>
          <w:rFonts w:hint="eastAsia" w:ascii="楷体" w:hAnsi="楷体" w:eastAsia="楷体" w:cs="楷体"/>
          <w:szCs w:val="21"/>
        </w:rPr>
        <w:t>风险（三级风险）、中高风险（四级风险）、高风险（五级风险）。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3.认购资金：</w:t>
      </w:r>
      <w:r>
        <w:rPr>
          <w:rFonts w:hint="eastAsia" w:ascii="楷体" w:hAnsi="楷体" w:eastAsia="楷体" w:cs="楷体"/>
          <w:szCs w:val="21"/>
        </w:rPr>
        <w:t>指在认购期，认购人为认购理财产品份额而向管理人交付的货币资金。为免疑义，认购资金不包含认购资金在认购期内所产生的利息。</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4.理财产品募集资金：</w:t>
      </w:r>
      <w:r>
        <w:rPr>
          <w:rFonts w:hint="eastAsia" w:ascii="楷体" w:hAnsi="楷体" w:eastAsia="楷体" w:cs="楷体"/>
          <w:szCs w:val="21"/>
        </w:rPr>
        <w:t>指认购人按照理财产品合同的约定交付，并经管理人确认认购成功而进入理财产品账户的认购资金的总和。</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5.理财产品资金：</w:t>
      </w:r>
      <w:r>
        <w:rPr>
          <w:rFonts w:hint="eastAsia" w:ascii="楷体" w:hAnsi="楷体" w:eastAsia="楷体" w:cs="楷体"/>
          <w:szCs w:val="21"/>
        </w:rPr>
        <w:t>指理财产品募集资金，以及管理人管理、运用、处分该等理财产品募集资金而取得且归于理财产品所有的货币资金。</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6.理财产品费用：</w:t>
      </w:r>
      <w:r>
        <w:rPr>
          <w:rFonts w:hint="eastAsia" w:ascii="楷体" w:hAnsi="楷体" w:eastAsia="楷体" w:cs="楷体"/>
          <w:szCs w:val="21"/>
        </w:rPr>
        <w:t>指管理人为成立理财产品及处理理财产品事务目的而支出的所有费用，包括但不限于管理人收取的固定投资管理费、浮动投资管理费（如有）、托管人收取的托管费、销售机构收取的销售管理费、因投资资产而产生的资产服务费（如有）、交易费用（包括但不限于交易佣金、撮合费用等）、理财产品验资费、审计费、保全费、律师费、信息披露费、清算费、执行费用、外包服务费、资产评估费、资产存续期管理所需费用及按照法律法规规章规定和理财产品销售文件约定应由产品承担的费用，具体以实际发生为准。</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7.执行费用：</w:t>
      </w:r>
      <w:r>
        <w:rPr>
          <w:rFonts w:hint="eastAsia" w:ascii="楷体" w:hAnsi="楷体" w:eastAsia="楷体" w:cs="楷体"/>
          <w:szCs w:val="21"/>
        </w:rPr>
        <w:t>指为理财产品利益目的而进行的诉讼或仲裁等法律程序相关的费用，包括但不限于诉讼费、仲裁费、财产保全费、律师费和执行费，以及因诉讼或仲裁之需要而委托中介机构或司法机构进行鉴定、评估等而产生的费用。</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8.理财产品税费：</w:t>
      </w:r>
      <w:r>
        <w:rPr>
          <w:rFonts w:hint="eastAsia" w:ascii="楷体" w:hAnsi="楷体" w:eastAsia="楷体" w:cs="楷体"/>
          <w:szCs w:val="21"/>
        </w:rPr>
        <w:t>指根据适用法律和理财产品销售文件规定，理财产品应缴纳和承担的税收和有权政府部门向理财产品征收的税费、规费。</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9.理财产品利益：</w:t>
      </w:r>
      <w:r>
        <w:rPr>
          <w:rFonts w:hint="eastAsia" w:ascii="楷体" w:hAnsi="楷体" w:eastAsia="楷体" w:cs="楷体"/>
          <w:szCs w:val="21"/>
        </w:rPr>
        <w:t>指投资者因持有理财产品份额，按照销售文件约定取得或有权取得的理财产品管理人分配的理财产品资产。在理财产品对外投资资产正常回收的情况下，该等财产性利益包括投资本金及理财产品收益。</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10.投资本金：</w:t>
      </w:r>
      <w:r>
        <w:rPr>
          <w:rFonts w:hint="eastAsia" w:ascii="楷体" w:hAnsi="楷体" w:eastAsia="楷体" w:cs="楷体"/>
          <w:szCs w:val="21"/>
        </w:rPr>
        <w:t>就每一投资者而言，指投资者为认购理财产品份额而向理财产品管理人交付的货币资金，即该投资者在本理财产品下的初始投资资金。就每一理财产品份额而言，在本理财产品成立时每一理财产品份额的投资本金为1元。为避免疑义，投资本金的称谓仅为方便计算理财产品利益而创设的，并非对投资者投资本金不受损失的承诺。</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11.理财产品收益：</w:t>
      </w:r>
      <w:r>
        <w:rPr>
          <w:rFonts w:hint="eastAsia" w:ascii="楷体" w:hAnsi="楷体" w:eastAsia="楷体" w:cs="楷体"/>
          <w:szCs w:val="21"/>
        </w:rPr>
        <w:t>指投资者投资理财产品获得的投资收益，该收益为其获得分配的全部理财产品利益中扣除投资本金的部分。</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12.收益分配：</w:t>
      </w:r>
      <w:r>
        <w:rPr>
          <w:rFonts w:hint="eastAsia" w:ascii="楷体" w:hAnsi="楷体" w:eastAsia="楷体" w:cs="楷体"/>
          <w:szCs w:val="21"/>
        </w:rPr>
        <w:t>指理财产品管理人向投资者进行理财产品收益分配。</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13.期间分配：</w:t>
      </w:r>
      <w:r>
        <w:rPr>
          <w:rFonts w:hint="eastAsia" w:ascii="楷体" w:hAnsi="楷体" w:eastAsia="楷体" w:cs="楷体"/>
          <w:szCs w:val="21"/>
        </w:rPr>
        <w:t>指在理财产品终止日（不含当日）前的理财产品收益分配。</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14.终止分配：</w:t>
      </w:r>
      <w:r>
        <w:rPr>
          <w:rFonts w:hint="eastAsia" w:ascii="楷体" w:hAnsi="楷体" w:eastAsia="楷体" w:cs="楷体"/>
          <w:szCs w:val="21"/>
        </w:rPr>
        <w:t>指在理财产品终止日当日及之后的理财产品可得资金分配，该等可得资金包括本金和理财收益（如有）。</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15.理财产品份额：</w:t>
      </w:r>
      <w:r>
        <w:rPr>
          <w:rFonts w:hint="eastAsia" w:ascii="楷体" w:hAnsi="楷体" w:eastAsia="楷体" w:cs="楷体"/>
          <w:szCs w:val="21"/>
        </w:rPr>
        <w:t>指管理人依据理财产品销售文件向投资者发行的一种资产受益凭证。理财产品份额持有人基于其所持有的理财产品份额享有理财产品利益，承担理财产品资产风险。</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16.理财产品资产净值/理财资产净值/产品资产净值：</w:t>
      </w:r>
      <w:r>
        <w:rPr>
          <w:rFonts w:hint="eastAsia" w:ascii="楷体" w:hAnsi="楷体" w:eastAsia="楷体" w:cs="楷体"/>
          <w:szCs w:val="21"/>
        </w:rPr>
        <w:t>理财产品资产净值=理财产品资产总值-理财产品负债总值。</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17.理财产品资产总值：</w:t>
      </w:r>
      <w:r>
        <w:rPr>
          <w:rFonts w:hint="eastAsia" w:ascii="楷体" w:hAnsi="楷体" w:eastAsia="楷体" w:cs="楷体"/>
          <w:szCs w:val="21"/>
        </w:rPr>
        <w:t>是指理财产品拥有的各类有价证券、银行存款、应收款项及其他资产的价值总和。</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18.理财产品负债总值：</w:t>
      </w:r>
      <w:r>
        <w:rPr>
          <w:rFonts w:hint="eastAsia" w:ascii="楷体" w:hAnsi="楷体" w:eastAsia="楷体" w:cs="楷体"/>
          <w:szCs w:val="21"/>
        </w:rPr>
        <w:t>是指理财产品运作及融资时形成的负债价值总和，包括融资资金本息、应付各项费用、应付税金及其他应付款项等。</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19.理财产品份额净值：</w:t>
      </w:r>
      <w:r>
        <w:rPr>
          <w:rFonts w:hint="eastAsia" w:ascii="楷体" w:hAnsi="楷体" w:eastAsia="楷体" w:cs="楷体"/>
          <w:szCs w:val="21"/>
        </w:rPr>
        <w:t>指理财产品份额的单位净值，即每1份理财产品份额以人民币计价的价格。</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20.理财产品份额累计净值：</w:t>
      </w:r>
      <w:r>
        <w:rPr>
          <w:rFonts w:hint="eastAsia" w:ascii="楷体" w:hAnsi="楷体" w:eastAsia="楷体" w:cs="楷体"/>
          <w:szCs w:val="21"/>
        </w:rPr>
        <w:t>指理财产品份额的单位净值与产品成立后历次累计单位收益分配的总和。</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21.理财产品估值：</w:t>
      </w:r>
      <w:r>
        <w:rPr>
          <w:rFonts w:hint="eastAsia" w:ascii="楷体" w:hAnsi="楷体" w:eastAsia="楷体" w:cs="楷体"/>
          <w:szCs w:val="21"/>
        </w:rPr>
        <w:t>指评估理财产品资产及负债以确定理财产品份额净值的过程。</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22.业绩比较基准：</w:t>
      </w:r>
      <w:r>
        <w:rPr>
          <w:rFonts w:hint="eastAsia" w:ascii="楷体" w:hAnsi="楷体" w:eastAsia="楷体" w:cs="楷体"/>
          <w:szCs w:val="21"/>
        </w:rPr>
        <w:t>业绩比较基准是</w:t>
      </w:r>
      <w:r>
        <w:rPr>
          <w:rFonts w:hint="eastAsia" w:ascii="楷体" w:hAnsi="楷体" w:eastAsia="楷体" w:cs="楷体"/>
          <w:szCs w:val="21"/>
          <w:lang w:val="en-US" w:eastAsia="zh-CN"/>
        </w:rPr>
        <w:t>管理人</w:t>
      </w:r>
      <w:r>
        <w:rPr>
          <w:rFonts w:hint="eastAsia" w:ascii="楷体" w:hAnsi="楷体" w:eastAsia="楷体" w:cs="楷体"/>
          <w:szCs w:val="21"/>
        </w:rPr>
        <w:t>基于产品性质、投资策略、过往经验等因素对产品设定的投资目标，业绩比较基准不是预期收益率，不代表产品的未来表现和实际收益，不构成对产品收益的承诺。</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23.认购：</w:t>
      </w:r>
      <w:r>
        <w:rPr>
          <w:rFonts w:hint="eastAsia" w:ascii="楷体" w:hAnsi="楷体" w:eastAsia="楷体" w:cs="楷体"/>
          <w:szCs w:val="21"/>
        </w:rPr>
        <w:t>指在理财产品的募集期内，投资者根据《产品说明书》约定申请购买本产品理财产品份额的行为。</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（四）相关账户</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理财托管账户/理财产品账户：</w:t>
      </w:r>
      <w:r>
        <w:rPr>
          <w:rFonts w:hint="eastAsia" w:ascii="楷体" w:hAnsi="楷体" w:eastAsia="楷体" w:cs="楷体"/>
          <w:szCs w:val="21"/>
        </w:rPr>
        <w:t>指理财产品管理人以理财产品的名义在托管人处单独开立的资金管理账户，理财产品资金的一切收支活动，均必须通过该账户进行。</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（五）期间与日期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1.交易日：</w:t>
      </w:r>
      <w:r>
        <w:rPr>
          <w:rFonts w:hint="eastAsia" w:ascii="楷体" w:hAnsi="楷体" w:eastAsia="楷体" w:cs="楷体"/>
          <w:szCs w:val="21"/>
        </w:rPr>
        <w:t>指上海证券交易所和深圳证券交易所的正常开盘交易日。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2.工作日/银行工作日：</w:t>
      </w:r>
      <w:r>
        <w:rPr>
          <w:rFonts w:hint="eastAsia" w:ascii="楷体" w:hAnsi="楷体" w:eastAsia="楷体" w:cs="楷体"/>
          <w:szCs w:val="21"/>
        </w:rPr>
        <w:t>指除中国法定节假日和公休日外的其他日。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3.自然日：</w:t>
      </w:r>
      <w:r>
        <w:rPr>
          <w:rFonts w:hint="eastAsia" w:ascii="楷体" w:hAnsi="楷体" w:eastAsia="楷体" w:cs="楷体"/>
          <w:szCs w:val="21"/>
        </w:rPr>
        <w:t>包括正常的工作日和周末休假日，也包括假期。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4.认购期：</w:t>
      </w:r>
      <w:r>
        <w:rPr>
          <w:rFonts w:hint="eastAsia" w:ascii="楷体" w:hAnsi="楷体" w:eastAsia="楷体" w:cs="楷体"/>
          <w:szCs w:val="21"/>
        </w:rPr>
        <w:t>指理财产品成立前，理财产品管理人接受理财产品认购的时间。但在该期间内如认购人提交认购申请的认购份额提前达到《产品说明书》所载的发行规模上限的，管理人有权暂停接受认购申请，该情况下产品成立日保持不变。</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5.产品成立日：</w:t>
      </w:r>
      <w:r>
        <w:rPr>
          <w:rFonts w:hint="eastAsia" w:ascii="楷体" w:hAnsi="楷体" w:eastAsia="楷体" w:cs="楷体"/>
          <w:szCs w:val="21"/>
        </w:rPr>
        <w:t>指达到《产品说明书》约定的成立条件后理财产品成立的日期。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6.理财产品预计到期日/预计到期日：</w:t>
      </w:r>
      <w:r>
        <w:rPr>
          <w:rFonts w:hint="eastAsia" w:ascii="楷体" w:hAnsi="楷体" w:eastAsia="楷体" w:cs="楷体"/>
          <w:szCs w:val="21"/>
        </w:rPr>
        <w:t>指《产品说明书》约定的预计到期日，如遇非【工作日】顺延至下一个【工作日】。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7.理财产品到期日/终止日：</w:t>
      </w:r>
      <w:r>
        <w:rPr>
          <w:rFonts w:hint="eastAsia" w:ascii="楷体" w:hAnsi="楷体" w:eastAsia="楷体" w:cs="楷体"/>
          <w:szCs w:val="21"/>
        </w:rPr>
        <w:t>指理财产品实际终止之日，根据实际情况，是指理财产品预计到期日，或管理人根据本《产品说明书》约定宣布本理财产品早于理财产品预计到期日而终止之日或宣布本理财产品延长后的终止之日（含延长后的到期终止之日，以及管理人在延期期限内根据本《产品说明书》约定宣布本理财产品终止之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8.预计存续期：</w:t>
      </w:r>
      <w:r>
        <w:rPr>
          <w:rFonts w:hint="eastAsia" w:ascii="楷体" w:hAnsi="楷体" w:eastAsia="楷体" w:cs="楷体"/>
          <w:szCs w:val="21"/>
        </w:rPr>
        <w:t>指理财产品成立日起，至理财产品预计到期日的期间。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9.产品存续期：</w:t>
      </w:r>
      <w:r>
        <w:rPr>
          <w:rFonts w:hint="eastAsia" w:ascii="楷体" w:hAnsi="楷体" w:eastAsia="楷体" w:cs="楷体"/>
          <w:szCs w:val="21"/>
        </w:rPr>
        <w:t>指自理财产品成立日起，至理财产品终止日的期间。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10.估值日：</w:t>
      </w:r>
      <w:r>
        <w:rPr>
          <w:rFonts w:hint="eastAsia" w:ascii="楷体" w:hAnsi="楷体" w:eastAsia="楷体" w:cs="楷体"/>
          <w:szCs w:val="21"/>
        </w:rPr>
        <w:t>指产品管理人对理财产品项下资产进行估值的日期。</w:t>
      </w:r>
    </w:p>
    <w:p>
      <w:pPr>
        <w:spacing w:line="360" w:lineRule="auto"/>
        <w:ind w:left="105" w:leftChars="50" w:firstLine="316" w:firstLineChars="150"/>
        <w:contextualSpacing/>
        <w:rPr>
          <w:rFonts w:hint="eastAsia" w:ascii="楷体" w:hAnsi="楷体" w:eastAsia="楷体" w:cs="楷体"/>
          <w:szCs w:val="21"/>
        </w:rPr>
      </w:pPr>
      <w:r>
        <w:rPr>
          <w:rFonts w:hint="eastAsia" w:ascii="楷体" w:hAnsi="楷体" w:eastAsia="楷体" w:cs="楷体"/>
          <w:b/>
          <w:bCs/>
          <w:szCs w:val="21"/>
        </w:rPr>
        <w:t>11.确认日：</w:t>
      </w:r>
      <w:r>
        <w:rPr>
          <w:rFonts w:hint="eastAsia" w:ascii="楷体" w:hAnsi="楷体" w:eastAsia="楷体" w:cs="楷体"/>
          <w:szCs w:val="21"/>
        </w:rPr>
        <w:t>产品管理人对投资者的有效申请进行确认的时间。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12.收益分配基准日：</w:t>
      </w:r>
      <w:r>
        <w:rPr>
          <w:rFonts w:hint="eastAsia" w:ascii="楷体" w:hAnsi="楷体" w:eastAsia="楷体" w:cs="楷体"/>
          <w:szCs w:val="21"/>
        </w:rPr>
        <w:t>是指可供分配利润的计算截止日。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13.节假日临时调整：</w:t>
      </w:r>
      <w:r>
        <w:rPr>
          <w:rFonts w:hint="eastAsia" w:ascii="楷体" w:hAnsi="楷体" w:eastAsia="楷体" w:cs="楷体"/>
          <w:szCs w:val="21"/>
        </w:rPr>
        <w:t>如因国家相关主管部门临时调整节假日安排，导致产品原定开放日、估值日等日期安排发生变化的，原则上采用顺延方式对原定日期安排进行调整，如有特殊安排，</w:t>
      </w:r>
      <w:bookmarkStart w:id="0" w:name="_Hlk99533877"/>
      <w:r>
        <w:rPr>
          <w:rFonts w:hint="eastAsia" w:ascii="楷体" w:hAnsi="楷体" w:eastAsia="楷体" w:cs="楷体"/>
          <w:szCs w:val="21"/>
        </w:rPr>
        <w:t>以管理人通过《产品说明书》“信息披露”约定的信息披露方式披露的调整方式为准。</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14.清算期：</w:t>
      </w:r>
      <w:r>
        <w:rPr>
          <w:rFonts w:hint="eastAsia" w:ascii="楷体" w:hAnsi="楷体" w:eastAsia="楷体" w:cs="楷体"/>
          <w:szCs w:val="21"/>
        </w:rPr>
        <w:t>指自本理财产品终止日至投资者理财利益到账日之间的期间。</w:t>
      </w:r>
      <w:bookmarkEnd w:id="0"/>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（六）相关事件用语</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不可抗力：</w:t>
      </w:r>
      <w:r>
        <w:rPr>
          <w:rFonts w:hint="eastAsia" w:ascii="楷体" w:hAnsi="楷体" w:eastAsia="楷体" w:cs="楷体"/>
          <w:szCs w:val="21"/>
        </w:rPr>
        <w:t>指理财产品各方不能预见、不能避免且不能克服的客观情况，该事件妨碍、影响或延误任何一方依相关理财产品销售文件履行其全部或部分义务。该事件包括但不限于：</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a.地震、台风、海啸、洪水、火灾、停电、瘟疫；</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b.战争、政变、恐怖主义行动、骚乱、罢工；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c.新的适用法律或国家政策的颁布或实施、对原适用法律或国家政策的新修改；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d.金融管理部门强制要求终止理财产品（该等要求不可归咎于任何一方）；</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e.因理财产品各方和/或其关联方运营网络系统遭受黑客攻击、电信部门技术调整或故障等原因而造成的理财产品各方和/或其关联方之服务、营业的中断或者延迟。</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（七）其他</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1.适用法律：</w:t>
      </w:r>
      <w:r>
        <w:rPr>
          <w:rFonts w:hint="eastAsia" w:ascii="楷体" w:hAnsi="楷体" w:eastAsia="楷体" w:cs="楷体"/>
          <w:szCs w:val="21"/>
        </w:rPr>
        <w:t>指在理财产品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2"/>
        <w:numPr>
          <w:ilvl w:val="0"/>
          <w:numId w:val="7"/>
        </w:numPr>
        <w:spacing w:before="120" w:after="120" w:line="240" w:lineRule="auto"/>
        <w:rPr>
          <w:rFonts w:ascii="楷体" w:hAnsi="楷体" w:eastAsia="楷体"/>
          <w:sz w:val="28"/>
          <w:szCs w:val="28"/>
        </w:rPr>
      </w:pPr>
      <w:r>
        <w:rPr>
          <w:rFonts w:hint="eastAsia" w:ascii="楷体" w:hAnsi="楷体" w:eastAsia="楷体"/>
          <w:sz w:val="28"/>
          <w:szCs w:val="28"/>
        </w:rPr>
        <w:t>产品概述</w:t>
      </w:r>
    </w:p>
    <w:tbl>
      <w:tblPr>
        <w:tblStyle w:val="29"/>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376"/>
        <w:gridCol w:w="614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理财产品名称</w:t>
            </w:r>
          </w:p>
        </w:tc>
        <w:tc>
          <w:tcPr>
            <w:tcW w:w="6146" w:type="dxa"/>
          </w:tcPr>
          <w:p>
            <w:pPr>
              <w:rPr>
                <w:rFonts w:hint="eastAsia" w:ascii="楷体" w:hAnsi="楷体" w:eastAsia="楷体" w:cs="楷体"/>
              </w:rPr>
            </w:pPr>
            <w:r>
              <w:rPr>
                <w:rFonts w:hint="eastAsia" w:ascii="楷体" w:hAnsi="楷体" w:eastAsia="楷体" w:cs="楷体"/>
              </w:rPr>
              <w:t>【上银理财“美好”系列稳健封闭式理财产品WPWF26M13035期】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pPr>
              <w:rPr>
                <w:rFonts w:hint="eastAsia" w:ascii="楷体" w:hAnsi="楷体" w:eastAsia="楷体" w:cs="楷体"/>
                <w:b/>
                <w:bCs/>
              </w:rPr>
            </w:pPr>
            <w:r>
              <w:rPr>
                <w:rFonts w:hint="eastAsia" w:ascii="楷体" w:hAnsi="楷体" w:eastAsia="楷体" w:cs="楷体"/>
                <w:b/>
                <w:bCs/>
              </w:rPr>
              <w:t>产品销售名称</w:t>
            </w:r>
          </w:p>
        </w:tc>
        <w:tc>
          <w:tcPr>
            <w:tcW w:w="6146" w:type="dxa"/>
          </w:tcPr>
          <w:p>
            <w:pPr>
              <w:rPr>
                <w:rFonts w:hint="eastAsia" w:ascii="楷体" w:hAnsi="楷体" w:eastAsia="楷体" w:cs="楷体"/>
              </w:rPr>
            </w:pPr>
            <w:r>
              <w:rPr>
                <w:rFonts w:hint="eastAsia" w:ascii="楷体" w:hAnsi="楷体" w:eastAsia="楷体" w:cs="楷体"/>
              </w:rPr>
              <w:t>【上银理财美好稳健封闭13个月91期（浙BA专享）】，适用于【E】类份额。</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产品登记编码</w:t>
            </w:r>
          </w:p>
        </w:tc>
        <w:tc>
          <w:tcPr>
            <w:tcW w:w="6146" w:type="dxa"/>
            <w:vAlign w:val="center"/>
          </w:tcPr>
          <w:p>
            <w:pPr>
              <w:rPr>
                <w:rFonts w:hint="eastAsia" w:ascii="楷体" w:hAnsi="楷体" w:eastAsia="楷体" w:cs="楷体"/>
              </w:rPr>
            </w:pPr>
            <w:r>
              <w:rPr>
                <w:rFonts w:hint="eastAsia" w:ascii="楷体" w:hAnsi="楷体" w:eastAsia="楷体" w:cs="楷体"/>
              </w:rPr>
              <w:t>【Z7007126000144】</w:t>
            </w:r>
          </w:p>
          <w:p>
            <w:pPr>
              <w:rPr>
                <w:rFonts w:hint="eastAsia" w:ascii="楷体" w:hAnsi="楷体" w:eastAsia="楷体" w:cs="楷体"/>
              </w:rPr>
            </w:pPr>
            <w:r>
              <w:rPr>
                <w:rFonts w:hint="eastAsia" w:ascii="楷体" w:hAnsi="楷体" w:eastAsia="楷体" w:cs="楷体"/>
                <w:lang w:bidi="ar"/>
              </w:rPr>
              <w:t>本理财产品在全国银行业理财信息登记系统对理财产品进行信息登记后，由全国银行业理财信息登记系统发放的唯一性的理财产品编码。投资者可依据登记编码在中国理财网（</w:t>
            </w:r>
            <w:r>
              <w:rPr>
                <w:rFonts w:hint="eastAsia" w:ascii="楷体" w:hAnsi="楷体" w:eastAsia="楷体" w:cs="楷体"/>
              </w:rPr>
              <w:t>www.chinawealth.com.cn</w:t>
            </w:r>
            <w:r>
              <w:rPr>
                <w:rFonts w:hint="eastAsia" w:ascii="楷体" w:hAnsi="楷体" w:eastAsia="楷体" w:cs="楷体"/>
                <w:lang w:bidi="ar"/>
              </w:rPr>
              <w:t>）查询产品信息。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产品代码</w:t>
            </w:r>
          </w:p>
        </w:tc>
        <w:tc>
          <w:tcPr>
            <w:tcW w:w="6146" w:type="dxa"/>
          </w:tcPr>
          <w:p>
            <w:pPr>
              <w:rPr>
                <w:rFonts w:hint="eastAsia" w:ascii="楷体" w:hAnsi="楷体" w:eastAsia="楷体" w:cs="楷体"/>
              </w:rPr>
            </w:pPr>
            <w:r>
              <w:rPr>
                <w:rFonts w:hint="eastAsia" w:ascii="楷体" w:hAnsi="楷体" w:eastAsia="楷体" w:cs="楷体"/>
              </w:rPr>
              <w:t>【WPWF26M13035】</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pPr>
              <w:rPr>
                <w:rFonts w:hint="eastAsia" w:ascii="楷体" w:hAnsi="楷体" w:eastAsia="楷体" w:cs="楷体"/>
                <w:b/>
                <w:bCs/>
              </w:rPr>
            </w:pPr>
            <w:r>
              <w:rPr>
                <w:rFonts w:hint="eastAsia" w:ascii="楷体" w:hAnsi="楷体" w:eastAsia="楷体" w:cs="楷体"/>
                <w:b/>
                <w:bCs/>
              </w:rPr>
              <w:t>销售代码</w:t>
            </w:r>
          </w:p>
        </w:tc>
        <w:tc>
          <w:tcPr>
            <w:tcW w:w="6146" w:type="dxa"/>
          </w:tcPr>
          <w:p>
            <w:pPr>
              <w:rPr>
                <w:rFonts w:hint="eastAsia" w:ascii="楷体" w:hAnsi="楷体" w:eastAsia="楷体" w:cs="楷体"/>
              </w:rPr>
            </w:pPr>
            <w:r>
              <w:rPr>
                <w:rFonts w:hint="eastAsia" w:ascii="楷体" w:hAnsi="楷体" w:eastAsia="楷体" w:cs="楷体"/>
              </w:rPr>
              <w:t>【E】类份额，【WPWF26M13035E】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产品份额类别</w:t>
            </w:r>
          </w:p>
        </w:tc>
        <w:tc>
          <w:tcPr>
            <w:tcW w:w="6146" w:type="dxa"/>
          </w:tcPr>
          <w:p>
            <w:pPr>
              <w:widowControl/>
              <w:numPr>
                <w:ilvl w:val="0"/>
                <w:numId w:val="8"/>
              </w:numPr>
              <w:jc w:val="left"/>
              <w:rPr>
                <w:rFonts w:hint="eastAsia" w:ascii="楷体" w:hAnsi="楷体" w:eastAsia="楷体" w:cs="楷体"/>
                <w:lang w:bidi="ar"/>
              </w:rPr>
            </w:pPr>
            <w:r>
              <w:rPr>
                <w:rFonts w:hint="eastAsia" w:ascii="楷体" w:hAnsi="楷体" w:eastAsia="楷体" w:cs="楷体"/>
                <w:lang w:bidi="ar"/>
              </w:rPr>
              <w:t xml:space="preserve">本产品根据投资者购买理财产品的金额、投资者类型、销售渠道等因素，对投资者所持有的理财产品份额设置不同的理财产品份额类别。 </w:t>
            </w:r>
          </w:p>
          <w:p>
            <w:pPr>
              <w:widowControl/>
              <w:jc w:val="left"/>
              <w:rPr>
                <w:rFonts w:hint="eastAsia" w:ascii="楷体" w:hAnsi="楷体" w:eastAsia="楷体" w:cs="楷体"/>
              </w:rPr>
            </w:pPr>
            <w:r>
              <w:rPr>
                <w:rFonts w:hint="eastAsia" w:ascii="楷体" w:hAnsi="楷体" w:eastAsia="楷体" w:cs="楷体"/>
                <w:lang w:bidi="ar"/>
              </w:rPr>
              <w:t xml:space="preserve">2、本产品设置不同的理财产品份额，每类理财产品份额以下内容将可能单独设置： </w:t>
            </w:r>
          </w:p>
          <w:p>
            <w:pPr>
              <w:widowControl/>
              <w:jc w:val="left"/>
              <w:rPr>
                <w:rFonts w:hint="eastAsia" w:ascii="楷体" w:hAnsi="楷体" w:eastAsia="楷体" w:cs="楷体"/>
                <w:lang w:bidi="ar"/>
              </w:rPr>
            </w:pPr>
            <w:r>
              <w:rPr>
                <w:rFonts w:hint="eastAsia" w:ascii="楷体" w:hAnsi="楷体" w:eastAsia="楷体" w:cs="楷体"/>
                <w:lang w:bidi="ar"/>
              </w:rPr>
              <w:t xml:space="preserve">（1）产品销售名称 </w:t>
            </w:r>
          </w:p>
          <w:p>
            <w:pPr>
              <w:widowControl/>
              <w:jc w:val="left"/>
              <w:rPr>
                <w:rFonts w:hint="eastAsia" w:ascii="楷体" w:hAnsi="楷体" w:eastAsia="楷体" w:cs="楷体"/>
                <w:lang w:bidi="ar"/>
              </w:rPr>
            </w:pPr>
            <w:r>
              <w:rPr>
                <w:rFonts w:hint="eastAsia" w:ascii="楷体" w:hAnsi="楷体" w:eastAsia="楷体" w:cs="楷体"/>
                <w:lang w:bidi="ar"/>
              </w:rPr>
              <w:t>（2）销售代码</w:t>
            </w:r>
          </w:p>
          <w:p>
            <w:pPr>
              <w:widowControl/>
              <w:jc w:val="left"/>
              <w:rPr>
                <w:rFonts w:hint="eastAsia" w:ascii="楷体" w:hAnsi="楷体" w:eastAsia="楷体" w:cs="楷体"/>
                <w:lang w:bidi="ar"/>
              </w:rPr>
            </w:pPr>
            <w:r>
              <w:rPr>
                <w:rFonts w:hint="eastAsia" w:ascii="楷体" w:hAnsi="楷体" w:eastAsia="楷体" w:cs="楷体"/>
                <w:lang w:bidi="ar"/>
              </w:rPr>
              <w:t>（3）销售机构</w:t>
            </w:r>
          </w:p>
          <w:p>
            <w:pPr>
              <w:widowControl/>
              <w:jc w:val="left"/>
              <w:rPr>
                <w:rFonts w:hint="eastAsia" w:ascii="楷体" w:hAnsi="楷体" w:eastAsia="楷体" w:cs="楷体"/>
              </w:rPr>
            </w:pPr>
            <w:r>
              <w:rPr>
                <w:rFonts w:hint="eastAsia" w:ascii="楷体" w:hAnsi="楷体" w:eastAsia="楷体" w:cs="楷体"/>
                <w:lang w:bidi="ar"/>
              </w:rPr>
              <w:t>（4）发售对象</w:t>
            </w:r>
          </w:p>
          <w:p>
            <w:pPr>
              <w:widowControl/>
              <w:jc w:val="left"/>
              <w:rPr>
                <w:rFonts w:hint="eastAsia" w:ascii="楷体" w:hAnsi="楷体" w:eastAsia="楷体" w:cs="楷体"/>
              </w:rPr>
            </w:pPr>
            <w:r>
              <w:rPr>
                <w:rFonts w:hint="eastAsia" w:ascii="楷体" w:hAnsi="楷体" w:eastAsia="楷体" w:cs="楷体"/>
                <w:lang w:bidi="ar"/>
              </w:rPr>
              <w:t>（5）费率设置</w:t>
            </w:r>
          </w:p>
          <w:p>
            <w:pPr>
              <w:widowControl/>
              <w:jc w:val="left"/>
              <w:rPr>
                <w:rFonts w:hint="eastAsia" w:ascii="楷体" w:hAnsi="楷体" w:eastAsia="楷体" w:cs="楷体"/>
                <w:lang w:bidi="ar"/>
              </w:rPr>
            </w:pPr>
            <w:r>
              <w:rPr>
                <w:rFonts w:hint="eastAsia" w:ascii="楷体" w:hAnsi="楷体" w:eastAsia="楷体" w:cs="楷体"/>
                <w:lang w:bidi="ar"/>
              </w:rPr>
              <w:t xml:space="preserve">（6）收费方式 </w:t>
            </w:r>
          </w:p>
          <w:p>
            <w:pPr>
              <w:widowControl/>
              <w:jc w:val="left"/>
              <w:rPr>
                <w:rFonts w:hint="eastAsia" w:ascii="楷体" w:hAnsi="楷体" w:eastAsia="楷体" w:cs="楷体"/>
                <w:lang w:bidi="ar"/>
              </w:rPr>
            </w:pPr>
            <w:r>
              <w:rPr>
                <w:rFonts w:hint="eastAsia" w:ascii="楷体" w:hAnsi="楷体" w:eastAsia="楷体" w:cs="楷体"/>
                <w:lang w:bidi="ar"/>
              </w:rPr>
              <w:t>（7）业绩比较基准</w:t>
            </w:r>
          </w:p>
          <w:p>
            <w:pPr>
              <w:widowControl/>
              <w:jc w:val="left"/>
              <w:rPr>
                <w:rFonts w:hint="eastAsia" w:ascii="楷体" w:hAnsi="楷体" w:eastAsia="楷体" w:cs="楷体"/>
                <w:lang w:bidi="ar"/>
              </w:rPr>
            </w:pPr>
            <w:r>
              <w:rPr>
                <w:rFonts w:hint="eastAsia" w:ascii="楷体" w:hAnsi="楷体" w:eastAsia="楷体" w:cs="楷体"/>
                <w:lang w:bidi="ar"/>
              </w:rPr>
              <w:t xml:space="preserve">（8）销售起点金额及递增金额（认购的起点金额） </w:t>
            </w:r>
          </w:p>
          <w:p>
            <w:pPr>
              <w:widowControl/>
              <w:jc w:val="left"/>
              <w:rPr>
                <w:rFonts w:hint="eastAsia" w:ascii="楷体" w:hAnsi="楷体" w:eastAsia="楷体" w:cs="楷体"/>
              </w:rPr>
            </w:pPr>
            <w:r>
              <w:rPr>
                <w:rFonts w:hint="eastAsia" w:ascii="楷体" w:hAnsi="楷体" w:eastAsia="楷体" w:cs="楷体"/>
                <w:lang w:bidi="ar"/>
              </w:rPr>
              <w:t xml:space="preserve">（9）投资者认购和赎回的数量限制 </w:t>
            </w:r>
          </w:p>
          <w:p>
            <w:pPr>
              <w:widowControl/>
              <w:jc w:val="left"/>
              <w:rPr>
                <w:rFonts w:hint="eastAsia" w:ascii="楷体" w:hAnsi="楷体" w:eastAsia="楷体" w:cs="楷体"/>
                <w:lang w:eastAsia="zh-CN" w:bidi="ar"/>
              </w:rPr>
            </w:pPr>
            <w:r>
              <w:rPr>
                <w:rFonts w:hint="eastAsia" w:ascii="楷体" w:hAnsi="楷体" w:eastAsia="楷体" w:cs="楷体"/>
                <w:lang w:bidi="ar"/>
              </w:rPr>
              <w:t>（10）投资者持有本产品的最高限额、最低限额</w:t>
            </w:r>
          </w:p>
          <w:p>
            <w:pPr>
              <w:widowControl/>
              <w:jc w:val="left"/>
              <w:rPr>
                <w:rFonts w:hint="eastAsia" w:ascii="楷体" w:hAnsi="楷体" w:eastAsia="楷体" w:cs="楷体"/>
              </w:rPr>
            </w:pPr>
            <w:r>
              <w:rPr>
                <w:rFonts w:hint="eastAsia" w:ascii="楷体" w:hAnsi="楷体" w:eastAsia="楷体" w:cs="楷体"/>
                <w:lang w:bidi="ar"/>
              </w:rPr>
              <w:t xml:space="preserve">（11）产品规模上限 </w:t>
            </w:r>
          </w:p>
          <w:p>
            <w:pPr>
              <w:widowControl/>
              <w:jc w:val="left"/>
              <w:rPr>
                <w:rFonts w:hint="eastAsia" w:ascii="楷体" w:hAnsi="楷体" w:eastAsia="楷体" w:cs="楷体"/>
              </w:rPr>
            </w:pPr>
            <w:r>
              <w:rPr>
                <w:rFonts w:hint="eastAsia" w:ascii="楷体" w:hAnsi="楷体" w:eastAsia="楷体" w:cs="楷体"/>
                <w:lang w:bidi="ar"/>
              </w:rPr>
              <w:t xml:space="preserve">（12）分别计算和公告产品份额净值 </w:t>
            </w:r>
          </w:p>
          <w:p>
            <w:pPr>
              <w:widowControl/>
              <w:jc w:val="left"/>
              <w:rPr>
                <w:rFonts w:hint="eastAsia" w:ascii="楷体" w:hAnsi="楷体" w:eastAsia="楷体" w:cs="楷体"/>
                <w:lang w:bidi="ar"/>
              </w:rPr>
            </w:pPr>
            <w:r>
              <w:rPr>
                <w:rFonts w:hint="eastAsia" w:ascii="楷体" w:hAnsi="楷体" w:eastAsia="楷体" w:cs="楷体"/>
                <w:lang w:bidi="ar"/>
              </w:rPr>
              <w:t xml:space="preserve">3、投资者可根据实际情况自行选择认购的产品份额类别。 </w:t>
            </w:r>
          </w:p>
          <w:p>
            <w:pPr>
              <w:widowControl/>
              <w:jc w:val="left"/>
              <w:rPr>
                <w:rFonts w:hint="eastAsia" w:ascii="楷体" w:hAnsi="楷体" w:eastAsia="楷体" w:cs="楷体"/>
                <w:lang w:bidi="ar"/>
              </w:rPr>
            </w:pPr>
            <w:r>
              <w:rPr>
                <w:rFonts w:hint="eastAsia" w:ascii="楷体" w:hAnsi="楷体" w:eastAsia="楷体" w:cs="楷体"/>
                <w:lang w:bidi="ar"/>
              </w:rPr>
              <w:t xml:space="preserve">4、管理人有权根据实际情况增加新的产品份额类别、停止现有产品份额类别的销售、调整产品份额类别设置或对份额分类方法及规则进行调整。如有调整，以管理人公告为准。 </w:t>
            </w:r>
          </w:p>
          <w:p>
            <w:pPr>
              <w:widowControl/>
              <w:jc w:val="left"/>
              <w:rPr>
                <w:rFonts w:hint="eastAsia" w:ascii="楷体" w:hAnsi="楷体" w:eastAsia="楷体" w:cs="楷体"/>
                <w:color w:val="C00000"/>
              </w:rPr>
            </w:pPr>
            <w:r>
              <w:rPr>
                <w:rFonts w:hint="eastAsia" w:ascii="楷体" w:hAnsi="楷体" w:eastAsia="楷体" w:cs="楷体"/>
                <w:lang w:bidi="ar"/>
              </w:rPr>
              <w:t>注：本《产品说明书》所列示产品份额类别仅为本产品项下某一类或某几类产品份额。其他类别的产品份额情况以产品管理人披露为准。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募集方式</w:t>
            </w:r>
          </w:p>
        </w:tc>
        <w:tc>
          <w:tcPr>
            <w:tcW w:w="6146" w:type="dxa"/>
          </w:tcPr>
          <w:p>
            <w:pPr>
              <w:rPr>
                <w:rFonts w:hint="eastAsia" w:ascii="楷体" w:hAnsi="楷体" w:eastAsia="楷体" w:cs="楷体"/>
              </w:rPr>
            </w:pPr>
            <w:r>
              <w:rPr>
                <w:rFonts w:hint="eastAsia" w:ascii="楷体" w:hAnsi="楷体" w:eastAsia="楷体" w:cs="楷体"/>
              </w:rPr>
              <w:t>公募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highlight w:val="none"/>
              </w:rPr>
            </w:pPr>
            <w:r>
              <w:rPr>
                <w:rFonts w:hint="eastAsia" w:ascii="楷体" w:hAnsi="楷体" w:eastAsia="楷体" w:cs="楷体"/>
                <w:b/>
                <w:bCs/>
                <w:highlight w:val="none"/>
              </w:rPr>
              <w:t>产品运作方式</w:t>
            </w:r>
          </w:p>
        </w:tc>
        <w:tc>
          <w:tcPr>
            <w:tcW w:w="6146" w:type="dxa"/>
          </w:tcPr>
          <w:p>
            <w:pPr>
              <w:rPr>
                <w:rFonts w:hint="eastAsia" w:ascii="楷体" w:hAnsi="楷体" w:eastAsia="楷体" w:cs="楷体"/>
                <w:highlight w:val="none"/>
              </w:rPr>
            </w:pPr>
            <w:r>
              <w:rPr>
                <w:rFonts w:hint="eastAsia" w:ascii="楷体" w:hAnsi="楷体" w:eastAsia="楷体" w:cs="楷体"/>
                <w:highlight w:val="none"/>
              </w:rPr>
              <w:t>封闭式</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产品类型</w:t>
            </w:r>
          </w:p>
        </w:tc>
        <w:tc>
          <w:tcPr>
            <w:tcW w:w="6146" w:type="dxa"/>
          </w:tcPr>
          <w:p>
            <w:pPr>
              <w:rPr>
                <w:rFonts w:hint="eastAsia" w:ascii="楷体" w:hAnsi="楷体" w:eastAsia="楷体" w:cs="楷体"/>
                <w:b/>
                <w:bCs/>
              </w:rPr>
            </w:pPr>
            <w:r>
              <w:rPr>
                <w:rFonts w:hint="eastAsia" w:ascii="楷体" w:hAnsi="楷体" w:eastAsia="楷体" w:cs="楷体"/>
                <w:b/>
                <w:bCs/>
              </w:rPr>
              <w:t>固定收益类</w:t>
            </w:r>
          </w:p>
          <w:p>
            <w:pPr>
              <w:rPr>
                <w:rFonts w:hint="eastAsia" w:ascii="楷体" w:hAnsi="楷体" w:eastAsia="楷体" w:cs="楷体"/>
                <w:b/>
                <w:bCs/>
              </w:rPr>
            </w:pPr>
            <w:r>
              <w:rPr>
                <w:rFonts w:hint="eastAsia" w:ascii="楷体" w:hAnsi="楷体" w:eastAsia="楷体" w:cs="楷体"/>
                <w:b w:val="0"/>
                <w:bCs w:val="0"/>
              </w:rPr>
              <w:t>固定收益类理财产品是指投资于存款、债券等债权类资产的比例不低于80%的理财产品。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产品收益类型</w:t>
            </w:r>
          </w:p>
        </w:tc>
        <w:tc>
          <w:tcPr>
            <w:tcW w:w="6146" w:type="dxa"/>
          </w:tcPr>
          <w:p>
            <w:pPr>
              <w:rPr>
                <w:rFonts w:hint="eastAsia" w:ascii="楷体" w:hAnsi="楷体" w:eastAsia="楷体" w:cs="楷体"/>
                <w:b/>
                <w:bCs/>
              </w:rPr>
            </w:pPr>
            <w:r>
              <w:rPr>
                <w:rFonts w:hint="eastAsia" w:ascii="楷体" w:hAnsi="楷体" w:eastAsia="楷体" w:cs="楷体"/>
                <w:b/>
                <w:bCs/>
                <w:color w:val="C00000"/>
              </w:rPr>
              <w:t>非保本浮动收益型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投资及收益币种</w:t>
            </w:r>
          </w:p>
        </w:tc>
        <w:tc>
          <w:tcPr>
            <w:tcW w:w="6146" w:type="dxa"/>
          </w:tcPr>
          <w:p>
            <w:pPr>
              <w:rPr>
                <w:rFonts w:hint="eastAsia" w:ascii="楷体" w:hAnsi="楷体" w:eastAsia="楷体" w:cs="楷体"/>
                <w:b/>
                <w:bCs/>
              </w:rPr>
            </w:pPr>
            <w:r>
              <w:rPr>
                <w:rFonts w:hint="eastAsia" w:ascii="楷体" w:hAnsi="楷体" w:eastAsia="楷体" w:cs="楷体"/>
              </w:rPr>
              <w:t>人民币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产品风险评级</w:t>
            </w:r>
          </w:p>
        </w:tc>
        <w:tc>
          <w:tcPr>
            <w:tcW w:w="6146" w:type="dxa"/>
          </w:tcPr>
          <w:p>
            <w:pPr>
              <w:rPr>
                <w:rFonts w:hint="eastAsia" w:ascii="楷体" w:hAnsi="楷体" w:eastAsia="楷体" w:cs="楷体"/>
                <w:b/>
                <w:bCs/>
              </w:rPr>
            </w:pPr>
            <w:r>
              <w:rPr>
                <w:rFonts w:hint="eastAsia" w:ascii="楷体" w:hAnsi="楷体" w:eastAsia="楷体" w:cs="楷体"/>
              </w:rPr>
              <w:t>本产品管理人内部评级为</w:t>
            </w:r>
            <w:r>
              <w:rPr>
                <w:rFonts w:hint="eastAsia" w:ascii="楷体" w:hAnsi="楷体" w:eastAsia="楷体" w:cs="楷体"/>
                <w:b/>
                <w:bCs/>
                <w:color w:val="C00000"/>
              </w:rPr>
              <w:t>中低风险（二级风险）</w:t>
            </w:r>
            <w:r>
              <w:rPr>
                <w:rFonts w:hint="eastAsia" w:ascii="楷体" w:hAnsi="楷体" w:eastAsia="楷体" w:cs="楷体"/>
              </w:rPr>
              <w:t>。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销售对象</w:t>
            </w:r>
          </w:p>
        </w:tc>
        <w:tc>
          <w:tcPr>
            <w:tcW w:w="6146" w:type="dxa"/>
          </w:tcPr>
          <w:p>
            <w:pPr>
              <w:rPr>
                <w:rFonts w:hint="eastAsia" w:ascii="楷体" w:hAnsi="楷体" w:eastAsia="楷体" w:cs="楷体"/>
              </w:rPr>
            </w:pPr>
            <w:r>
              <w:rPr>
                <w:rFonts w:hint="eastAsia" w:ascii="楷体" w:hAnsi="楷体" w:eastAsia="楷体" w:cs="楷体"/>
              </w:rPr>
              <w:t>本产品适合以下类型投资者：</w:t>
            </w:r>
          </w:p>
          <w:p>
            <w:pPr>
              <w:rPr>
                <w:rFonts w:hint="eastAsia" w:ascii="楷体" w:hAnsi="楷体" w:eastAsia="楷体" w:cs="楷体"/>
              </w:rPr>
            </w:pPr>
            <w:bookmarkStart w:id="1" w:name="特殊字符7"/>
            <w:r>
              <w:rPr>
                <w:rFonts w:hint="eastAsia" w:ascii="Wingdings 2" w:hAnsi="Wingdings 2" w:eastAsia="Wingdings 2" w:cs="Wingdings 2"/>
                <w:b w:val="0"/>
                <w:bCs w:val="0"/>
                <w:color w:val="auto"/>
                <w:u w:val="none"/>
                <w:lang w:val="en-US" w:eastAsia="zh-CN"/>
              </w:rPr>
              <w:t>R</w:t>
            </w:r>
            <w:bookmarkEnd w:id="1"/>
            <w:r>
              <w:rPr>
                <w:rFonts w:hint="eastAsia" w:ascii="楷体" w:hAnsi="楷体" w:eastAsia="楷体" w:cs="楷体"/>
                <w:b w:val="0"/>
                <w:bCs w:val="0"/>
                <w:color w:val="auto"/>
                <w:u w:val="none"/>
                <w:lang w:val="en-US" w:eastAsia="zh-CN"/>
              </w:rPr>
              <w:t>【个人投资者】</w:t>
            </w:r>
            <w:r>
              <w:rPr>
                <w:rFonts w:hint="eastAsia" w:ascii="楷体" w:hAnsi="楷体" w:eastAsia="楷体" w:cs="楷体"/>
              </w:rPr>
              <w:t>【（客户风险承受能力评级为稳健型,平衡型,成长型,进取型）】</w:t>
            </w:r>
          </w:p>
          <w:p>
            <w:pPr>
              <w:rPr>
                <w:rFonts w:hint="eastAsia" w:ascii="楷体" w:hAnsi="楷体" w:eastAsia="楷体" w:cs="楷体"/>
              </w:rPr>
            </w:pPr>
            <w:bookmarkStart w:id="2" w:name="特殊字符8"/>
            <w:r>
              <w:rPr>
                <w:rFonts w:hint="eastAsia" w:ascii="Wingdings 2" w:hAnsi="Wingdings 2" w:eastAsia="Wingdings 2" w:cs="Wingdings 2"/>
                <w:b w:val="0"/>
                <w:bCs w:val="0"/>
                <w:color w:val="auto"/>
                <w:u w:val="none"/>
                <w:lang w:val="en-US" w:eastAsia="zh-CN"/>
              </w:rPr>
              <w:t>R</w:t>
            </w:r>
            <w:bookmarkEnd w:id="2"/>
            <w:r>
              <w:rPr>
                <w:rFonts w:hint="eastAsia" w:ascii="楷体" w:hAnsi="楷体" w:eastAsia="楷体" w:cs="楷体"/>
                <w:b w:val="0"/>
                <w:bCs w:val="0"/>
                <w:color w:val="auto"/>
                <w:u w:val="none"/>
                <w:lang w:val="en-US" w:eastAsia="zh-CN"/>
              </w:rPr>
              <w:t>【机构投资者】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销售场景</w:t>
            </w:r>
          </w:p>
        </w:tc>
        <w:tc>
          <w:tcPr>
            <w:tcW w:w="6146" w:type="dxa"/>
          </w:tcPr>
          <w:p>
            <w:pPr>
              <w:rPr>
                <w:rFonts w:hint="eastAsia" w:ascii="楷体" w:hAnsi="楷体" w:eastAsia="楷体" w:cs="楷体"/>
              </w:rPr>
            </w:pPr>
            <w:r>
              <w:rPr>
                <w:rFonts w:hint="eastAsia" w:ascii="楷体" w:hAnsi="楷体" w:eastAsia="楷体" w:cs="楷体"/>
              </w:rPr>
              <w:t>本产品可在销售机构线上渠道</w:t>
            </w:r>
            <w:r>
              <w:rPr>
                <w:rFonts w:hint="eastAsia" w:ascii="楷体" w:hAnsi="楷体" w:eastAsia="楷体" w:cs="楷体"/>
                <w:lang w:val="en-US" w:eastAsia="zh-CN"/>
              </w:rPr>
              <w:t>或</w:t>
            </w:r>
            <w:r>
              <w:rPr>
                <w:rFonts w:hint="eastAsia" w:ascii="楷体" w:hAnsi="楷体" w:eastAsia="楷体" w:cs="楷体"/>
              </w:rPr>
              <w:t xml:space="preserve">线下渠道等场景进行销售。 </w:t>
            </w:r>
          </w:p>
          <w:p>
            <w:pPr>
              <w:rPr>
                <w:rFonts w:hint="eastAsia" w:ascii="楷体" w:hAnsi="楷体" w:eastAsia="楷体" w:cs="楷体"/>
              </w:rPr>
            </w:pPr>
            <w:r>
              <w:rPr>
                <w:rFonts w:hint="eastAsia" w:ascii="楷体" w:hAnsi="楷体" w:eastAsia="楷体" w:cs="楷体"/>
                <w:b/>
                <w:bCs/>
              </w:rPr>
              <w:t>特别提示：</w:t>
            </w:r>
            <w:r>
              <w:rPr>
                <w:rFonts w:hint="eastAsia" w:ascii="楷体" w:hAnsi="楷体" w:eastAsia="楷体" w:cs="楷体"/>
              </w:rPr>
              <w:t xml:space="preserve">当销售机构销售产品风险评级为 R4 及以上的理财产品时，可在销售机构的营业网点进行，也可依据销售机构的政策在营业网点之外的其他场景进行（具体政策以销售机构公布执行 </w:t>
            </w:r>
          </w:p>
          <w:p>
            <w:pPr>
              <w:rPr>
                <w:rFonts w:hint="eastAsia" w:ascii="楷体" w:hAnsi="楷体" w:eastAsia="楷体" w:cs="楷体"/>
              </w:rPr>
            </w:pPr>
            <w:r>
              <w:rPr>
                <w:rFonts w:hint="eastAsia" w:ascii="楷体" w:hAnsi="楷体" w:eastAsia="楷体" w:cs="楷体"/>
              </w:rPr>
              <w:t>的为准）。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销售机构</w:t>
            </w:r>
          </w:p>
        </w:tc>
        <w:tc>
          <w:tcPr>
            <w:tcW w:w="6146" w:type="dxa"/>
          </w:tcPr>
          <w:p>
            <w:pPr>
              <w:rPr>
                <w:rFonts w:hint="eastAsia" w:ascii="楷体" w:hAnsi="楷体" w:eastAsia="楷体" w:cs="楷体"/>
              </w:rPr>
            </w:pPr>
            <w:bookmarkStart w:id="3" w:name="特殊字符3"/>
            <w:r>
              <w:rPr>
                <w:rFonts w:hint="eastAsia" w:ascii="Wingdings 2" w:hAnsi="Wingdings 2" w:eastAsia="Wingdings 2" w:cs="Wingdings 2"/>
                <w:b w:val="0"/>
                <w:bCs w:val="0"/>
                <w:color w:val="auto"/>
                <w:u w:val="none"/>
                <w:lang w:val="en-US" w:eastAsia="zh-CN"/>
              </w:rPr>
              <w:t>£</w:t>
            </w:r>
            <w:bookmarkEnd w:id="3"/>
            <w:r>
              <w:rPr>
                <w:rFonts w:hint="eastAsia" w:ascii="楷体" w:hAnsi="楷体" w:eastAsia="楷体" w:cs="楷体"/>
                <w:b w:val="0"/>
                <w:bCs w:val="0"/>
                <w:color w:val="auto"/>
                <w:u w:val="none"/>
                <w:lang w:val="en-US" w:eastAsia="zh-CN"/>
              </w:rPr>
              <w:t>【直销适用】</w:t>
            </w:r>
          </w:p>
          <w:p>
            <w:pPr>
              <w:rPr>
                <w:rFonts w:hint="eastAsia" w:ascii="楷体" w:hAnsi="楷体" w:eastAsia="楷体" w:cs="楷体"/>
              </w:rPr>
            </w:pPr>
            <w:r>
              <w:rPr>
                <w:rFonts w:hint="eastAsia" w:ascii="楷体" w:hAnsi="楷体" w:eastAsia="楷体" w:cs="楷体"/>
              </w:rPr>
              <w:t xml:space="preserve">本产品由产品管理人销售。 </w:t>
            </w:r>
          </w:p>
          <w:p>
            <w:pPr>
              <w:rPr>
                <w:rFonts w:hint="eastAsia" w:ascii="楷体" w:hAnsi="楷体" w:eastAsia="楷体" w:cs="楷体"/>
              </w:rPr>
            </w:pPr>
            <w:bookmarkStart w:id="4" w:name="特殊字符4"/>
            <w:r>
              <w:rPr>
                <w:rFonts w:hint="eastAsia" w:ascii="Wingdings 2" w:hAnsi="Wingdings 2" w:eastAsia="Wingdings 2" w:cs="Wingdings 2"/>
                <w:b w:val="0"/>
                <w:bCs w:val="0"/>
                <w:color w:val="auto"/>
                <w:u w:val="none"/>
                <w:lang w:val="en-US" w:eastAsia="zh-CN"/>
              </w:rPr>
              <w:t>R</w:t>
            </w:r>
            <w:bookmarkEnd w:id="4"/>
            <w:r>
              <w:rPr>
                <w:rFonts w:hint="eastAsia" w:ascii="楷体" w:hAnsi="楷体" w:eastAsia="楷体" w:cs="楷体"/>
                <w:b w:val="0"/>
                <w:bCs w:val="0"/>
                <w:color w:val="auto"/>
                <w:u w:val="none"/>
                <w:lang w:val="en-US" w:eastAsia="zh-CN"/>
              </w:rPr>
              <w:t>【代销适用】</w:t>
            </w:r>
            <w:r>
              <w:rPr>
                <w:rFonts w:hint="eastAsia" w:ascii="楷体" w:hAnsi="楷体" w:eastAsia="楷体" w:cs="楷体"/>
              </w:rPr>
              <w:t xml:space="preserve"> </w:t>
            </w:r>
          </w:p>
          <w:p>
            <w:pPr>
              <w:rPr>
                <w:rFonts w:hint="eastAsia" w:ascii="楷体" w:hAnsi="楷体" w:eastAsia="楷体" w:cs="楷体"/>
              </w:rPr>
            </w:pPr>
            <w:r>
              <w:rPr>
                <w:rFonts w:hint="eastAsia" w:ascii="楷体" w:hAnsi="楷体" w:eastAsia="楷体" w:cs="楷体"/>
              </w:rPr>
              <w:t xml:space="preserve">本产品由代理销售机构销售。 </w:t>
            </w:r>
          </w:p>
          <w:p>
            <w:pPr>
              <w:rPr>
                <w:rFonts w:hint="eastAsia" w:ascii="楷体" w:hAnsi="楷体" w:eastAsia="楷体" w:cs="楷体"/>
                <w:b/>
                <w:bCs/>
              </w:rPr>
            </w:pPr>
            <w:r>
              <w:rPr>
                <w:rFonts w:hint="eastAsia" w:ascii="楷体" w:hAnsi="楷体" w:eastAsia="楷体" w:cs="楷体"/>
              </w:rPr>
              <w:t>代理销售机构合作业务情况以产品管理人公告为准，具体代理销售机构以《</w:t>
            </w:r>
            <w:r>
              <w:rPr>
                <w:rFonts w:hint="eastAsia" w:ascii="楷体" w:hAnsi="楷体" w:eastAsia="楷体" w:cs="楷体"/>
                <w:szCs w:val="21"/>
              </w:rPr>
              <w:t>销售（代理销售）协议书</w:t>
            </w:r>
            <w:r>
              <w:rPr>
                <w:rFonts w:hint="eastAsia" w:ascii="楷体" w:hAnsi="楷体" w:eastAsia="楷体" w:cs="楷体"/>
              </w:rPr>
              <w:t>》为准。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发售对象</w:t>
            </w:r>
          </w:p>
        </w:tc>
        <w:tc>
          <w:tcPr>
            <w:tcW w:w="6146" w:type="dxa"/>
          </w:tcPr>
          <w:p>
            <w:pPr>
              <w:numPr>
                <w:ilvl w:val="12"/>
                <w:numId w:val="0"/>
              </w:numPr>
              <w:rPr>
                <w:rFonts w:hint="eastAsia" w:ascii="楷体" w:hAnsi="楷体" w:eastAsia="楷体" w:cs="楷体"/>
              </w:rPr>
            </w:pPr>
            <w:r>
              <w:rPr>
                <w:rFonts w:hint="eastAsia" w:ascii="楷体" w:hAnsi="楷体" w:eastAsia="楷体" w:cs="楷体"/>
              </w:rPr>
              <w:t>【E】类份额：【个人客户、机构客户】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发行规模上限</w:t>
            </w:r>
          </w:p>
        </w:tc>
        <w:tc>
          <w:tcPr>
            <w:tcW w:w="6146" w:type="dxa"/>
          </w:tcPr>
          <w:p>
            <w:pPr>
              <w:numPr>
                <w:ilvl w:val="12"/>
                <w:numId w:val="0"/>
              </w:numPr>
              <w:rPr>
                <w:rFonts w:hint="eastAsia" w:ascii="楷体" w:hAnsi="楷体" w:eastAsia="楷体" w:cs="楷体"/>
              </w:rPr>
            </w:pPr>
            <w:r>
              <w:rPr>
                <w:rFonts w:hint="eastAsia" w:ascii="楷体" w:hAnsi="楷体" w:eastAsia="楷体" w:cs="楷体"/>
              </w:rPr>
              <w:t>发行规模上限【30.00亿元】。</w:t>
            </w:r>
          </w:p>
          <w:p>
            <w:pPr>
              <w:numPr>
                <w:ilvl w:val="12"/>
                <w:numId w:val="0"/>
              </w:numPr>
              <w:rPr>
                <w:rFonts w:hint="eastAsia" w:ascii="楷体" w:hAnsi="楷体" w:eastAsia="楷体" w:cs="楷体"/>
              </w:rPr>
            </w:pPr>
            <w:r>
              <w:rPr>
                <w:rFonts w:hint="eastAsia" w:ascii="楷体" w:hAnsi="楷体" w:eastAsia="楷体" w:cs="楷体"/>
              </w:rPr>
              <w:t>若产品募集金额超出规模上限，管理人有权暂停接受认购申请。管理人有权对本理财产品规模上限进行调整。</w:t>
            </w:r>
          </w:p>
          <w:p>
            <w:pPr>
              <w:numPr>
                <w:ilvl w:val="12"/>
                <w:numId w:val="0"/>
              </w:numPr>
              <w:rPr>
                <w:rFonts w:hint="eastAsia" w:ascii="楷体" w:hAnsi="楷体" w:eastAsia="楷体" w:cs="楷体"/>
              </w:rPr>
            </w:pPr>
            <w:r>
              <w:rPr>
                <w:rFonts w:hint="eastAsia" w:ascii="楷体" w:hAnsi="楷体" w:eastAsia="楷体" w:cs="楷体"/>
                <w:b/>
                <w:bCs/>
              </w:rPr>
              <w:t>销售机构实际销售规模限制可能与《产品说明书》不一致，具体以销售机构规则为准。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最低发行规模</w:t>
            </w:r>
          </w:p>
        </w:tc>
        <w:tc>
          <w:tcPr>
            <w:tcW w:w="6146" w:type="dxa"/>
          </w:tcPr>
          <w:p>
            <w:pPr>
              <w:numPr>
                <w:ilvl w:val="12"/>
                <w:numId w:val="0"/>
              </w:numPr>
              <w:rPr>
                <w:rFonts w:hint="eastAsia" w:ascii="楷体" w:hAnsi="楷体" w:eastAsia="楷体" w:cs="楷体"/>
              </w:rPr>
            </w:pPr>
            <w:r>
              <w:rPr>
                <w:rFonts w:hint="eastAsia" w:ascii="楷体" w:hAnsi="楷体" w:eastAsia="楷体" w:cs="楷体"/>
              </w:rPr>
              <w:t>本理财产品最低发行规模为【1.00万元】。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产品期限</w:t>
            </w:r>
          </w:p>
        </w:tc>
        <w:tc>
          <w:tcPr>
            <w:tcW w:w="6146" w:type="dxa"/>
          </w:tcPr>
          <w:p>
            <w:pPr>
              <w:rPr>
                <w:rFonts w:hint="eastAsia" w:ascii="楷体" w:hAnsi="楷体" w:eastAsia="楷体" w:cs="楷体"/>
              </w:rPr>
            </w:pPr>
            <w:bookmarkStart w:id="5" w:name="特殊字符5"/>
            <w:r>
              <w:rPr>
                <w:rFonts w:hint="eastAsia" w:ascii="Wingdings 2" w:hAnsi="Wingdings 2" w:eastAsia="Wingdings 2" w:cs="Wingdings 2"/>
                <w:b w:val="0"/>
                <w:bCs w:val="0"/>
                <w:color w:val="auto"/>
                <w:u w:val="none"/>
                <w:lang w:val="en-US" w:eastAsia="zh-CN"/>
              </w:rPr>
              <w:t>R</w:t>
            </w:r>
            <w:bookmarkEnd w:id="5"/>
            <w:r>
              <w:rPr>
                <w:rFonts w:hint="eastAsia" w:ascii="楷体" w:hAnsi="楷体" w:eastAsia="楷体" w:cs="楷体"/>
                <w:b w:val="0"/>
                <w:bCs w:val="0"/>
                <w:color w:val="auto"/>
                <w:u w:val="none"/>
                <w:lang w:val="en-US" w:eastAsia="zh-CN"/>
              </w:rPr>
              <w:t>【有固定期限】</w:t>
            </w:r>
            <w:r>
              <w:rPr>
                <w:rFonts w:hint="eastAsia" w:ascii="楷体" w:hAnsi="楷体" w:eastAsia="楷体" w:cs="楷体"/>
              </w:rPr>
              <w:t>【390天】</w:t>
            </w:r>
          </w:p>
          <w:p>
            <w:pPr>
              <w:rPr>
                <w:rFonts w:hint="eastAsia" w:ascii="楷体" w:hAnsi="楷体" w:eastAsia="楷体" w:cs="楷体"/>
              </w:rPr>
            </w:pPr>
            <w:bookmarkStart w:id="6" w:name="特殊字符6"/>
            <w:r>
              <w:rPr>
                <w:rFonts w:hint="eastAsia" w:ascii="Wingdings 2" w:hAnsi="Wingdings 2" w:eastAsia="Wingdings 2" w:cs="Wingdings 2"/>
                <w:b w:val="0"/>
                <w:bCs w:val="0"/>
                <w:color w:val="auto"/>
                <w:u w:val="none"/>
                <w:lang w:eastAsia="zh-CN"/>
              </w:rPr>
              <w:t>£</w:t>
            </w:r>
            <w:bookmarkEnd w:id="6"/>
            <w:r>
              <w:rPr>
                <w:rFonts w:hint="eastAsia" w:ascii="楷体" w:hAnsi="楷体" w:eastAsia="楷体" w:cs="楷体"/>
                <w:b w:val="0"/>
                <w:bCs w:val="0"/>
                <w:color w:val="auto"/>
                <w:u w:val="none"/>
                <w:lang w:eastAsia="zh-CN"/>
              </w:rPr>
              <w:t>【无固定期限】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color w:val="FF0000"/>
                <w:highlight w:val="none"/>
              </w:rPr>
            </w:pPr>
            <w:r>
              <w:rPr>
                <w:rFonts w:hint="eastAsia" w:ascii="楷体" w:hAnsi="楷体" w:eastAsia="楷体" w:cs="楷体"/>
                <w:b/>
                <w:bCs/>
                <w:highlight w:val="none"/>
              </w:rPr>
              <w:t>产品认购期</w:t>
            </w:r>
          </w:p>
        </w:tc>
        <w:tc>
          <w:tcPr>
            <w:tcW w:w="6146" w:type="dxa"/>
          </w:tcPr>
          <w:p>
            <w:pPr>
              <w:rPr>
                <w:rFonts w:hint="eastAsia" w:ascii="楷体" w:hAnsi="楷体" w:eastAsia="楷体" w:cs="楷体"/>
                <w:highlight w:val="none"/>
              </w:rPr>
            </w:pPr>
            <w:r>
              <w:rPr>
                <w:rFonts w:hint="eastAsia" w:ascii="楷体" w:hAnsi="楷体" w:eastAsia="楷体" w:cs="楷体"/>
                <w:highlight w:val="none"/>
              </w:rPr>
              <w:t>【2026】年【06】月【12】日【08:00】至【2026】年【06】月【17】日【17:00】。</w:t>
            </w:r>
            <w:r>
              <w:rPr>
                <w:rFonts w:hint="eastAsia" w:ascii="楷体" w:hAnsi="楷体" w:eastAsia="楷体" w:cs="楷体"/>
                <w:b/>
                <w:bCs/>
                <w:highlight w:val="none"/>
              </w:rPr>
              <w:t>销售机构实际受理时间可能与《产品说明书》不一致，具体以销售机构</w:t>
            </w:r>
            <w:r>
              <w:rPr>
                <w:rFonts w:hint="eastAsia" w:ascii="楷体" w:hAnsi="楷体" w:eastAsia="楷体" w:cs="楷体"/>
                <w:b/>
                <w:bCs/>
                <w:highlight w:val="none"/>
                <w:lang w:val="en-US" w:eastAsia="zh-CN"/>
              </w:rPr>
              <w:t>规则</w:t>
            </w:r>
            <w:r>
              <w:rPr>
                <w:rFonts w:hint="eastAsia" w:ascii="楷体" w:hAnsi="楷体" w:eastAsia="楷体" w:cs="楷体"/>
                <w:b/>
                <w:bCs/>
                <w:highlight w:val="none"/>
              </w:rPr>
              <w:t>为准。</w:t>
            </w:r>
            <w:r>
              <w:rPr>
                <w:rFonts w:hint="eastAsia" w:ascii="楷体" w:hAnsi="楷体" w:eastAsia="楷体" w:cs="楷体"/>
                <w:highlight w:val="none"/>
              </w:rPr>
              <w:t>管理人可在认购期内公告延长或提前终止产品认购期，实际认购期以管理人公告为准。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产品成立日</w:t>
            </w:r>
          </w:p>
        </w:tc>
        <w:tc>
          <w:tcPr>
            <w:tcW w:w="6146" w:type="dxa"/>
          </w:tcPr>
          <w:p>
            <w:pPr>
              <w:rPr>
                <w:rFonts w:hint="eastAsia" w:ascii="楷体" w:hAnsi="楷体" w:eastAsia="楷体" w:cs="楷体"/>
              </w:rPr>
            </w:pPr>
            <w:r>
              <w:rPr>
                <w:rFonts w:hint="eastAsia" w:ascii="楷体" w:hAnsi="楷体" w:eastAsia="楷体" w:cs="楷体"/>
              </w:rPr>
              <w:t>【2026】年【06】月【18】日</w:t>
            </w:r>
          </w:p>
          <w:p>
            <w:pPr>
              <w:rPr>
                <w:rFonts w:hint="eastAsia" w:ascii="楷体" w:hAnsi="楷体" w:eastAsia="楷体" w:cs="楷体"/>
              </w:rPr>
            </w:pPr>
            <w:r>
              <w:rPr>
                <w:rFonts w:hint="eastAsia" w:ascii="楷体" w:hAnsi="楷体" w:eastAsia="楷体" w:cs="楷体"/>
              </w:rPr>
              <w:t>（如遇非【工作日】顺延至下一个【工作日】）。</w:t>
            </w:r>
          </w:p>
          <w:p>
            <w:pPr>
              <w:rPr>
                <w:rFonts w:hint="eastAsia" w:ascii="楷体" w:hAnsi="楷体" w:eastAsia="楷体" w:cs="楷体"/>
              </w:rPr>
            </w:pPr>
            <w:r>
              <w:rPr>
                <w:rFonts w:hint="eastAsia" w:ascii="楷体" w:hAnsi="楷体" w:eastAsia="楷体" w:cs="楷体"/>
              </w:rPr>
              <w:t>产品管理人有权根据实际募集情况提前或延后产品成立日期，并相应调整其他产品要素，将依约定进行公告。</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产品预计到期日</w:t>
            </w:r>
          </w:p>
        </w:tc>
        <w:tc>
          <w:tcPr>
            <w:tcW w:w="6146" w:type="dxa"/>
          </w:tcPr>
          <w:p>
            <w:pPr>
              <w:rPr>
                <w:rFonts w:hint="eastAsia" w:ascii="楷体" w:hAnsi="楷体" w:eastAsia="楷体" w:cs="楷体"/>
              </w:rPr>
            </w:pPr>
            <w:r>
              <w:rPr>
                <w:rFonts w:hint="eastAsia" w:ascii="楷体" w:hAnsi="楷体" w:eastAsia="楷体" w:cs="楷体"/>
              </w:rPr>
              <w:t>【2027】年【07】月【13】日</w:t>
            </w:r>
          </w:p>
          <w:p>
            <w:pPr>
              <w:rPr>
                <w:rFonts w:hint="eastAsia" w:ascii="楷体" w:hAnsi="楷体" w:eastAsia="楷体" w:cs="楷体"/>
              </w:rPr>
            </w:pPr>
            <w:r>
              <w:rPr>
                <w:rFonts w:hint="eastAsia" w:ascii="楷体" w:hAnsi="楷体" w:eastAsia="楷体" w:cs="楷体"/>
              </w:rPr>
              <w:t>(如遇非【工作日】顺延至下一个【工作日】)。</w:t>
            </w:r>
          </w:p>
          <w:p>
            <w:pPr>
              <w:rPr>
                <w:rFonts w:hint="eastAsia" w:ascii="楷体" w:hAnsi="楷体" w:eastAsia="楷体" w:cs="楷体"/>
              </w:rPr>
            </w:pPr>
            <w:r>
              <w:rPr>
                <w:rFonts w:hint="eastAsia" w:ascii="楷体" w:hAnsi="楷体" w:eastAsia="楷体" w:cs="楷体"/>
              </w:rPr>
              <w:t>在理财产品存续期内，管理人有权根据本《产品说明书》约定事由宣布提前或延期终止本理财产品。如管理人提前终止或延长理财产品期限，将提前2个工作日按《产品说明书》“信息披露”约定的方式向投资者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产品实际到期日</w:t>
            </w:r>
          </w:p>
        </w:tc>
        <w:tc>
          <w:tcPr>
            <w:tcW w:w="6146" w:type="dxa"/>
          </w:tcPr>
          <w:p>
            <w:pPr>
              <w:rPr>
                <w:rFonts w:hint="eastAsia" w:ascii="楷体" w:hAnsi="楷体" w:eastAsia="楷体" w:cs="楷体"/>
              </w:rPr>
            </w:pPr>
            <w:r>
              <w:rPr>
                <w:rFonts w:hint="eastAsia" w:ascii="楷体" w:hAnsi="楷体" w:eastAsia="楷体" w:cs="楷体"/>
              </w:rPr>
              <w:t>指理财产品实际终止之日，包括理财产品预计到期日，或管理人根据本《产品说明书》约定宣布本理财产品早于理财产品预计到期日而终止之日或宣布本理财产品延长后的终止之日。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highlight w:val="none"/>
              </w:rPr>
            </w:pPr>
            <w:r>
              <w:rPr>
                <w:rFonts w:hint="eastAsia" w:ascii="楷体" w:hAnsi="楷体" w:eastAsia="楷体" w:cs="楷体"/>
                <w:b/>
                <w:bCs/>
                <w:szCs w:val="21"/>
                <w:highlight w:val="none"/>
              </w:rPr>
              <w:t>产品估值日</w:t>
            </w:r>
          </w:p>
        </w:tc>
        <w:tc>
          <w:tcPr>
            <w:tcW w:w="6146" w:type="dxa"/>
            <w:vAlign w:val="center"/>
          </w:tcPr>
          <w:p>
            <w:pPr>
              <w:widowControl/>
              <w:jc w:val="left"/>
              <w:rPr>
                <w:rFonts w:hint="eastAsia" w:ascii="楷体" w:hAnsi="楷体" w:eastAsia="楷体" w:cs="楷体"/>
                <w:szCs w:val="21"/>
                <w:highlight w:val="none"/>
              </w:rPr>
            </w:pPr>
            <w:r>
              <w:rPr>
                <w:rFonts w:hint="eastAsia" w:ascii="楷体" w:hAnsi="楷体" w:eastAsia="楷体" w:cs="楷体"/>
              </w:rPr>
              <w:t>【本理财产品存续期间，每周一、理财产品收益分配基准日以及理财产品终止日为估值日】</w:t>
            </w:r>
            <w:r>
              <w:rPr>
                <w:rFonts w:hint="eastAsia" w:ascii="楷体" w:hAnsi="楷体" w:eastAsia="楷体" w:cs="楷体"/>
                <w:szCs w:val="21"/>
                <w:highlight w:val="none"/>
              </w:rPr>
              <w:t>。</w:t>
            </w:r>
            <w:r>
              <w:rPr>
                <w:rFonts w:hint="eastAsia" w:ascii="楷体" w:hAnsi="楷体" w:eastAsia="楷体" w:cs="楷体"/>
                <w:highlight w:val="none"/>
              </w:rPr>
              <w:t>管理人在估值日扣除理财产品承担的各项费用、税费（如有）后，计算理财产品份额净值和</w:t>
            </w:r>
            <w:r>
              <w:rPr>
                <w:rFonts w:hint="eastAsia" w:ascii="楷体" w:hAnsi="楷体" w:eastAsia="楷体" w:cs="楷体"/>
                <w:szCs w:val="21"/>
                <w:highlight w:val="none"/>
              </w:rPr>
              <w:t>理财产品份额累计净值</w:t>
            </w:r>
            <w:r>
              <w:rPr>
                <w:rFonts w:hint="eastAsia" w:ascii="楷体" w:hAnsi="楷体" w:eastAsia="楷体" w:cs="楷体"/>
                <w:highlight w:val="none"/>
              </w:rPr>
              <w:t>，并于估值日后</w:t>
            </w:r>
            <w:r>
              <w:rPr>
                <w:rFonts w:hint="eastAsia" w:ascii="楷体" w:hAnsi="楷体" w:eastAsia="楷体" w:cs="楷体"/>
              </w:rPr>
              <w:t>三个工作日</w:t>
            </w:r>
            <w:r>
              <w:rPr>
                <w:rFonts w:hint="eastAsia" w:ascii="楷体" w:hAnsi="楷体" w:eastAsia="楷体" w:cs="楷体"/>
                <w:highlight w:val="none"/>
              </w:rPr>
              <w:t>内通过“信息披露”约定的渠道发布。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rPr>
            </w:pPr>
            <w:r>
              <w:rPr>
                <w:rFonts w:hint="eastAsia" w:ascii="楷体" w:hAnsi="楷体" w:eastAsia="楷体" w:cs="楷体"/>
                <w:b/>
                <w:bCs/>
                <w:szCs w:val="21"/>
              </w:rPr>
              <w:t>理财产品份额净值</w:t>
            </w:r>
          </w:p>
        </w:tc>
        <w:tc>
          <w:tcPr>
            <w:tcW w:w="6146" w:type="dxa"/>
            <w:vAlign w:val="center"/>
          </w:tcPr>
          <w:p>
            <w:pPr>
              <w:rPr>
                <w:rFonts w:hint="eastAsia" w:ascii="楷体" w:hAnsi="楷体" w:eastAsia="楷体" w:cs="楷体"/>
                <w:szCs w:val="21"/>
              </w:rPr>
            </w:pPr>
            <w:r>
              <w:rPr>
                <w:rFonts w:hint="eastAsia" w:ascii="楷体" w:hAnsi="楷体" w:eastAsia="楷体" w:cs="楷体"/>
                <w:szCs w:val="21"/>
              </w:rPr>
              <w:t>理财产品份额净值为计提相关费用后的单位理财产品的净值，按去尾法保留小数点后五位，管理人按照该净值对产品的赎回和产品终止时的分配进行确认。管理人有权对以上净值计提方式进行修改，并通过《产品说明书》“信息披露”约定的方式，向投资者披露。</w:t>
            </w:r>
          </w:p>
          <w:p>
            <w:pPr>
              <w:rPr>
                <w:rFonts w:hint="eastAsia" w:ascii="楷体" w:hAnsi="楷体" w:eastAsia="楷体" w:cs="楷体"/>
              </w:rPr>
            </w:pPr>
            <w:r>
              <w:rPr>
                <w:rFonts w:hint="eastAsia" w:ascii="楷体" w:hAnsi="楷体" w:eastAsia="楷体" w:cs="楷体"/>
                <w:szCs w:val="21"/>
              </w:rPr>
              <w:t>产品初始份额净值为1元/份。</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购买规则</w:t>
            </w:r>
          </w:p>
        </w:tc>
        <w:tc>
          <w:tcPr>
            <w:tcW w:w="6146" w:type="dxa"/>
          </w:tcPr>
          <w:p>
            <w:pPr>
              <w:numPr>
                <w:ilvl w:val="12"/>
                <w:numId w:val="0"/>
              </w:numPr>
              <w:tabs>
                <w:tab w:val="left" w:pos="360"/>
              </w:tabs>
              <w:rPr>
                <w:rFonts w:hint="eastAsia" w:ascii="楷体" w:hAnsi="楷体" w:eastAsia="楷体" w:cs="楷体"/>
              </w:rPr>
            </w:pPr>
            <w:r>
              <w:rPr>
                <w:rFonts w:hint="eastAsia" w:ascii="楷体" w:hAnsi="楷体" w:eastAsia="楷体" w:cs="楷体"/>
                <w:szCs w:val="21"/>
              </w:rPr>
              <w:t>（适用【E】类份额）</w:t>
            </w:r>
          </w:p>
          <w:p>
            <w:pPr>
              <w:numPr>
                <w:ilvl w:val="12"/>
                <w:numId w:val="0"/>
              </w:numPr>
              <w:tabs>
                <w:tab w:val="left" w:pos="360"/>
              </w:tabs>
              <w:rPr>
                <w:rFonts w:hint="eastAsia" w:ascii="楷体" w:hAnsi="楷体" w:eastAsia="楷体" w:cs="楷体"/>
              </w:rPr>
            </w:pPr>
            <w:r>
              <w:rPr>
                <w:rFonts w:hint="eastAsia" w:ascii="楷体" w:hAnsi="楷体" w:eastAsia="楷体" w:cs="楷体"/>
                <w:lang w:val="en-US" w:eastAsia="zh-CN"/>
              </w:rPr>
              <w:t>1、</w:t>
            </w:r>
            <w:r>
              <w:rPr>
                <w:rFonts w:hint="eastAsia" w:ascii="楷体" w:hAnsi="楷体" w:eastAsia="楷体" w:cs="楷体"/>
              </w:rPr>
              <w:t>本理财产品购买顺序按时间优先原则进行确认。</w:t>
            </w:r>
          </w:p>
          <w:p>
            <w:pPr>
              <w:numPr>
                <w:ilvl w:val="12"/>
                <w:numId w:val="0"/>
              </w:numPr>
              <w:tabs>
                <w:tab w:val="left" w:pos="360"/>
              </w:tabs>
              <w:rPr>
                <w:rFonts w:hint="eastAsia" w:ascii="楷体" w:hAnsi="楷体" w:eastAsia="楷体" w:cs="楷体"/>
              </w:rPr>
            </w:pPr>
            <w:r>
              <w:rPr>
                <w:rFonts w:hint="eastAsia" w:ascii="楷体" w:hAnsi="楷体" w:eastAsia="楷体" w:cs="楷体"/>
                <w:lang w:val="en-US" w:eastAsia="zh-CN"/>
              </w:rPr>
              <w:t>2、</w:t>
            </w:r>
            <w:r>
              <w:rPr>
                <w:rFonts w:hint="eastAsia" w:ascii="楷体" w:hAnsi="楷体" w:eastAsia="楷体" w:cs="楷体"/>
              </w:rPr>
              <w:t>本理财产品客户首次购买的最低金额为【1.00元】，超出部分应为【1.00元】的整数倍。最低追加</w:t>
            </w:r>
            <w:r>
              <w:rPr>
                <w:rFonts w:hint="eastAsia" w:ascii="楷体" w:hAnsi="楷体" w:eastAsia="楷体" w:cs="楷体"/>
                <w:lang w:val="en-US" w:eastAsia="zh-CN"/>
              </w:rPr>
              <w:t>认购</w:t>
            </w:r>
            <w:r>
              <w:rPr>
                <w:rFonts w:hint="eastAsia" w:ascii="楷体" w:hAnsi="楷体" w:eastAsia="楷体" w:cs="楷体"/>
              </w:rPr>
              <w:t>金额为【1.00元】，超出部分应为【1.00元】的整数倍。</w:t>
            </w:r>
          </w:p>
          <w:p>
            <w:pPr>
              <w:numPr>
                <w:ilvl w:val="0"/>
                <w:numId w:val="0"/>
              </w:numPr>
              <w:jc w:val="left"/>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注：关于代理销售机构的实际销售起点金额的提示。</w:t>
            </w:r>
          </w:p>
          <w:p>
            <w:pPr>
              <w:numPr>
                <w:ilvl w:val="0"/>
                <w:numId w:val="0"/>
              </w:numPr>
              <w:jc w:val="left"/>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 xml:space="preserve">（1）本理财产品在代理销售机构的实际销售起点金额，因代理销售机构的不同可能存在差异（可能高于销售文件约定的销售起点金额），应当以代理销售机构展示为准。 </w:t>
            </w:r>
          </w:p>
          <w:p>
            <w:pPr>
              <w:numPr>
                <w:ilvl w:val="0"/>
                <w:numId w:val="0"/>
              </w:numPr>
              <w:rPr>
                <w:rFonts w:hint="eastAsia" w:ascii="楷体" w:hAnsi="楷体" w:eastAsia="楷体" w:cs="楷体"/>
              </w:rPr>
            </w:pPr>
            <w:r>
              <w:rPr>
                <w:rFonts w:hint="eastAsia" w:ascii="楷体" w:hAnsi="楷体" w:eastAsia="楷体" w:cs="楷体"/>
                <w:b w:val="0"/>
                <w:bCs w:val="0"/>
                <w:color w:val="auto"/>
                <w:u w:val="none"/>
                <w:lang w:val="en-US" w:eastAsia="zh-CN"/>
              </w:rPr>
              <w:t>（2）代理销售机构的实际销售起点金额，不得低于销售文件约定的销售起点金额。</w:t>
            </w:r>
          </w:p>
          <w:p>
            <w:pPr>
              <w:tabs>
                <w:tab w:val="left" w:pos="360"/>
              </w:tabs>
              <w:rPr>
                <w:rFonts w:hint="eastAsia" w:ascii="楷体" w:hAnsi="楷体" w:eastAsia="楷体" w:cs="楷体"/>
                <w:szCs w:val="21"/>
                <w:highlight w:val="none"/>
              </w:rPr>
            </w:pPr>
            <w:r>
              <w:rPr>
                <w:rFonts w:hint="eastAsia" w:ascii="楷体" w:hAnsi="楷体" w:eastAsia="楷体" w:cs="楷体"/>
                <w:highlight w:val="none"/>
                <w:lang w:val="en-US" w:eastAsia="zh-CN"/>
              </w:rPr>
              <w:t>3</w:t>
            </w:r>
            <w:r>
              <w:rPr>
                <w:rFonts w:hint="eastAsia" w:ascii="楷体" w:hAnsi="楷体" w:eastAsia="楷体" w:cs="楷体"/>
                <w:highlight w:val="none"/>
              </w:rPr>
              <w:t>、</w:t>
            </w:r>
            <w:r>
              <w:rPr>
                <w:rFonts w:hint="eastAsia" w:ascii="楷体" w:hAnsi="楷体" w:eastAsia="楷体" w:cs="楷体"/>
                <w:szCs w:val="21"/>
                <w:highlight w:val="none"/>
              </w:rPr>
              <w:t>单户累计最大购买金额为【1.00亿元】。</w:t>
            </w:r>
          </w:p>
          <w:p>
            <w:pPr>
              <w:tabs>
                <w:tab w:val="left" w:pos="360"/>
              </w:tabs>
              <w:rPr>
                <w:rFonts w:hint="eastAsia" w:ascii="楷体" w:hAnsi="楷体" w:eastAsia="楷体" w:cs="楷体"/>
                <w:szCs w:val="21"/>
                <w:highlight w:val="none"/>
              </w:rPr>
            </w:pPr>
            <w:r>
              <w:rPr>
                <w:rFonts w:hint="eastAsia" w:ascii="楷体" w:hAnsi="楷体" w:eastAsia="楷体" w:cs="楷体"/>
                <w:szCs w:val="21"/>
                <w:highlight w:val="none"/>
              </w:rPr>
              <w:t>注：本产品单一投资者持有份额不得超过产品总份额50%。</w:t>
            </w:r>
          </w:p>
          <w:p>
            <w:pPr>
              <w:tabs>
                <w:tab w:val="left" w:pos="360"/>
              </w:tabs>
              <w:rPr>
                <w:rFonts w:hint="eastAsia" w:ascii="楷体" w:hAnsi="楷体" w:eastAsia="楷体" w:cs="楷体"/>
                <w:szCs w:val="21"/>
                <w:highlight w:val="none"/>
              </w:rPr>
            </w:pPr>
            <w:r>
              <w:rPr>
                <w:rFonts w:hint="eastAsia" w:ascii="楷体" w:hAnsi="楷体" w:eastAsia="楷体" w:cs="楷体"/>
                <w:szCs w:val="21"/>
                <w:highlight w:val="none"/>
              </w:rPr>
              <w:t>（1）投资者认购确认后可能导致其持有份额超过产品总份额50%的，管理人有权拒绝或暂停认购。</w:t>
            </w:r>
          </w:p>
          <w:p>
            <w:pPr>
              <w:tabs>
                <w:tab w:val="left" w:pos="360"/>
              </w:tabs>
              <w:rPr>
                <w:rFonts w:hint="eastAsia" w:ascii="楷体" w:hAnsi="楷体" w:eastAsia="楷体" w:cs="楷体"/>
              </w:rPr>
            </w:pPr>
            <w:r>
              <w:rPr>
                <w:rFonts w:hint="eastAsia" w:ascii="楷体" w:hAnsi="楷体" w:eastAsia="楷体" w:cs="楷体"/>
                <w:szCs w:val="21"/>
              </w:rPr>
              <w:t>（2）非因管理人主观因素导致突破该比例限制的，在单一投资者持有比例降至50%以下之前，管理人不再接受该投资者对本产品的认购申请。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szCs w:val="21"/>
              </w:rPr>
              <w:t>理财产品收益分配</w:t>
            </w:r>
          </w:p>
        </w:tc>
        <w:tc>
          <w:tcPr>
            <w:tcW w:w="6146" w:type="dxa"/>
            <w:vAlign w:val="center"/>
          </w:tcPr>
          <w:p>
            <w:pPr>
              <w:rPr>
                <w:rFonts w:hint="eastAsia" w:ascii="楷体" w:hAnsi="楷体" w:eastAsia="楷体" w:cs="楷体"/>
                <w:szCs w:val="21"/>
              </w:rPr>
            </w:pPr>
            <w:r>
              <w:rPr>
                <w:rFonts w:hint="eastAsia" w:ascii="楷体" w:hAnsi="楷体" w:eastAsia="楷体" w:cs="楷体"/>
                <w:b/>
                <w:bCs/>
                <w:szCs w:val="21"/>
              </w:rPr>
              <w:t>1、就期间分配而言，</w:t>
            </w:r>
            <w:r>
              <w:rPr>
                <w:rFonts w:hint="eastAsia" w:ascii="楷体" w:hAnsi="楷体" w:eastAsia="楷体" w:cs="楷体"/>
                <w:szCs w:val="21"/>
              </w:rPr>
              <w:t>在满足收益分配基准日（以管理人确定的为准）理财产品份额净值大于</w:t>
            </w:r>
            <w:r>
              <w:rPr>
                <w:rFonts w:hint="eastAsia" w:ascii="楷体" w:hAnsi="楷体" w:eastAsia="楷体" w:cs="楷体"/>
                <w:b w:val="0"/>
                <w:bCs w:val="0"/>
                <w:szCs w:val="21"/>
              </w:rPr>
              <w:t>理财产品初始</w:t>
            </w:r>
            <w:r>
              <w:rPr>
                <w:rFonts w:hint="eastAsia" w:ascii="楷体" w:hAnsi="楷体" w:eastAsia="楷体" w:cs="楷体"/>
                <w:b w:val="0"/>
                <w:bCs w:val="0"/>
                <w:szCs w:val="21"/>
                <w:lang w:val="en-US" w:eastAsia="zh-CN"/>
              </w:rPr>
              <w:t>份额</w:t>
            </w:r>
            <w:r>
              <w:rPr>
                <w:rFonts w:hint="eastAsia" w:ascii="楷体" w:hAnsi="楷体" w:eastAsia="楷体" w:cs="楷体"/>
                <w:b w:val="0"/>
                <w:bCs w:val="0"/>
                <w:szCs w:val="21"/>
              </w:rPr>
              <w:t>净值</w:t>
            </w:r>
            <w:r>
              <w:rPr>
                <w:rFonts w:hint="eastAsia" w:ascii="楷体" w:hAnsi="楷体" w:eastAsia="楷体" w:cs="楷体"/>
                <w:szCs w:val="21"/>
              </w:rPr>
              <w:t>的条件下，理财产品管理人可进行不定期分配，分配方式为现金分配。理财产品管理人将根据理财产品投资收益情况决定分配基准日、当次分配比例和金额，并将于分红日后2个工作日内通过《产品说明书》“信息披露”约定的方式向投资者披露。</w:t>
            </w:r>
          </w:p>
          <w:p>
            <w:pPr>
              <w:rPr>
                <w:rFonts w:hint="eastAsia" w:ascii="楷体" w:hAnsi="楷体" w:eastAsia="楷体" w:cs="楷体"/>
              </w:rPr>
            </w:pPr>
            <w:r>
              <w:rPr>
                <w:rFonts w:hint="eastAsia" w:ascii="楷体" w:hAnsi="楷体" w:eastAsia="楷体" w:cs="楷体"/>
                <w:b/>
                <w:bCs/>
                <w:szCs w:val="21"/>
              </w:rPr>
              <w:t>2、就终止分配而言，</w:t>
            </w:r>
            <w:r>
              <w:rPr>
                <w:rFonts w:hint="eastAsia" w:ascii="楷体" w:hAnsi="楷体" w:eastAsia="楷体" w:cs="楷体"/>
                <w:szCs w:val="21"/>
              </w:rPr>
              <w:t>理财产品终止日，如理财产品项下财产全部变现，管理人将在理财产品终止日后的5个工作日内扣除应由理财产品承担的税费及费用（包括但不限于固定投资管理费、销售管理费、托管费等）后将投资者应得资金（如有，下同）划转至投资者指定账户。理财产品终止日，如理财产品项下所投资的标的资产因市场风险、信用风险等原因不能全部变现，则管理人将现金类资产扣除应由理财产品承担的税费及费用（包括但不限于固定投资管理费、销售管理费、托管费等）后，按照各投资者持有理财产品份额比例在5个工作日内向投资者分配。对于未变现资产部分，管理人以投资者利益最大化的原则，寻求未变现资产变现方式，在资产变现后，扣除应由理财产品承担的税费及费用（包括但不限于固定投资管理费、销售管理费、托管费等，或者由管理人、第三方垫付的费用）后，按照各投资者持有理财产品份额比例在5个工作日内向投资者分配。详见《产品说明书》</w:t>
            </w:r>
            <w:r>
              <w:rPr>
                <w:rFonts w:hint="eastAsia" w:ascii="楷体" w:hAnsi="楷体" w:eastAsia="楷体" w:cs="楷体"/>
                <w:b/>
                <w:bCs/>
                <w:szCs w:val="21"/>
              </w:rPr>
              <w:t>“产品的收益、费用及税费”</w:t>
            </w:r>
            <w:r>
              <w:rPr>
                <w:rFonts w:hint="eastAsia" w:ascii="楷体" w:hAnsi="楷体" w:eastAsia="楷体" w:cs="楷体"/>
                <w:szCs w:val="21"/>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pPr>
              <w:rPr>
                <w:rFonts w:hint="eastAsia" w:ascii="楷体" w:hAnsi="楷体" w:eastAsia="楷体" w:cs="楷体"/>
                <w:b/>
                <w:bCs/>
                <w:szCs w:val="21"/>
                <w:lang w:eastAsia="zh-CN"/>
              </w:rPr>
            </w:pPr>
            <w:r>
              <w:rPr>
                <w:rFonts w:hint="eastAsia" w:ascii="楷体" w:hAnsi="楷体" w:eastAsia="楷体" w:cs="楷体"/>
                <w:b/>
                <w:bCs/>
                <w:szCs w:val="21"/>
              </w:rPr>
              <w:t>业绩比较基准</w:t>
            </w:r>
            <w:r>
              <w:rPr>
                <w:rFonts w:hint="eastAsia" w:ascii="楷体" w:hAnsi="楷体" w:eastAsia="楷体" w:cs="楷体"/>
                <w:b/>
                <w:bCs/>
                <w:szCs w:val="21"/>
                <w:lang w:eastAsia="zh-CN"/>
              </w:rPr>
              <w:t>（</w:t>
            </w:r>
            <w:r>
              <w:rPr>
                <w:rFonts w:hint="eastAsia" w:ascii="楷体" w:hAnsi="楷体" w:eastAsia="楷体" w:cs="楷体"/>
                <w:b/>
                <w:bCs/>
                <w:szCs w:val="21"/>
                <w:lang w:val="en-US" w:eastAsia="zh-CN"/>
              </w:rPr>
              <w:t>年化</w:t>
            </w:r>
            <w:r>
              <w:rPr>
                <w:rFonts w:hint="eastAsia" w:ascii="楷体" w:hAnsi="楷体" w:eastAsia="楷体" w:cs="楷体"/>
                <w:b/>
                <w:bCs/>
                <w:szCs w:val="21"/>
                <w:lang w:eastAsia="zh-CN"/>
              </w:rPr>
              <w:t>）</w:t>
            </w:r>
          </w:p>
        </w:tc>
        <w:tc>
          <w:tcPr>
            <w:tcW w:w="6146" w:type="dxa"/>
            <w:vAlign w:val="center"/>
          </w:tcPr>
          <w:p>
            <w:pPr>
              <w:rPr>
                <w:rFonts w:hint="eastAsia" w:ascii="楷体" w:hAnsi="楷体" w:eastAsia="楷体" w:cs="楷体"/>
                <w:color w:val="000000"/>
                <w:szCs w:val="21"/>
              </w:rPr>
            </w:pPr>
            <w:r>
              <w:rPr>
                <w:rFonts w:hint="eastAsia" w:ascii="楷体" w:hAnsi="楷体" w:eastAsia="楷体" w:cs="楷体"/>
                <w:szCs w:val="21"/>
              </w:rPr>
              <w:t>（适用【E】类份额）</w:t>
            </w:r>
          </w:p>
          <w:p>
            <w:pPr>
              <w:pStyle w:val="9"/>
              <w:widowControl/>
              <w:spacing w:beforeAutospacing="0" w:afterAutospacing="0"/>
              <w:rPr>
                <w:rFonts w:hint="eastAsia" w:ascii="楷体" w:hAnsi="楷体" w:eastAsia="楷体" w:cs="楷体"/>
                <w:szCs w:val="21"/>
              </w:rPr>
            </w:pPr>
            <w:r>
              <w:rPr>
                <w:rFonts w:hint="eastAsia" w:ascii="楷体" w:hAnsi="楷体" w:eastAsia="楷体" w:cs="楷体"/>
                <w:b/>
                <w:bCs/>
                <w:color w:val="000000"/>
                <w:kern w:val="2"/>
                <w:sz w:val="21"/>
                <w:szCs w:val="21"/>
              </w:rPr>
              <w:t>业绩比较基准的说明：</w:t>
            </w:r>
            <w:r>
              <w:rPr>
                <w:rFonts w:hint="eastAsia" w:ascii="楷体" w:hAnsi="楷体" w:eastAsia="楷体" w:cs="楷体"/>
                <w:sz w:val="21"/>
                <w:szCs w:val="21"/>
                <w:lang w:val="en-US" w:eastAsia="zh-CN"/>
              </w:rPr>
              <w:t>本产品不低于80%的资金投资于债券、非标准化债权资产等固收类资产，因此结合产品风险收益特征制定本产品的业绩比较基准。</w:t>
            </w:r>
          </w:p>
          <w:p>
            <w:pPr>
              <w:pStyle w:val="9"/>
              <w:widowControl/>
              <w:spacing w:beforeAutospacing="0" w:afterAutospacing="0"/>
              <w:rPr>
                <w:rFonts w:hint="eastAsia" w:ascii="楷体" w:hAnsi="楷体" w:eastAsia="楷体" w:cs="楷体"/>
                <w:b/>
                <w:bCs/>
                <w:sz w:val="21"/>
                <w:szCs w:val="21"/>
              </w:rPr>
            </w:pPr>
            <w:r>
              <w:rPr>
                <w:rFonts w:hint="eastAsia" w:ascii="楷体" w:hAnsi="楷体" w:eastAsia="楷体" w:cs="楷体"/>
                <w:b/>
                <w:bCs/>
                <w:sz w:val="21"/>
                <w:szCs w:val="21"/>
              </w:rPr>
              <w:t>本理财产品设定业绩比较基准如下：</w:t>
            </w:r>
          </w:p>
          <w:p>
            <w:pPr>
              <w:rPr>
                <w:rFonts w:hint="eastAsia" w:ascii="楷体" w:hAnsi="楷体" w:eastAsia="楷体" w:cs="楷体"/>
                <w:b/>
                <w:bCs/>
                <w:szCs w:val="21"/>
              </w:rPr>
            </w:pPr>
            <w:r>
              <w:rPr>
                <w:rFonts w:hint="eastAsia" w:ascii="楷体" w:hAnsi="楷体" w:eastAsia="楷体" w:cs="楷体"/>
                <w:b/>
                <w:bCs/>
                <w:szCs w:val="21"/>
              </w:rPr>
              <w:t>【E】类份额：【2.45%】</w:t>
            </w:r>
          </w:p>
          <w:p>
            <w:pPr>
              <w:pStyle w:val="9"/>
              <w:widowControl/>
              <w:spacing w:beforeAutospacing="0" w:afterAutospacing="0"/>
              <w:rPr>
                <w:rFonts w:hint="eastAsia" w:ascii="楷体" w:hAnsi="楷体" w:eastAsia="楷体" w:cs="楷体"/>
                <w:b/>
                <w:bCs/>
                <w:kern w:val="2"/>
                <w:sz w:val="21"/>
                <w:szCs w:val="21"/>
              </w:rPr>
            </w:pPr>
            <w:r>
              <w:rPr>
                <w:rFonts w:hint="eastAsia" w:ascii="楷体" w:hAnsi="楷体" w:eastAsia="楷体" w:cs="楷体"/>
                <w:b/>
                <w:bCs/>
                <w:color w:val="000000"/>
                <w:kern w:val="2"/>
                <w:sz w:val="21"/>
                <w:szCs w:val="21"/>
              </w:rPr>
              <w:t>业绩比较基准是</w:t>
            </w:r>
            <w:r>
              <w:rPr>
                <w:rFonts w:hint="eastAsia" w:ascii="楷体" w:hAnsi="楷体" w:eastAsia="楷体" w:cs="楷体"/>
                <w:b/>
                <w:bCs/>
                <w:color w:val="000000"/>
                <w:kern w:val="2"/>
                <w:sz w:val="21"/>
                <w:szCs w:val="21"/>
                <w:lang w:val="en-US" w:eastAsia="zh-CN"/>
              </w:rPr>
              <w:t>管理人</w:t>
            </w:r>
            <w:r>
              <w:rPr>
                <w:rFonts w:hint="eastAsia" w:ascii="楷体" w:hAnsi="楷体" w:eastAsia="楷体" w:cs="楷体"/>
                <w:b/>
                <w:bCs/>
                <w:color w:val="000000"/>
                <w:kern w:val="2"/>
                <w:sz w:val="21"/>
                <w:szCs w:val="21"/>
              </w:rPr>
              <w:t>基于产品性质、投资策略、过往经验等因素对产品设定的投资目标，业绩比较基准不是预期收益率，不代表产品的未来表现和实际收益，不构成对产品收</w:t>
            </w:r>
            <w:r>
              <w:rPr>
                <w:rFonts w:hint="eastAsia" w:ascii="楷体" w:hAnsi="楷体" w:eastAsia="楷体" w:cs="楷体"/>
                <w:b/>
                <w:bCs/>
                <w:kern w:val="2"/>
                <w:sz w:val="21"/>
                <w:szCs w:val="21"/>
              </w:rPr>
              <w:t>益的承诺。</w:t>
            </w:r>
          </w:p>
          <w:p>
            <w:pPr>
              <w:pStyle w:val="9"/>
              <w:widowControl/>
              <w:spacing w:beforeAutospacing="0" w:afterAutospacing="0"/>
              <w:rPr>
                <w:rFonts w:hint="eastAsia" w:ascii="楷体" w:hAnsi="楷体" w:eastAsia="楷体" w:cs="楷体"/>
                <w:b/>
                <w:bCs/>
                <w:szCs w:val="21"/>
              </w:rPr>
            </w:pPr>
            <w:r>
              <w:rPr>
                <w:rFonts w:hint="eastAsia" w:ascii="楷体" w:hAnsi="楷体" w:eastAsia="楷体" w:cs="楷体"/>
                <w:kern w:val="2"/>
                <w:sz w:val="21"/>
                <w:szCs w:val="21"/>
              </w:rPr>
              <w:t>管理人将根据市场情况对产品的业绩比较基准进行动态</w:t>
            </w:r>
            <w:r>
              <w:rPr>
                <w:rFonts w:hint="eastAsia" w:ascii="楷体" w:hAnsi="楷体" w:eastAsia="楷体" w:cs="楷体"/>
                <w:color w:val="000000"/>
                <w:kern w:val="2"/>
                <w:sz w:val="21"/>
                <w:szCs w:val="21"/>
              </w:rPr>
              <w:t>调整，投资者可通过销售机构网站进行查询，调整后的业绩比较基准自公布日起的第一个产品确认日生效</w:t>
            </w:r>
            <w:r>
              <w:rPr>
                <w:rFonts w:hint="eastAsia" w:ascii="楷体" w:hAnsi="楷体" w:eastAsia="楷体" w:cs="楷体"/>
                <w:szCs w:val="21"/>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rPr>
            </w:pPr>
            <w:r>
              <w:rPr>
                <w:rFonts w:hint="eastAsia" w:ascii="楷体" w:hAnsi="楷体" w:eastAsia="楷体" w:cs="楷体"/>
                <w:b/>
                <w:bCs/>
              </w:rPr>
              <w:t>理财产品费率设置</w:t>
            </w:r>
          </w:p>
        </w:tc>
        <w:tc>
          <w:tcPr>
            <w:tcW w:w="6146" w:type="dxa"/>
          </w:tcPr>
          <w:p>
            <w:pPr>
              <w:numPr>
                <w:ilvl w:val="12"/>
                <w:numId w:val="0"/>
              </w:numPr>
              <w:rPr>
                <w:rFonts w:hint="eastAsia" w:ascii="楷体" w:hAnsi="楷体" w:eastAsia="楷体" w:cs="楷体"/>
                <w:szCs w:val="21"/>
              </w:rPr>
            </w:pPr>
            <w:r>
              <w:rPr>
                <w:rFonts w:hint="eastAsia" w:ascii="楷体" w:hAnsi="楷体" w:eastAsia="楷体" w:cs="楷体"/>
                <w:szCs w:val="21"/>
              </w:rPr>
              <w:t>（适用【E】类份额）</w:t>
            </w:r>
          </w:p>
          <w:p>
            <w:pPr>
              <w:numPr>
                <w:ilvl w:val="12"/>
                <w:numId w:val="0"/>
              </w:numPr>
              <w:rPr>
                <w:rFonts w:hint="eastAsia" w:ascii="楷体" w:hAnsi="楷体" w:eastAsia="楷体" w:cs="楷体"/>
                <w:b/>
                <w:bCs/>
              </w:rPr>
            </w:pPr>
            <w:r>
              <w:rPr>
                <w:rFonts w:hint="eastAsia" w:ascii="楷体" w:hAnsi="楷体" w:eastAsia="楷体" w:cs="楷体"/>
                <w:b/>
                <w:bCs/>
              </w:rPr>
              <w:t>1、理财产品费用：</w:t>
            </w:r>
          </w:p>
          <w:p>
            <w:pPr>
              <w:numPr>
                <w:ilvl w:val="12"/>
                <w:numId w:val="0"/>
              </w:numPr>
              <w:rPr>
                <w:rFonts w:hint="eastAsia" w:ascii="楷体" w:hAnsi="楷体" w:eastAsia="楷体" w:cs="楷体"/>
                <w:b/>
                <w:bCs/>
                <w:szCs w:val="21"/>
                <w:lang w:eastAsia="zh-CN"/>
              </w:rPr>
            </w:pPr>
            <w:r>
              <w:rPr>
                <w:rFonts w:hint="eastAsia" w:ascii="楷体" w:hAnsi="楷体" w:eastAsia="楷体" w:cs="楷体"/>
                <w:b/>
                <w:bCs/>
                <w:szCs w:val="21"/>
              </w:rPr>
              <w:t>（1）销售管理费：</w:t>
            </w:r>
            <w:r>
              <w:rPr>
                <w:rFonts w:hint="eastAsia" w:ascii="楷体_GB2312" w:eastAsia="楷体_GB2312"/>
                <w:b w:val="0"/>
                <w:bCs w:val="0"/>
                <w:color w:val="000000" w:themeColor="text1"/>
                <w:szCs w:val="21"/>
                <w:highlight w:val="none"/>
                <w:u w:val="none"/>
                <w:lang w:val="en-US" w:eastAsia="zh-CN"/>
                <w14:textFill>
                  <w14:solidFill>
                    <w14:schemeClr w14:val="tx1"/>
                  </w14:solidFill>
                </w14:textFill>
              </w:rPr>
              <w:t>年化费率0.60%</w:t>
            </w:r>
          </w:p>
          <w:p>
            <w:pPr>
              <w:numPr>
                <w:ilvl w:val="12"/>
                <w:numId w:val="0"/>
              </w:numPr>
              <w:rPr>
                <w:rFonts w:hint="eastAsia" w:ascii="楷体" w:hAnsi="楷体" w:eastAsia="楷体" w:cs="楷体"/>
                <w:b/>
                <w:bCs/>
                <w:szCs w:val="21"/>
              </w:rPr>
            </w:pPr>
            <w:r>
              <w:rPr>
                <w:rFonts w:hint="eastAsia" w:ascii="楷体" w:hAnsi="楷体" w:eastAsia="楷体" w:cs="楷体"/>
                <w:b/>
                <w:bCs/>
                <w:szCs w:val="21"/>
              </w:rPr>
              <w:t>（2）固定投资管理费：</w:t>
            </w:r>
            <w:r>
              <w:rPr>
                <w:rFonts w:hint="eastAsia" w:ascii="楷体_GB2312" w:eastAsia="楷体_GB2312"/>
                <w:b w:val="0"/>
                <w:bCs w:val="0"/>
                <w:color w:val="000000" w:themeColor="text1"/>
                <w:szCs w:val="21"/>
                <w:highlight w:val="none"/>
                <w:u w:val="none"/>
                <w:lang w:val="en-US" w:eastAsia="zh-CN"/>
                <w14:textFill>
                  <w14:solidFill>
                    <w14:schemeClr w14:val="tx1"/>
                  </w14:solidFill>
                </w14:textFill>
              </w:rPr>
              <w:t>年化费率0.60%</w:t>
            </w:r>
          </w:p>
          <w:p>
            <w:pPr>
              <w:numPr>
                <w:ilvl w:val="12"/>
                <w:numId w:val="0"/>
              </w:numPr>
              <w:rPr>
                <w:rFonts w:hint="eastAsia" w:ascii="楷体" w:hAnsi="楷体" w:eastAsia="楷体" w:cs="楷体"/>
                <w:szCs w:val="21"/>
              </w:rPr>
            </w:pPr>
            <w:r>
              <w:rPr>
                <w:rFonts w:hint="eastAsia" w:ascii="楷体" w:hAnsi="楷体" w:eastAsia="楷体" w:cs="楷体"/>
                <w:b/>
                <w:bCs/>
                <w:szCs w:val="21"/>
              </w:rPr>
              <w:t>（3）托管费：</w:t>
            </w:r>
            <w:r>
              <w:rPr>
                <w:rFonts w:hint="eastAsia" w:ascii="楷体_GB2312" w:eastAsia="楷体_GB2312"/>
                <w:b w:val="0"/>
                <w:bCs w:val="0"/>
                <w:color w:val="000000" w:themeColor="text1"/>
                <w:szCs w:val="21"/>
                <w:highlight w:val="none"/>
                <w:u w:val="none"/>
                <w:lang w:val="en-US" w:eastAsia="zh-CN"/>
                <w14:textFill>
                  <w14:solidFill>
                    <w14:schemeClr w14:val="tx1"/>
                  </w14:solidFill>
                </w14:textFill>
              </w:rPr>
              <w:t>年化费率0.02%</w:t>
            </w:r>
          </w:p>
          <w:p>
            <w:pPr>
              <w:numPr>
                <w:ilvl w:val="12"/>
                <w:numId w:val="0"/>
              </w:numPr>
              <w:rPr>
                <w:rFonts w:hint="eastAsia" w:ascii="楷体" w:hAnsi="楷体" w:eastAsia="楷体" w:cs="楷体"/>
                <w:b/>
                <w:bCs/>
                <w:szCs w:val="21"/>
              </w:rPr>
            </w:pPr>
            <w:r>
              <w:rPr>
                <w:rFonts w:hint="eastAsia" w:ascii="楷体" w:hAnsi="楷体" w:eastAsia="楷体" w:cs="楷体"/>
                <w:b/>
                <w:bCs/>
                <w:szCs w:val="21"/>
              </w:rPr>
              <w:t>（4）浮动投资管理费：</w:t>
            </w:r>
          </w:p>
          <w:p>
            <w:pPr>
              <w:widowControl/>
              <w:ind w:firstLine="420" w:firstLineChars="200"/>
              <w:jc w:val="left"/>
              <w:rPr>
                <w:rFonts w:hint="eastAsia" w:ascii="楷体" w:hAnsi="楷体" w:eastAsia="楷体" w:cs="楷体"/>
                <w:szCs w:val="21"/>
              </w:rPr>
            </w:pPr>
            <w:r>
              <w:rPr>
                <w:rFonts w:hint="eastAsia" w:ascii="楷体" w:hAnsi="楷体" w:eastAsia="楷体" w:cs="楷体"/>
                <w:szCs w:val="21"/>
              </w:rPr>
              <w:t>浮动投资管理费收取比例：【80.00%】</w:t>
            </w:r>
          </w:p>
          <w:p>
            <w:pPr>
              <w:spacing w:line="240" w:lineRule="auto"/>
              <w:ind w:firstLine="420"/>
              <w:rPr>
                <w:rFonts w:hint="eastAsia" w:ascii="楷体" w:hAnsi="楷体" w:eastAsia="楷体" w:cs="楷体"/>
                <w:szCs w:val="21"/>
              </w:rPr>
            </w:pPr>
            <w:r>
              <w:rPr>
                <w:rFonts w:hint="eastAsia" w:ascii="楷体" w:hAnsi="楷体" w:eastAsia="楷体" w:cs="楷体"/>
                <w:szCs w:val="21"/>
              </w:rPr>
              <w:t>浮动投资管理费：管理人将对自理财产品成立日至当日的产品年化收益率超过同期业绩比较基准的部分按照上述比例每日计提浮动投资管理费,并于理财产品实际到期日结算。每日计提的浮动投资管理费仅作为暂估数据，用于理财产品会计核算和估值日估值。仅以理财产品实际到期日当天确认计提的浮动投资管理费作为浮动投资管理费的结算依据。计算公式如下：</w:t>
            </w:r>
          </w:p>
          <w:p>
            <w:pPr>
              <w:spacing w:line="240" w:lineRule="auto"/>
              <w:ind w:firstLine="420"/>
              <w:rPr>
                <w:rFonts w:hint="eastAsia" w:ascii="楷体" w:hAnsi="楷体" w:eastAsia="楷体" w:cs="楷体"/>
                <w:szCs w:val="21"/>
              </w:rPr>
            </w:pPr>
            <w:r>
              <w:rPr>
                <w:rFonts w:hint="eastAsia" w:ascii="楷体" w:hAnsi="楷体" w:eastAsia="楷体" w:cs="楷体"/>
                <w:szCs w:val="21"/>
              </w:rPr>
              <w:t>年化收益率R=[（期末扣除固定费用后产品净资产）÷（期初产品净资产）-1]×365÷天数</w:t>
            </w:r>
          </w:p>
          <w:p>
            <w:pPr>
              <w:spacing w:line="240" w:lineRule="auto"/>
              <w:ind w:firstLine="420"/>
              <w:rPr>
                <w:rFonts w:hint="eastAsia" w:ascii="楷体" w:hAnsi="楷体" w:eastAsia="楷体" w:cs="楷体"/>
                <w:szCs w:val="21"/>
              </w:rPr>
            </w:pPr>
            <w:r>
              <w:rPr>
                <w:rFonts w:hint="eastAsia" w:ascii="楷体" w:hAnsi="楷体" w:eastAsia="楷体" w:cs="楷体"/>
                <w:szCs w:val="21"/>
              </w:rPr>
              <w:t>浮动投资管理费计算公式如下：</w:t>
            </w:r>
          </w:p>
          <w:tbl>
            <w:tblPr>
              <w:tblStyle w:val="11"/>
              <w:tblW w:w="5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4"/>
              <w:gridCol w:w="1361"/>
              <w:gridCol w:w="2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年化收益率（R）</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计提比例</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浮动投资管理费率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szCs w:val="21"/>
                    </w:rPr>
                    <w:t>【80.00%】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r>
                    <w:rPr>
                      <w:rFonts w:hint="eastAsia" w:ascii="楷体" w:hAnsi="楷体" w:eastAsia="楷体" w:cs="楷体"/>
                    </w:rPr>
                    <w:t>）×</w:t>
                  </w:r>
                  <w:r>
                    <w:rPr>
                      <w:rFonts w:hint="eastAsia" w:ascii="楷体" w:hAnsi="楷体" w:eastAsia="楷体" w:cs="楷体"/>
                      <w:szCs w:val="21"/>
                    </w:rPr>
                    <w:t>【80.00%】</w:t>
                  </w:r>
                </w:p>
              </w:tc>
            </w:tr>
          </w:tbl>
          <w:p>
            <w:pPr>
              <w:spacing w:line="240" w:lineRule="auto"/>
              <w:ind w:firstLine="420"/>
              <w:rPr>
                <w:rFonts w:hint="eastAsia" w:ascii="楷体" w:hAnsi="楷体" w:eastAsia="楷体" w:cs="楷体"/>
                <w:b w:val="0"/>
                <w:szCs w:val="21"/>
              </w:rPr>
            </w:pPr>
            <w:r>
              <w:rPr>
                <w:rFonts w:hint="eastAsia" w:ascii="楷体" w:hAnsi="楷体" w:eastAsia="楷体" w:cs="楷体"/>
                <w:szCs w:val="21"/>
              </w:rPr>
              <w:t>浮动投资管理费=期初产品净资产×浮动投资管理费率×期限÷365。</w:t>
            </w:r>
          </w:p>
          <w:p>
            <w:pPr>
              <w:widowControl/>
              <w:jc w:val="left"/>
              <w:rPr>
                <w:rFonts w:hint="eastAsia" w:ascii="楷体" w:hAnsi="楷体" w:eastAsia="楷体" w:cs="楷体"/>
                <w:b/>
                <w:bCs/>
                <w:szCs w:val="21"/>
              </w:rPr>
            </w:pPr>
            <w:r>
              <w:rPr>
                <w:rFonts w:hint="eastAsia" w:ascii="楷体" w:hAnsi="楷体" w:eastAsia="楷体" w:cs="楷体"/>
                <w:b/>
                <w:bCs/>
                <w:szCs w:val="21"/>
              </w:rPr>
              <w:t>2、认购费、赎回费：</w:t>
            </w:r>
          </w:p>
          <w:p>
            <w:pPr>
              <w:numPr>
                <w:ilvl w:val="12"/>
                <w:numId w:val="0"/>
              </w:numPr>
              <w:ind w:firstLine="420" w:firstLineChars="200"/>
              <w:rPr>
                <w:rFonts w:hint="eastAsia" w:ascii="楷体" w:hAnsi="楷体" w:eastAsia="楷体" w:cs="楷体"/>
                <w:szCs w:val="21"/>
              </w:rPr>
            </w:pPr>
            <w:r>
              <w:rPr>
                <w:rFonts w:hint="eastAsia" w:ascii="楷体" w:hAnsi="楷体" w:eastAsia="楷体" w:cs="楷体"/>
                <w:szCs w:val="21"/>
              </w:rPr>
              <w:t>投资者认购或赎回本理财产品时，需按约定支付认购费或赎回费（如有），认购费、赎回费不属于理财产品费用，不由理财产品承担，由投资者承担并于认购或赎回份额时一次性支付。</w:t>
            </w:r>
          </w:p>
          <w:p>
            <w:pPr>
              <w:numPr>
                <w:ilvl w:val="12"/>
                <w:numId w:val="0"/>
              </w:numPr>
              <w:rPr>
                <w:rFonts w:hint="eastAsia" w:ascii="楷体" w:hAnsi="楷体" w:eastAsia="楷体" w:cs="楷体"/>
                <w:szCs w:val="21"/>
              </w:rPr>
            </w:pPr>
            <w:r>
              <w:rPr>
                <w:rFonts w:hint="eastAsia" w:ascii="楷体" w:hAnsi="楷体" w:eastAsia="楷体" w:cs="楷体"/>
                <w:b/>
                <w:bCs/>
                <w:szCs w:val="21"/>
              </w:rPr>
              <w:t>（1）认购费：</w:t>
            </w:r>
            <w:r>
              <w:rPr>
                <w:rFonts w:hint="eastAsia" w:ascii="楷体" w:hAnsi="楷体" w:eastAsia="楷体" w:cs="楷体"/>
                <w:szCs w:val="21"/>
              </w:rPr>
              <w:t>【/】</w:t>
            </w:r>
          </w:p>
          <w:p>
            <w:pPr>
              <w:numPr>
                <w:ilvl w:val="12"/>
                <w:numId w:val="0"/>
              </w:numPr>
              <w:rPr>
                <w:rFonts w:hint="eastAsia" w:ascii="楷体" w:hAnsi="楷体" w:eastAsia="楷体" w:cs="楷体"/>
                <w:szCs w:val="21"/>
              </w:rPr>
            </w:pPr>
            <w:r>
              <w:rPr>
                <w:rFonts w:hint="eastAsia" w:ascii="楷体" w:hAnsi="楷体" w:eastAsia="楷体" w:cs="楷体"/>
                <w:b/>
                <w:bCs/>
                <w:szCs w:val="21"/>
              </w:rPr>
              <w:t>（</w:t>
            </w:r>
            <w:r>
              <w:rPr>
                <w:rFonts w:hint="eastAsia" w:ascii="楷体" w:hAnsi="楷体" w:eastAsia="楷体" w:cs="楷体"/>
                <w:b/>
                <w:bCs/>
                <w:szCs w:val="21"/>
                <w:lang w:val="en-US" w:eastAsia="zh-CN"/>
              </w:rPr>
              <w:t>2</w:t>
            </w:r>
            <w:r>
              <w:rPr>
                <w:rFonts w:hint="eastAsia" w:ascii="楷体" w:hAnsi="楷体" w:eastAsia="楷体" w:cs="楷体"/>
                <w:b/>
                <w:bCs/>
                <w:szCs w:val="21"/>
              </w:rPr>
              <w:t>）赎回费：</w:t>
            </w:r>
            <w:r>
              <w:rPr>
                <w:rFonts w:hint="eastAsia" w:ascii="楷体" w:hAnsi="楷体" w:eastAsia="楷体" w:cs="楷体"/>
                <w:szCs w:val="21"/>
              </w:rPr>
              <w:t>【/】</w:t>
            </w:r>
          </w:p>
          <w:p>
            <w:pPr>
              <w:numPr>
                <w:ilvl w:val="12"/>
                <w:numId w:val="0"/>
              </w:numPr>
              <w:rPr>
                <w:rFonts w:hint="eastAsia" w:ascii="楷体" w:hAnsi="楷体" w:eastAsia="楷体" w:cs="楷体"/>
                <w:b/>
                <w:bCs/>
                <w:color w:val="000000"/>
                <w:szCs w:val="21"/>
              </w:rPr>
            </w:pPr>
            <w:r>
              <w:rPr>
                <w:rFonts w:hint="eastAsia" w:ascii="楷体" w:hAnsi="楷体" w:eastAsia="楷体" w:cs="楷体"/>
                <w:szCs w:val="21"/>
              </w:rPr>
              <w:t>3、上银理财有权根据相关法律和国家政策规定调整产品费率，调整产品费率的公告将通过《产品说明书》</w:t>
            </w:r>
            <w:r>
              <w:rPr>
                <w:rFonts w:hint="eastAsia" w:ascii="楷体" w:hAnsi="楷体" w:eastAsia="楷体" w:cs="楷体"/>
              </w:rPr>
              <w:t>“信息披露”约定的方式向投资者披露</w:t>
            </w:r>
            <w:r>
              <w:rPr>
                <w:rFonts w:hint="eastAsia" w:ascii="楷体" w:hAnsi="楷体" w:eastAsia="楷体" w:cs="楷体"/>
                <w:szCs w:val="21"/>
              </w:rPr>
              <w:t>。投资者若不接受，可根据实际情况按照公告约定提前赎回本理财产品。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本金及理财收益</w:t>
            </w:r>
          </w:p>
        </w:tc>
        <w:tc>
          <w:tcPr>
            <w:tcW w:w="6146" w:type="dxa"/>
          </w:tcPr>
          <w:p>
            <w:pPr>
              <w:numPr>
                <w:ilvl w:val="12"/>
                <w:numId w:val="0"/>
              </w:numPr>
              <w:rPr>
                <w:rFonts w:hint="eastAsia" w:ascii="楷体" w:hAnsi="楷体" w:eastAsia="楷体" w:cs="楷体"/>
                <w:b/>
                <w:bCs/>
                <w:szCs w:val="21"/>
              </w:rPr>
            </w:pPr>
            <w:r>
              <w:rPr>
                <w:rFonts w:hint="eastAsia" w:ascii="楷体" w:hAnsi="楷体" w:eastAsia="楷体" w:cs="楷体"/>
                <w:szCs w:val="21"/>
              </w:rPr>
              <w:t>本理财产品不保障本金和收益，详见《产品说明书》</w:t>
            </w:r>
            <w:r>
              <w:rPr>
                <w:rFonts w:hint="eastAsia" w:ascii="楷体" w:hAnsi="楷体" w:eastAsia="楷体" w:cs="楷体"/>
                <w:b/>
                <w:bCs/>
                <w:szCs w:val="21"/>
              </w:rPr>
              <w:t>“产品的收益、费用及税费”。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4" w:hRule="atLeast"/>
        </w:trPr>
        <w:tc>
          <w:tcPr>
            <w:tcW w:w="2376" w:type="dxa"/>
            <w:vAlign w:val="center"/>
          </w:tcPr>
          <w:p>
            <w:pPr>
              <w:rPr>
                <w:rFonts w:hint="eastAsia" w:ascii="楷体" w:hAnsi="楷体" w:eastAsia="楷体" w:cs="楷体"/>
                <w:b/>
                <w:bCs/>
              </w:rPr>
            </w:pPr>
            <w:r>
              <w:rPr>
                <w:rFonts w:hint="eastAsia" w:ascii="楷体" w:hAnsi="楷体" w:eastAsia="楷体" w:cs="楷体"/>
                <w:b/>
                <w:bCs/>
              </w:rPr>
              <w:t>收益计算基础</w:t>
            </w:r>
          </w:p>
        </w:tc>
        <w:tc>
          <w:tcPr>
            <w:tcW w:w="6146" w:type="dxa"/>
          </w:tcPr>
          <w:p>
            <w:pPr>
              <w:numPr>
                <w:ilvl w:val="12"/>
                <w:numId w:val="0"/>
              </w:numPr>
              <w:rPr>
                <w:rFonts w:hint="eastAsia" w:ascii="楷体" w:hAnsi="楷体" w:eastAsia="楷体" w:cs="楷体"/>
                <w:szCs w:val="21"/>
              </w:rPr>
            </w:pPr>
            <w:r>
              <w:rPr>
                <w:rFonts w:hint="eastAsia" w:ascii="楷体" w:hAnsi="楷体" w:eastAsia="楷体" w:cs="楷体"/>
                <w:szCs w:val="21"/>
              </w:rPr>
              <w:t>365天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其他税费</w:t>
            </w:r>
          </w:p>
        </w:tc>
        <w:tc>
          <w:tcPr>
            <w:tcW w:w="6146" w:type="dxa"/>
          </w:tcPr>
          <w:p>
            <w:pPr>
              <w:rPr>
                <w:rFonts w:hint="eastAsia" w:ascii="楷体" w:hAnsi="楷体" w:eastAsia="楷体" w:cs="楷体"/>
                <w:szCs w:val="21"/>
              </w:rPr>
            </w:pPr>
            <w:r>
              <w:rPr>
                <w:rFonts w:hint="eastAsia" w:ascii="楷体" w:hAnsi="楷体" w:eastAsia="楷体" w:cs="楷体"/>
              </w:rPr>
              <w:t>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理财产品管理人</w:t>
            </w:r>
          </w:p>
        </w:tc>
        <w:tc>
          <w:tcPr>
            <w:tcW w:w="6146" w:type="dxa"/>
          </w:tcPr>
          <w:p>
            <w:pPr>
              <w:rPr>
                <w:rFonts w:hint="eastAsia" w:ascii="楷体" w:hAnsi="楷体" w:eastAsia="楷体" w:cs="楷体"/>
                <w:szCs w:val="21"/>
              </w:rPr>
            </w:pPr>
            <w:r>
              <w:rPr>
                <w:rFonts w:hint="eastAsia" w:ascii="楷体" w:hAnsi="楷体" w:eastAsia="楷体" w:cs="楷体"/>
              </w:rPr>
              <w:t>上银理财有限责任公司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理财产品托管人</w:t>
            </w:r>
          </w:p>
        </w:tc>
        <w:tc>
          <w:tcPr>
            <w:tcW w:w="6146" w:type="dxa"/>
          </w:tcPr>
          <w:p>
            <w:pPr>
              <w:rPr>
                <w:rFonts w:hint="eastAsia" w:ascii="楷体" w:hAnsi="楷体" w:eastAsia="楷体" w:cs="楷体"/>
                <w:szCs w:val="21"/>
              </w:rPr>
            </w:pPr>
            <w:r>
              <w:rPr>
                <w:rFonts w:hint="eastAsia" w:ascii="楷体" w:hAnsi="楷体" w:eastAsia="楷体" w:cs="楷体"/>
              </w:rPr>
              <w:t>【上海银行股份有限公司】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szCs w:val="21"/>
              </w:rPr>
              <w:t>销售机构</w:t>
            </w:r>
          </w:p>
        </w:tc>
        <w:tc>
          <w:tcPr>
            <w:tcW w:w="6146" w:type="dxa"/>
          </w:tcPr>
          <w:p>
            <w:pPr>
              <w:rPr>
                <w:rFonts w:hint="eastAsia" w:ascii="楷体" w:hAnsi="楷体" w:eastAsia="楷体" w:cs="楷体"/>
                <w:szCs w:val="21"/>
              </w:rPr>
            </w:pPr>
            <w:r>
              <w:rPr>
                <w:rFonts w:hint="eastAsia" w:ascii="楷体" w:hAnsi="楷体" w:eastAsia="楷体" w:cs="楷体"/>
                <w:szCs w:val="21"/>
              </w:rPr>
              <w:t>【浙江杭州余杭农村商业银行股份有限公司、浙江桐庐农村商业银行股份有限公司】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szCs w:val="21"/>
              </w:rPr>
              <w:t>其他规定</w:t>
            </w:r>
          </w:p>
        </w:tc>
        <w:tc>
          <w:tcPr>
            <w:tcW w:w="6146" w:type="dxa"/>
            <w:vAlign w:val="center"/>
          </w:tcPr>
          <w:p>
            <w:pPr>
              <w:rPr>
                <w:rFonts w:hint="eastAsia" w:ascii="楷体" w:hAnsi="楷体" w:eastAsia="楷体" w:cs="楷体"/>
                <w:szCs w:val="21"/>
              </w:rPr>
            </w:pPr>
            <w:r>
              <w:rPr>
                <w:rFonts w:hint="eastAsia" w:ascii="楷体" w:hAnsi="楷体" w:eastAsia="楷体" w:cs="楷体"/>
                <w:b w:val="0"/>
                <w:bCs w:val="0"/>
                <w:highlight w:val="none"/>
                <w:u w:val="none"/>
              </w:rPr>
              <w:t>投资者在募集期内认购本理财产品被受理后，销售机构有权冻结或预扣认购款项，冻结或预扣期间管理人不向投资者计付利息，销售机构是否计付利息以销售机构计息规则为准</w:t>
            </w:r>
            <w:r>
              <w:rPr>
                <w:rFonts w:hint="eastAsia" w:ascii="楷体" w:hAnsi="楷体" w:eastAsia="楷体" w:cs="楷体"/>
                <w:b w:val="0"/>
                <w:bCs w:val="0"/>
                <w:highlight w:val="none"/>
                <w:u w:val="none"/>
                <w:lang w:eastAsia="zh-CN"/>
              </w:rPr>
              <w:t>，</w:t>
            </w:r>
            <w:r>
              <w:rPr>
                <w:rFonts w:hint="eastAsia" w:ascii="楷体" w:hAnsi="楷体" w:eastAsia="楷体" w:cs="楷体"/>
                <w:b w:val="0"/>
                <w:bCs w:val="0"/>
                <w:highlight w:val="none"/>
                <w:u w:val="none"/>
              </w:rPr>
              <w:t>利息部分不计入认购本金</w:t>
            </w:r>
            <w:r>
              <w:rPr>
                <w:rFonts w:hint="eastAsia" w:ascii="楷体" w:hAnsi="楷体" w:eastAsia="楷体" w:cs="楷体"/>
                <w:b w:val="0"/>
                <w:bCs w:val="0"/>
                <w:highlight w:val="none"/>
                <w:u w:val="none"/>
                <w:lang w:eastAsia="zh-CN"/>
              </w:rPr>
              <w:t>。</w:t>
            </w:r>
          </w:p>
        </w:tc>
      </w:tr>
    </w:tbl>
    <w:p>
      <w:pPr>
        <w:rPr>
          <w:rFonts w:hint="eastAsia" w:ascii="楷体" w:hAnsi="楷体" w:eastAsia="楷体" w:cs="楷体"/>
        </w:rPr>
      </w:pPr>
    </w:p>
    <w:p>
      <w:pPr>
        <w:pStyle w:val="2"/>
        <w:widowControl/>
        <w:spacing w:before="120" w:after="120" w:line="240" w:lineRule="auto"/>
        <w:jc w:val="left"/>
        <w:rPr>
          <w:rFonts w:hint="eastAsia" w:ascii="楷体" w:hAnsi="楷体" w:eastAsia="楷体" w:cs="楷体"/>
          <w:sz w:val="28"/>
          <w:szCs w:val="28"/>
        </w:rPr>
      </w:pPr>
      <w:bookmarkStart w:id="7" w:name="_Toc98680958"/>
      <w:r>
        <w:rPr>
          <w:rFonts w:hint="eastAsia" w:ascii="楷体" w:hAnsi="楷体" w:eastAsia="楷体" w:cs="楷体"/>
          <w:bCs w:val="0"/>
          <w:sz w:val="28"/>
          <w:szCs w:val="28"/>
        </w:rPr>
        <w:t>四、</w:t>
      </w:r>
      <w:bookmarkEnd w:id="7"/>
      <w:r>
        <w:rPr>
          <w:rFonts w:hint="eastAsia" w:ascii="楷体" w:hAnsi="楷体" w:eastAsia="楷体" w:cs="楷体"/>
          <w:sz w:val="28"/>
          <w:szCs w:val="28"/>
        </w:rPr>
        <w:t>投资目标、范围和比例</w:t>
      </w:r>
      <w:bookmarkStart w:id="8" w:name="_Toc98680959"/>
    </w:p>
    <w:p>
      <w:pPr>
        <w:pStyle w:val="3"/>
        <w:keepNext w:val="0"/>
        <w:keepLines w:val="0"/>
        <w:widowControl/>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（一）投资目标</w:t>
      </w:r>
    </w:p>
    <w:p>
      <w:pPr>
        <w:pStyle w:val="3"/>
        <w:keepNext w:val="0"/>
        <w:keepLines w:val="0"/>
        <w:widowControl/>
        <w:spacing w:before="0" w:after="0" w:line="360" w:lineRule="auto"/>
        <w:ind w:firstLine="420" w:firstLineChars="200"/>
        <w:rPr>
          <w:rFonts w:hint="eastAsia" w:ascii="楷体" w:hAnsi="楷体" w:eastAsia="楷体" w:cs="楷体"/>
          <w:b w:val="0"/>
          <w:bCs w:val="0"/>
          <w:sz w:val="21"/>
        </w:rPr>
      </w:pPr>
      <w:r>
        <w:rPr>
          <w:rFonts w:hint="eastAsia" w:ascii="楷体" w:hAnsi="楷体" w:eastAsia="楷体" w:cs="楷体"/>
          <w:b w:val="0"/>
          <w:bCs w:val="0"/>
          <w:sz w:val="21"/>
        </w:rPr>
        <w:t>本理财产品是以服务客户财富储备增值或针对老年人提供金融服务为目的发起设立的产品，主要投资于固定收益类资产，包括货币市场工具、债券、非标准化债权资产等。本理财产品将结合宏观经济走势、利率走势的判断，加强信用风险把控，做好固定收益类资产的配置，通过稳健的投资策略，力争为投资者创造资产的稳健增值。</w:t>
      </w:r>
    </w:p>
    <w:p>
      <w:pPr>
        <w:pStyle w:val="3"/>
        <w:keepNext w:val="0"/>
        <w:keepLines w:val="0"/>
        <w:widowControl/>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（二）投资范围</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产品管理人以发行本理财产品所募集的资金，</w:t>
      </w:r>
      <w:r>
        <w:rPr>
          <w:rFonts w:hint="eastAsia" w:ascii="楷体" w:hAnsi="楷体" w:eastAsia="楷体" w:cs="楷体"/>
          <w:szCs w:val="21"/>
          <w:u w:val="none"/>
          <w:lang w:val="en-US" w:eastAsia="zh-CN"/>
        </w:rPr>
        <w:t>直接或通过资产管理产品</w:t>
      </w:r>
      <w:r>
        <w:rPr>
          <w:rFonts w:hint="eastAsia" w:ascii="楷体" w:hAnsi="楷体" w:eastAsia="楷体" w:cs="楷体"/>
          <w:szCs w:val="21"/>
        </w:rPr>
        <w:t>投资于各类资产，包括但不限于：</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1. </w:t>
      </w:r>
      <w:r>
        <w:rPr>
          <w:rFonts w:hint="eastAsia" w:ascii="楷体" w:hAnsi="楷体" w:eastAsia="楷体" w:cs="楷体"/>
          <w:szCs w:val="21"/>
          <w:u w:val="none"/>
        </w:rPr>
        <w:t>固定收益类资产</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货币市场工具：现金、银行存款、大额存单、资金拆借、债券回购、货币基金等。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标准化债权资产：国债、央票、企业债、金融债、政策性金融债、同业存单、次级债、资产支持证券、地方政府债、中期票据、短期融资券、超短期融资券、公司债、私募债、债权性质的永续债、资本补充债券、可转换债券、可交换债券、非公开定向债务融资工具(PPN)、二级资本债、债券型基金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非标准化债权资产：信托贷款、信贷资产转让、收受益权、委托债权、应收账款、债权融资类产品、同业借款、收益凭证、债权投资计划和资产支持计划、信贷资产流转和收益权转让产品、其他非标准化债权类投资，以及监管部门认可的其他金融投资工具。</w:t>
      </w:r>
    </w:p>
    <w:p>
      <w:pPr>
        <w:numPr>
          <w:ilvl w:val="12"/>
          <w:numId w:val="0"/>
        </w:numPr>
        <w:spacing w:line="360" w:lineRule="auto"/>
        <w:ind w:firstLine="420" w:firstLineChars="200"/>
        <w:contextualSpacing/>
        <w:rPr>
          <w:rFonts w:hint="eastAsia" w:ascii="楷体_GB2312" w:hAnsi="宋体" w:eastAsia="楷体_GB2312" w:cstheme="minorBidi"/>
          <w:szCs w:val="21"/>
          <w:highlight w:val="none"/>
          <w:u w:val="none"/>
        </w:rPr>
      </w:pPr>
      <w:r>
        <w:rPr>
          <w:rFonts w:hint="eastAsia" w:ascii="楷体" w:hAnsi="楷体" w:eastAsia="楷体" w:cs="楷体"/>
          <w:szCs w:val="21"/>
          <w:lang w:val="en-US" w:eastAsia="zh-CN"/>
        </w:rPr>
        <w:t xml:space="preserve">2. </w:t>
      </w:r>
      <w:r>
        <w:rPr>
          <w:rFonts w:hint="eastAsia" w:ascii="楷体_GB2312" w:hAnsi="宋体" w:eastAsia="楷体_GB2312" w:cstheme="minorBidi"/>
          <w:szCs w:val="21"/>
          <w:highlight w:val="none"/>
          <w:u w:val="none"/>
        </w:rPr>
        <w:t>商品及金融衍生品类资产</w:t>
      </w:r>
    </w:p>
    <w:p>
      <w:pPr>
        <w:numPr>
          <w:ilvl w:val="12"/>
          <w:numId w:val="0"/>
        </w:numPr>
        <w:spacing w:line="360" w:lineRule="auto"/>
        <w:ind w:firstLine="420" w:firstLineChars="200"/>
        <w:contextualSpacing/>
        <w:rPr>
          <w:rFonts w:hint="eastAsia" w:ascii="楷体_GB2312" w:hAnsi="宋体" w:eastAsia="楷体_GB2312" w:cstheme="minorBidi"/>
          <w:szCs w:val="21"/>
          <w:highlight w:val="none"/>
          <w:u w:val="none"/>
        </w:rPr>
      </w:pPr>
      <w:r>
        <w:rPr>
          <w:rFonts w:hint="eastAsia" w:ascii="楷体_GB2312" w:hAnsi="宋体" w:eastAsia="楷体_GB2312" w:cstheme="minorBidi"/>
          <w:szCs w:val="21"/>
          <w:highlight w:val="none"/>
          <w:u w:val="none"/>
        </w:rPr>
        <w:t>商品型基金、商品现货、商品期货、股指期货、国债期货、外汇期货、利率互换、收益互换、远期、掉期、期权、信用风险缓释工具、信用保护工具、债券借贷等各类衍生工具等。</w:t>
      </w:r>
    </w:p>
    <w:p>
      <w:pPr>
        <w:numPr>
          <w:ilvl w:val="12"/>
          <w:numId w:val="0"/>
        </w:numPr>
        <w:spacing w:line="360" w:lineRule="auto"/>
        <w:ind w:firstLine="420" w:firstLineChars="200"/>
        <w:contextualSpacing/>
        <w:rPr>
          <w:rFonts w:hint="eastAsia" w:ascii="楷体" w:hAnsi="楷体" w:eastAsia="楷体" w:cs="楷体"/>
          <w:szCs w:val="21"/>
          <w:lang w:val="en-US" w:eastAsia="zh-CN"/>
        </w:rPr>
      </w:pPr>
      <w:r>
        <w:rPr>
          <w:rFonts w:hint="eastAsia" w:ascii="楷体" w:hAnsi="楷体" w:eastAsia="楷体" w:cs="楷体"/>
          <w:szCs w:val="21"/>
          <w:lang w:val="en-US" w:eastAsia="zh-CN"/>
        </w:rPr>
        <w:t>3</w:t>
      </w:r>
      <w:r>
        <w:rPr>
          <w:rFonts w:hint="eastAsia" w:ascii="楷体" w:hAnsi="楷体" w:eastAsia="楷体" w:cs="楷体"/>
          <w:szCs w:val="21"/>
        </w:rPr>
        <w:t>.</w:t>
      </w:r>
      <w:r>
        <w:rPr>
          <w:rFonts w:hint="eastAsia" w:ascii="楷体" w:hAnsi="楷体" w:eastAsia="楷体" w:cs="楷体"/>
          <w:szCs w:val="21"/>
          <w:lang w:val="en-US" w:eastAsia="zh-CN"/>
        </w:rPr>
        <w:t xml:space="preserve"> </w:t>
      </w:r>
      <w:r>
        <w:rPr>
          <w:rFonts w:hint="eastAsia" w:ascii="楷体" w:hAnsi="楷体" w:eastAsia="楷体" w:cs="楷体"/>
          <w:szCs w:val="21"/>
        </w:rPr>
        <w:t>其它</w:t>
      </w:r>
      <w:r>
        <w:rPr>
          <w:rFonts w:hint="eastAsia" w:ascii="楷体" w:hAnsi="楷体" w:eastAsia="楷体" w:cs="楷体"/>
          <w:szCs w:val="21"/>
          <w:lang w:val="en-US" w:eastAsia="zh-CN"/>
        </w:rPr>
        <w:t>资产</w:t>
      </w:r>
    </w:p>
    <w:p>
      <w:pPr>
        <w:numPr>
          <w:ilvl w:val="0"/>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优先股、权益性质的永续债等。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u w:val="none"/>
          <w:lang w:val="en-US" w:eastAsia="zh-CN"/>
        </w:rPr>
        <w:t>注：</w:t>
      </w:r>
      <w:r>
        <w:rPr>
          <w:rFonts w:hint="eastAsia" w:ascii="楷体_GB2312" w:hAnsi="宋体" w:eastAsia="楷体_GB2312" w:cstheme="minorBidi"/>
          <w:b/>
          <w:bCs/>
          <w:szCs w:val="21"/>
          <w:u w:val="none"/>
          <w:lang w:val="en-US" w:eastAsia="zh-CN"/>
        </w:rPr>
        <w:t>理财产品投资于金融衍生品类资产前，需先获得相应的交易资格，</w:t>
      </w:r>
      <w:r>
        <w:rPr>
          <w:rFonts w:hint="eastAsia" w:ascii="楷体_GB2312" w:hAnsi="宋体" w:eastAsia="楷体_GB2312" w:cstheme="minorBidi"/>
          <w:b/>
          <w:bCs/>
          <w:szCs w:val="21"/>
          <w:highlight w:val="none"/>
          <w:u w:val="none"/>
          <w:lang w:val="en-US" w:eastAsia="zh-CN"/>
        </w:rPr>
        <w:t>根据获取资格类型开展相应的</w:t>
      </w:r>
      <w:r>
        <w:rPr>
          <w:rFonts w:hint="eastAsia" w:ascii="楷体_GB2312" w:hAnsi="宋体" w:eastAsia="楷体_GB2312" w:cstheme="minorBidi"/>
          <w:b/>
          <w:bCs/>
          <w:szCs w:val="21"/>
          <w:highlight w:val="none"/>
          <w:u w:val="none"/>
          <w:lang w:eastAsia="zh-CN"/>
        </w:rPr>
        <w:t>衍生品交易</w:t>
      </w:r>
      <w:r>
        <w:rPr>
          <w:rFonts w:hint="eastAsia" w:ascii="楷体_GB2312" w:hAnsi="宋体" w:eastAsia="楷体_GB2312" w:cstheme="minorBidi"/>
          <w:b w:val="0"/>
          <w:bCs w:val="0"/>
          <w:szCs w:val="21"/>
          <w:u w:val="none"/>
          <w:lang w:val="en-US" w:eastAsia="zh-CN"/>
        </w:rPr>
        <w:t>；</w:t>
      </w:r>
      <w:r>
        <w:rPr>
          <w:rFonts w:hint="eastAsia" w:ascii="楷体" w:hAnsi="楷体" w:eastAsia="楷体" w:cs="楷体"/>
          <w:szCs w:val="21"/>
        </w:rPr>
        <w:t>资产管理产品包括但不限于信托计划、证券公司及其资产管理公司资产管理计划、基金公司资产管理计划、保险资产管理公司投资计划</w:t>
      </w:r>
      <w:r>
        <w:rPr>
          <w:rFonts w:hint="eastAsia" w:ascii="楷体_GB2312" w:hAnsi="宋体" w:eastAsia="楷体_GB2312" w:cstheme="minorBidi"/>
          <w:szCs w:val="21"/>
          <w:u w:val="none"/>
        </w:rPr>
        <w:t>、期货公司资产管理计划等</w:t>
      </w:r>
      <w:r>
        <w:rPr>
          <w:rFonts w:hint="eastAsia" w:ascii="楷体" w:hAnsi="楷体" w:eastAsia="楷体" w:cs="楷体"/>
          <w:szCs w:val="21"/>
        </w:rPr>
        <w:t>。</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如存在法律法规或监管机构以后允许投资的其他品种，管理人在履行适当程序后，可以将其纳入投资范围。相关法律法规和监管部门对以上资产分类有另行规定的，管理人将按照监管最新规定执行并将以“信息披露”约定的形式向投资者告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在遵守相关法律法规、监管规则及本《产品说明书》约定，避免不公平交易、利益输送等违法违规行为的前提下，投资者知晓并同意本理财产品的投资对象可能包括理财产品管理人/托管人及其关联方或重大利害关系人发行、承销、管理的符合本理财产品投资范围规定的投资品种。</w:t>
      </w:r>
      <w:r>
        <w:rPr>
          <w:rFonts w:hint="eastAsia" w:ascii="楷体" w:hAnsi="楷体" w:eastAsia="楷体" w:cs="楷体"/>
          <w:b/>
          <w:szCs w:val="21"/>
        </w:rPr>
        <w:t>本理财产品可能与理财产品管理人/托管人及其关联方管理的投资组合之间互为交易对手或从事其他类型的关联交易。</w:t>
      </w:r>
      <w:r>
        <w:rPr>
          <w:rFonts w:hint="eastAsia" w:ascii="楷体" w:hAnsi="楷体" w:eastAsia="楷体" w:cs="楷体"/>
          <w:b/>
          <w:bCs/>
          <w:szCs w:val="21"/>
        </w:rPr>
        <w:t>本产品实际发生的关联交易（无论是否在上述列举范围内）以管理人按照相关法律法规、规章和监管规定进行的相关披露为准。</w:t>
      </w:r>
    </w:p>
    <w:p>
      <w:pPr>
        <w:pStyle w:val="3"/>
        <w:keepNext w:val="0"/>
        <w:keepLines w:val="0"/>
        <w:widowControl/>
        <w:spacing w:before="0" w:after="0" w:line="360" w:lineRule="auto"/>
        <w:ind w:firstLine="422" w:firstLineChars="200"/>
        <w:rPr>
          <w:rFonts w:ascii="楷体" w:hAnsi="楷体" w:eastAsia="楷体"/>
          <w:color w:val="000000"/>
          <w:sz w:val="21"/>
        </w:rPr>
      </w:pPr>
      <w:r>
        <w:rPr>
          <w:rFonts w:hint="eastAsia" w:ascii="楷体" w:hAnsi="楷体" w:eastAsia="楷体"/>
          <w:color w:val="000000"/>
          <w:sz w:val="21"/>
        </w:rPr>
        <w:t>（三）</w:t>
      </w:r>
      <w:r>
        <w:rPr>
          <w:rFonts w:ascii="楷体" w:hAnsi="楷体" w:eastAsia="楷体"/>
          <w:color w:val="000000"/>
          <w:sz w:val="21"/>
        </w:rPr>
        <w:t>投资比例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各投资品种的计划配置比例如下：</w:t>
      </w:r>
    </w:p>
    <w:tbl>
      <w:tblPr>
        <w:tblStyle w:val="11"/>
        <w:tblW w:w="7796"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2639"/>
        <w:gridCol w:w="5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0" w:hRule="atLeast"/>
        </w:trPr>
        <w:tc>
          <w:tcPr>
            <w:tcW w:w="2639"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投资品种  </w:t>
            </w:r>
          </w:p>
        </w:tc>
        <w:tc>
          <w:tcPr>
            <w:tcW w:w="5157"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计划配置比例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639"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固定收益类资产</w:t>
            </w:r>
          </w:p>
        </w:tc>
        <w:tc>
          <w:tcPr>
            <w:tcW w:w="5157"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不低于80%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639"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highlight w:val="none"/>
                <w:u w:val="none"/>
              </w:rPr>
              <w:t>商品及金融衍生品类资产</w:t>
            </w:r>
            <w:r>
              <w:rPr>
                <w:rFonts w:hint="eastAsia" w:ascii="楷体" w:hAnsi="楷体" w:eastAsia="楷体" w:cs="楷体"/>
                <w:b/>
                <w:bCs/>
                <w:kern w:val="2"/>
                <w:sz w:val="21"/>
                <w:szCs w:val="21"/>
                <w:highlight w:val="none"/>
                <w:u w:val="none"/>
                <w:lang w:eastAsia="zh-CN"/>
              </w:rPr>
              <w:t>、</w:t>
            </w:r>
            <w:r>
              <w:rPr>
                <w:rFonts w:hint="eastAsia" w:ascii="楷体" w:hAnsi="楷体" w:eastAsia="楷体" w:cs="楷体"/>
                <w:b/>
                <w:bCs/>
                <w:kern w:val="2"/>
                <w:sz w:val="21"/>
                <w:szCs w:val="21"/>
              </w:rPr>
              <w:t>其它资产</w:t>
            </w:r>
            <w:r>
              <w:rPr>
                <w:rFonts w:hint="eastAsia" w:ascii="楷体" w:hAnsi="楷体" w:eastAsia="楷体" w:cs="楷体"/>
                <w:b/>
                <w:bCs/>
                <w:kern w:val="2"/>
                <w:sz w:val="21"/>
                <w:szCs w:val="21"/>
                <w:lang w:val="en-US" w:eastAsia="zh-CN"/>
              </w:rPr>
              <w:t>合计</w:t>
            </w:r>
          </w:p>
        </w:tc>
        <w:tc>
          <w:tcPr>
            <w:tcW w:w="5157"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不高于20%</w:t>
            </w:r>
          </w:p>
        </w:tc>
      </w:tr>
    </w:tbl>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注：理财产品投资于金融衍生品类资产前，需先获得相应的交易资格，根据获取资格类型开展相应的衍生品交易。本产品可能投资不存在活跃交易市场，并且需要采用估值技术确定公允价值的资产，且投资上述资产的比例达到理财产品净资产50%以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相关法律法规和监管部门对以上投资范围和配置比例有另行规定的，按照监管最新规定执行。如监管对投资比例无其他明确规定和要求的，由产品管理人与托管人协商确定计算方法。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管理人应当自理财产品成立日起三个月内使理财产品的投资组合比例符合约定。非因管理人主观因素导致突破前述比例限制的，管理人将尽力在流动性受限资产可出售、可转让或者恢复交易的15个交易日内调整至符合相关要求。</w:t>
      </w:r>
    </w:p>
    <w:p>
      <w:pPr>
        <w:pStyle w:val="3"/>
        <w:keepNext w:val="0"/>
        <w:keepLines w:val="0"/>
        <w:widowControl/>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（四）投资策略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通过综合分析宏观经济走势、财政与货币政策、利率波动与趋势、利率期限结构、信用风险和利差变化等因素，在符合产品投资范围和投资比例的前提下，综合考虑各类投资品种的收益性、流动性和风险特征，力争获得高于业绩比较基准的投资回报。</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1.大类资产配置</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从宏观环境、政策因素、资金供求因素、证券市场基本面等角度进行综合分析，判断各类资产的市场趋势和预期风险收益，在严格控制风险的前提下，确定投资组合在债券、股票、基金、现金等资产类别的投资比例，并根据宏观经济形势和市场时机的变化适时进行动态调整。</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2</w:t>
      </w:r>
      <w:r>
        <w:rPr>
          <w:rFonts w:hint="eastAsia" w:ascii="楷体" w:hAnsi="楷体" w:eastAsia="楷体" w:cs="楷体"/>
          <w:szCs w:val="21"/>
          <w:lang w:eastAsia="zh-CN"/>
        </w:rPr>
        <w:t>.</w:t>
      </w:r>
      <w:r>
        <w:rPr>
          <w:rFonts w:hint="eastAsia" w:ascii="楷体" w:hAnsi="楷体" w:eastAsia="楷体" w:cs="楷体"/>
          <w:szCs w:val="21"/>
        </w:rPr>
        <w:t>利率预期策略与组合久期管理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通过对宏观经济走势的研究，对市场利率波动与趋势做出预期和判断，并在综合考虑组合流动性的前提下，调整组合的资产配置久期。</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3</w:t>
      </w:r>
      <w:r>
        <w:rPr>
          <w:rFonts w:hint="eastAsia" w:ascii="楷体" w:hAnsi="楷体" w:eastAsia="楷体" w:cs="楷体"/>
          <w:szCs w:val="21"/>
          <w:lang w:eastAsia="zh-CN"/>
        </w:rPr>
        <w:t>.</w:t>
      </w:r>
      <w:r>
        <w:rPr>
          <w:rFonts w:hint="eastAsia" w:ascii="楷体" w:hAnsi="楷体" w:eastAsia="楷体" w:cs="楷体"/>
          <w:szCs w:val="21"/>
        </w:rPr>
        <w:t>交易策略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根据对市场利率波动与趋势的判断选取高流动性的金融工具进行波段交易，以期获得交易性收益。</w:t>
      </w:r>
    </w:p>
    <w:p>
      <w:pPr>
        <w:pStyle w:val="3"/>
        <w:keepNext w:val="0"/>
        <w:keepLines w:val="0"/>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w:t>
      </w:r>
      <w:r>
        <w:rPr>
          <w:rFonts w:hint="eastAsia" w:ascii="楷体" w:hAnsi="楷体" w:eastAsia="楷体" w:cs="楷体"/>
          <w:sz w:val="21"/>
        </w:rPr>
        <w:t>五</w:t>
      </w:r>
      <w:r>
        <w:rPr>
          <w:rFonts w:hint="eastAsia" w:ascii="楷体" w:hAnsi="楷体" w:eastAsia="楷体" w:cs="楷体"/>
          <w:color w:val="000000"/>
          <w:sz w:val="21"/>
        </w:rPr>
        <w:t>）</w:t>
      </w:r>
      <w:r>
        <w:rPr>
          <w:rFonts w:hint="eastAsia" w:ascii="楷体" w:hAnsi="楷体" w:eastAsia="楷体" w:cs="楷体"/>
          <w:sz w:val="21"/>
        </w:rPr>
        <w:t>投资限制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1.对本产品的投资限制如下：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（1）本理财产品投资于单只证券、单只公募证券投资基金的市值不超过本产品净资产的10%。</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（2）管理人发行的全部公募理财产品投资单只证券或者单只公募证券投资基金的市值不得超过该证券市值或者公募证券投资基金市值的30%。</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非因管理人主观因素致使不符合前述比例限制的，管理人将在流动性受限资产可出售、可转让或者恢复交易的10个交易日内调整至符合相关要求。</w:t>
      </w:r>
    </w:p>
    <w:p>
      <w:pPr>
        <w:numPr>
          <w:ilvl w:val="12"/>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2.本理财产品总资产/理财产品净资产不超过200%（如监管有最新规定的参照监管规定调整）。</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3.本产品不得直接或间接投资于未上市企业股权及其受（收）益权。</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4.相关法律法规和监管部门对以上投资范围和配置比例有另行规定的，按照监管最新规定执行。</w:t>
      </w:r>
    </w:p>
    <w:p>
      <w:pPr>
        <w:pStyle w:val="2"/>
        <w:spacing w:before="120" w:after="120" w:line="240" w:lineRule="auto"/>
        <w:rPr>
          <w:rFonts w:ascii="楷体" w:hAnsi="楷体" w:eastAsia="楷体"/>
          <w:sz w:val="28"/>
          <w:szCs w:val="28"/>
        </w:rPr>
      </w:pPr>
      <w:r>
        <w:rPr>
          <w:rFonts w:hint="eastAsia" w:ascii="楷体" w:hAnsi="楷体" w:eastAsia="楷体"/>
          <w:sz w:val="28"/>
          <w:szCs w:val="28"/>
        </w:rPr>
        <w:t>五</w:t>
      </w:r>
      <w:r>
        <w:rPr>
          <w:rFonts w:ascii="楷体" w:hAnsi="楷体" w:eastAsia="楷体"/>
          <w:sz w:val="28"/>
          <w:szCs w:val="28"/>
        </w:rPr>
        <w:t>、</w:t>
      </w:r>
      <w:r>
        <w:rPr>
          <w:rFonts w:hint="eastAsia" w:ascii="楷体" w:hAnsi="楷体" w:eastAsia="楷体"/>
          <w:sz w:val="28"/>
          <w:szCs w:val="28"/>
        </w:rPr>
        <w:t>产品认购和赎回</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（一）</w:t>
      </w:r>
      <w:r>
        <w:rPr>
          <w:rFonts w:ascii="楷体" w:hAnsi="楷体" w:eastAsia="楷体"/>
          <w:sz w:val="21"/>
        </w:rPr>
        <w:t>理财产品认购</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1.认购期</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rPr>
        <w:t>本产品认购期为【2026】年【06】月【12】日【08:00】至【2026】年【06】月【17】日【17:00】。</w:t>
      </w:r>
      <w:r>
        <w:rPr>
          <w:rFonts w:hint="eastAsia" w:ascii="楷体" w:hAnsi="楷体" w:eastAsia="楷体" w:cs="楷体"/>
          <w:b/>
          <w:bCs/>
        </w:rPr>
        <w:t>销售机构实际受理时间可能与《产品说明书》不一致，具体以销售机构</w:t>
      </w:r>
      <w:r>
        <w:rPr>
          <w:rFonts w:hint="eastAsia" w:ascii="楷体" w:hAnsi="楷体" w:eastAsia="楷体" w:cs="楷体"/>
          <w:b/>
          <w:bCs/>
          <w:color w:val="000000" w:themeColor="text1"/>
          <w14:textFill>
            <w14:solidFill>
              <w14:schemeClr w14:val="tx1"/>
            </w14:solidFill>
          </w14:textFill>
        </w:rPr>
        <w:t>规则为准</w:t>
      </w:r>
      <w:r>
        <w:rPr>
          <w:rFonts w:hint="eastAsia" w:ascii="楷体" w:hAnsi="楷体" w:eastAsia="楷体" w:cs="楷体"/>
          <w:b/>
          <w:bCs/>
        </w:rPr>
        <w:t>。管理人可在认购期内公告延长或提前终止产品认购期，实际认购期以管理人公告为准。</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2.认购价格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本产品初始份额净值为1元人民币/份。</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3.产品规模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产品最低发行规模为【1.00万元】，如认购金额不足【1.00万元】，管理人有权宣布理财产品不成立。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产品发行规模上限为【30.00亿元】，认购期届满前，如产品发行规模达到规模上限，</w:t>
      </w:r>
      <w:r>
        <w:rPr>
          <w:rFonts w:hint="eastAsia" w:ascii="楷体" w:hAnsi="楷体" w:eastAsia="楷体" w:cs="楷体"/>
        </w:rPr>
        <w:t>管理人有权暂停</w:t>
      </w:r>
      <w:r>
        <w:rPr>
          <w:rFonts w:hint="eastAsia" w:ascii="楷体" w:hAnsi="楷体" w:eastAsia="楷体" w:cs="楷体"/>
          <w:szCs w:val="21"/>
        </w:rPr>
        <w:t>受理该份额的认购申请。</w:t>
      </w:r>
      <w:r>
        <w:rPr>
          <w:rFonts w:hint="eastAsia" w:ascii="楷体" w:hAnsi="楷体" w:eastAsia="楷体" w:cs="楷体"/>
          <w:b/>
          <w:bCs/>
        </w:rPr>
        <w:t>销售机构实际</w:t>
      </w:r>
      <w:r>
        <w:rPr>
          <w:rFonts w:hint="eastAsia" w:ascii="楷体" w:hAnsi="楷体" w:eastAsia="楷体" w:cs="楷体"/>
          <w:b/>
          <w:bCs/>
          <w:lang w:val="en-US" w:eastAsia="zh-CN"/>
        </w:rPr>
        <w:t>销售规模限制</w:t>
      </w:r>
      <w:r>
        <w:rPr>
          <w:rFonts w:hint="eastAsia" w:ascii="楷体" w:hAnsi="楷体" w:eastAsia="楷体" w:cs="楷体"/>
          <w:b/>
          <w:bCs/>
        </w:rPr>
        <w:t>可能与《产品说明书》不一致，具体以销售机构</w:t>
      </w:r>
      <w:r>
        <w:rPr>
          <w:rFonts w:hint="eastAsia" w:ascii="楷体" w:hAnsi="楷体" w:eastAsia="楷体" w:cs="楷体"/>
          <w:b/>
          <w:bCs/>
          <w:color w:val="000000" w:themeColor="text1"/>
          <w14:textFill>
            <w14:solidFill>
              <w14:schemeClr w14:val="tx1"/>
            </w14:solidFill>
          </w14:textFill>
        </w:rPr>
        <w:t>规则为准</w:t>
      </w:r>
      <w:r>
        <w:rPr>
          <w:rFonts w:hint="eastAsia" w:ascii="楷体" w:hAnsi="楷体" w:eastAsia="楷体" w:cs="楷体"/>
          <w:b/>
          <w:bCs/>
        </w:rPr>
        <w:t>。</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4.认购金额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在理财产品认购期内，本理财产品客户首次认购的最低金额为【1.00元】，超出部分应为【1.00元】的整数倍。最低追加认购金额为【1.00元】，超出部分应为【1.00元】的整数倍。</w:t>
      </w:r>
      <w:r>
        <w:rPr>
          <w:rFonts w:hint="eastAsia" w:ascii="楷体" w:hAnsi="楷体" w:eastAsia="楷体" w:cs="楷体"/>
        </w:rPr>
        <w:t>本理财产品在代理销售机构的实际销售起点金额，因代理销售机构的不同可能存在差异（可能高于销售文件约定的销售起点金额），应当以代理销售机构展示为准。代理销售机构的实际销售起点金额，不得低于销售文件约定的销售起点金额。</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5.认购费用</w:t>
      </w:r>
    </w:p>
    <w:p>
      <w:pPr>
        <w:spacing w:line="360" w:lineRule="auto"/>
        <w:ind w:firstLine="420" w:firstLineChars="200"/>
        <w:contextualSpacing/>
        <w:rPr>
          <w:rFonts w:hint="eastAsia" w:ascii="楷体" w:hAnsi="楷体" w:eastAsia="楷体" w:cs="楷体"/>
        </w:rPr>
      </w:pPr>
      <w:r>
        <w:rPr>
          <w:rFonts w:hint="eastAsia" w:ascii="楷体" w:hAnsi="楷体" w:eastAsia="楷体" w:cs="楷体"/>
        </w:rPr>
        <w:t>本理财产品认购费率：【/】。</w:t>
      </w:r>
    </w:p>
    <w:p>
      <w:pPr>
        <w:spacing w:line="360" w:lineRule="auto"/>
        <w:ind w:firstLine="420" w:firstLineChars="200"/>
        <w:contextualSpacing/>
        <w:rPr>
          <w:rFonts w:hint="eastAsia" w:ascii="楷体" w:hAnsi="楷体" w:eastAsia="楷体" w:cs="楷体"/>
        </w:rPr>
      </w:pPr>
      <w:r>
        <w:rPr>
          <w:rFonts w:hint="eastAsia" w:ascii="楷体" w:hAnsi="楷体" w:eastAsia="楷体" w:cs="楷体"/>
        </w:rPr>
        <w:t>该费用</w:t>
      </w:r>
      <w:r>
        <w:rPr>
          <w:rFonts w:hint="eastAsia" w:ascii="楷体" w:hAnsi="楷体" w:eastAsia="楷体" w:cs="楷体"/>
          <w:szCs w:val="21"/>
        </w:rPr>
        <w:t>由投资者承担并于认购份额时一次性支付。</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6.认购数量限制</w:t>
      </w:r>
    </w:p>
    <w:p>
      <w:pPr>
        <w:spacing w:line="360" w:lineRule="auto"/>
        <w:ind w:firstLine="420" w:firstLineChars="200"/>
        <w:contextualSpacing/>
        <w:rPr>
          <w:rFonts w:hint="eastAsia" w:ascii="楷体" w:hAnsi="楷体" w:eastAsia="楷体" w:cs="楷体"/>
        </w:rPr>
      </w:pPr>
      <w:r>
        <w:rPr>
          <w:rFonts w:hint="eastAsia" w:ascii="楷体" w:hAnsi="楷体" w:eastAsia="楷体" w:cs="楷体"/>
          <w:szCs w:val="21"/>
        </w:rPr>
        <w:t>本理财产品单户累计最大购买金额为【1.00亿元】，且单一投资者持有份额不得超过产品总份额50%。投资者认购确认后可能导致其持有份额超过产品总份额50%的，管理人有权拒绝或暂停认购。非因管理人主观因素导致突破该比例限制的，在单一投资者持有比例降至50%以下之前，管理人不再接受该投资者对本产品的认购申请。</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7.认购方式及确认</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（1）本理财产品采取金额认购的方式。</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销售机构受理认购申请并不表示对该申请成功的确认，而仅代表其收到了认购申请，申请是否有效应以管理人的确认为准。具体而言，投资者按规定提交认购申请、全额交付款项并经销售机构成功冻结或预扣的，认购申请成立；如管理人在认购确认日根据投资者的认购申请为投资者成功登记认购份额，则视为投资者的认购申请生效，并以管理人的登记记录为准。投资者应在本理财产品成立后及时查询最终成交确认情况和认购的份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（3）认购撤单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投资者可通过销售机构和管理人认可的方式办理撤销本理财产品份额，投资者在认购期内的撤单规则，以销售机构受理规则为准。</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（4）投资者在募集期内认购本理财产品被受理后，销售机构有权冻结或预扣认购款项，</w:t>
      </w:r>
      <w:r>
        <w:rPr>
          <w:rFonts w:hint="eastAsia" w:ascii="楷体" w:hAnsi="楷体" w:eastAsia="楷体" w:cs="楷体"/>
          <w:b/>
          <w:bCs/>
          <w:szCs w:val="21"/>
        </w:rPr>
        <w:t>冻结或预扣期间管理人不向投资者计付利息，销售机构是否计付利息以销售机构计息规则为准，</w:t>
      </w:r>
      <w:r>
        <w:rPr>
          <w:rFonts w:hint="eastAsia" w:ascii="楷体" w:hAnsi="楷体" w:eastAsia="楷体" w:cs="楷体"/>
          <w:b/>
          <w:bCs/>
        </w:rPr>
        <w:t>利息部分不计入认购本金</w:t>
      </w:r>
      <w:r>
        <w:rPr>
          <w:rFonts w:hint="eastAsia" w:ascii="楷体" w:hAnsi="楷体" w:eastAsia="楷体" w:cs="楷体"/>
          <w:b/>
          <w:bCs/>
          <w:szCs w:val="21"/>
        </w:rPr>
        <w:t>。</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8.认购份额的计算</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本理财产品认购份额的具体计算方法如下：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认购份额＝认购金额÷（1+认购费率）÷产品初始份额净值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认购份额采用四舍五入法保留至小数点后2位。</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示例：</w:t>
      </w:r>
      <w:r>
        <w:rPr>
          <w:rFonts w:hint="eastAsia" w:ascii="楷体" w:hAnsi="楷体" w:eastAsia="楷体" w:cs="楷体"/>
        </w:rPr>
        <w:t>【假定某投资者投资100元人民币认购本理财产品，认购费率为0.00%，则其可得到的认购份额计算如下：</w:t>
      </w:r>
      <w:r>
        <w:rPr>
          <w:rFonts w:hint="eastAsia" w:ascii="楷体" w:hAnsi="楷体" w:eastAsia="楷体" w:cs="楷体"/>
        </w:rPr>
        <w:br w:type="textWrapping"/>
      </w:r>
      <w:r>
        <w:rPr>
          <w:rFonts w:hint="eastAsia" w:ascii="楷体" w:hAnsi="楷体" w:eastAsia="楷体" w:cs="楷体"/>
        </w:rPr>
        <w:t xml:space="preserve">    认购份额＝100÷（1+0.00%）÷1.00元/份＝100份】</w:t>
      </w:r>
    </w:p>
    <w:p>
      <w:pPr>
        <w:spacing w:line="360" w:lineRule="auto"/>
        <w:ind w:firstLine="420" w:firstLineChars="200"/>
        <w:contextualSpacing/>
        <w:rPr>
          <w:rFonts w:hint="eastAsia" w:ascii="楷体" w:hAnsi="楷体" w:eastAsia="楷体" w:cs="楷体"/>
        </w:rPr>
      </w:pPr>
      <w:r>
        <w:rPr>
          <w:rFonts w:hint="eastAsia" w:ascii="楷体" w:hAnsi="楷体" w:eastAsia="楷体" w:cs="楷体"/>
        </w:rPr>
        <w:t>（二）产品的其他交易规则</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非交易过户：因司法执行、继承和赠予等活动产生的相关理财产品份额的过户为非交易过户，进行非交易过户的转出方和转入方都须在销售机构开设有本理财业务的授权指定账户，并须向管理人出示相关的法律文件正本及相关复印件。</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2.份额冻结：管理人、销售机构可协助司法机关等因执行公务需要冻结客户的理财份额。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3.强制赎回：管理人、销售机构可协助司法机关等因执行公务需要，凭有关执行文件强制将客户本产品理财份额赎回，赎回的金额将划入该客户原授权指定账户。</w:t>
      </w:r>
    </w:p>
    <w:bookmarkEnd w:id="8"/>
    <w:p>
      <w:pPr>
        <w:pStyle w:val="2"/>
        <w:spacing w:before="120" w:after="120" w:line="240" w:lineRule="auto"/>
        <w:rPr>
          <w:rFonts w:ascii="楷体" w:hAnsi="楷体" w:eastAsia="楷体"/>
          <w:sz w:val="28"/>
          <w:szCs w:val="28"/>
        </w:rPr>
      </w:pPr>
      <w:r>
        <w:rPr>
          <w:rFonts w:hint="eastAsia" w:ascii="楷体" w:hAnsi="楷体" w:eastAsia="楷体"/>
          <w:sz w:val="28"/>
          <w:szCs w:val="28"/>
        </w:rPr>
        <w:t>六</w:t>
      </w:r>
      <w:r>
        <w:rPr>
          <w:rFonts w:ascii="楷体" w:hAnsi="楷体" w:eastAsia="楷体"/>
          <w:sz w:val="28"/>
          <w:szCs w:val="28"/>
        </w:rPr>
        <w:t>、</w:t>
      </w:r>
      <w:r>
        <w:rPr>
          <w:rFonts w:hint="eastAsia" w:ascii="楷体" w:hAnsi="楷体" w:eastAsia="楷体"/>
          <w:sz w:val="28"/>
          <w:szCs w:val="28"/>
        </w:rPr>
        <w:t>理财</w:t>
      </w:r>
      <w:r>
        <w:rPr>
          <w:rFonts w:ascii="楷体" w:hAnsi="楷体" w:eastAsia="楷体"/>
          <w:sz w:val="28"/>
          <w:szCs w:val="28"/>
        </w:rPr>
        <w:t>产品估值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rPr>
        <w:t>【本理财产品存续期间，每周一、理财产品收益分配基准日以及理财产品终止日为估值日】</w:t>
      </w:r>
      <w:r>
        <w:rPr>
          <w:rFonts w:hint="eastAsia" w:ascii="楷体" w:hAnsi="楷体" w:eastAsia="楷体" w:cs="楷体"/>
          <w:szCs w:val="21"/>
        </w:rPr>
        <w:t>。</w:t>
      </w:r>
      <w:r>
        <w:rPr>
          <w:rFonts w:hint="eastAsia" w:ascii="楷体" w:hAnsi="楷体" w:eastAsia="楷体" w:cs="楷体"/>
        </w:rPr>
        <w:t>管理人在估值日扣除理财产品承担的各项费用、税费（如有）后，计算理财产品份额净值和</w:t>
      </w:r>
      <w:r>
        <w:rPr>
          <w:rFonts w:hint="eastAsia" w:ascii="楷体" w:hAnsi="楷体" w:eastAsia="楷体" w:cs="楷体"/>
          <w:szCs w:val="21"/>
        </w:rPr>
        <w:t>理财产品份额累计净值</w:t>
      </w:r>
      <w:r>
        <w:rPr>
          <w:rFonts w:hint="eastAsia" w:ascii="楷体" w:hAnsi="楷体" w:eastAsia="楷体" w:cs="楷体"/>
        </w:rPr>
        <w:t>，并于估值日后的三个工作日内通过“信息披露”约定的渠道发布。</w:t>
      </w:r>
      <w:r>
        <w:rPr>
          <w:rFonts w:hint="eastAsia" w:ascii="楷体" w:hAnsi="楷体" w:eastAsia="楷体" w:cs="楷体"/>
          <w:szCs w:val="21"/>
        </w:rPr>
        <w:t>管理人有权对以上产品估值规则进行修改，并通过《产品说明书》“信息披露”约定的方式进行披露。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理财产品某一类份额的份额净值指1份理财产品份额以人民币计价的价格。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理财产品某一类份额的份额净值＝理财产品该类份额资产净值÷理财产品该类份额总份额</w:t>
      </w:r>
    </w:p>
    <w:p>
      <w:pPr>
        <w:spacing w:line="360" w:lineRule="auto"/>
        <w:ind w:firstLine="422" w:firstLineChars="200"/>
        <w:contextualSpacing/>
        <w:outlineLvl w:val="1"/>
        <w:rPr>
          <w:rFonts w:hint="eastAsia" w:ascii="楷体" w:hAnsi="楷体" w:eastAsia="楷体" w:cs="楷体"/>
          <w:b/>
          <w:bCs/>
          <w:szCs w:val="21"/>
        </w:rPr>
      </w:pPr>
      <w:r>
        <w:rPr>
          <w:rFonts w:hint="eastAsia" w:ascii="楷体" w:hAnsi="楷体" w:eastAsia="楷体" w:cs="楷体"/>
          <w:b/>
          <w:bCs/>
          <w:szCs w:val="21"/>
        </w:rPr>
        <w:t xml:space="preserve">（一）估值原则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1.适配性原则：金融资产的估值方法与理财产品的类型相匹配。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2.审慎性原则：审慎确认和计量金融资产的公允价值，不高估公允价值收益，不低估公允价值损失。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3.充分性原则：估值过程中充分考虑金融资产的性质、重要性级及复杂程度等因素。 </w:t>
      </w:r>
    </w:p>
    <w:p>
      <w:pPr>
        <w:spacing w:line="360" w:lineRule="auto"/>
        <w:ind w:firstLine="420" w:firstLineChars="200"/>
        <w:contextualSpacing/>
        <w:rPr>
          <w:rFonts w:ascii="楷体_GB2312" w:hAnsi="宋体" w:eastAsia="楷体_GB2312"/>
          <w:b/>
          <w:bCs/>
          <w:szCs w:val="21"/>
        </w:rPr>
      </w:pPr>
      <w:r>
        <w:rPr>
          <w:rFonts w:hint="eastAsia" w:ascii="楷体" w:hAnsi="楷体" w:eastAsia="楷体" w:cs="楷体"/>
          <w:szCs w:val="21"/>
        </w:rPr>
        <w:t>4.清晰性原则：估值方法应清晰明了，便于理解和应用，能清晰反应金融资产的性质。</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（二）估值方法</w:t>
      </w:r>
    </w:p>
    <w:p>
      <w:pPr>
        <w:spacing w:line="360" w:lineRule="auto"/>
        <w:ind w:firstLine="420" w:firstLineChars="200"/>
        <w:contextualSpacing/>
        <w:rPr>
          <w:rFonts w:hint="eastAsia" w:ascii="楷体" w:hAnsi="楷体" w:eastAsia="楷体" w:cs="楷体"/>
          <w:bCs/>
          <w:szCs w:val="21"/>
        </w:rPr>
      </w:pPr>
      <w:r>
        <w:rPr>
          <w:rFonts w:hint="eastAsia" w:ascii="楷体" w:hAnsi="楷体" w:eastAsia="楷体" w:cs="楷体"/>
          <w:szCs w:val="21"/>
        </w:rPr>
        <w:t>1.</w:t>
      </w:r>
      <w:r>
        <w:rPr>
          <w:rFonts w:hint="eastAsia" w:ascii="楷体" w:hAnsi="楷体" w:eastAsia="楷体" w:cs="楷体"/>
          <w:bCs/>
          <w:szCs w:val="21"/>
        </w:rPr>
        <w:t>理财产品直接持有的在证券交易所和全国银行间市场交易的债券，（1）若投资以收取合同现金流量为目的并持有到期的，可使用摊余成本法计量。（2）理财产品直接持有的除（1）以外的在证券交易所和全国银行间市场交易的债券，以公允价值计量，主要依据第三方估值机构（中债、中证等）提供的估值数据，对本组合持有的债券进行估值，具体第三方估值机构由管理人和托管行具体协商确定。如监管另有规定的，按照监管的最新规定进行调整。如本产品持有的债券在本产品存续期内，因经济环境发生重大变化或债券发行主体发生重大事件等，导致债券价格发生重大变化的或导致债券发行主体无法履行应尽的偿债义务的，经管理人合理判断后，参考第三方估值机构提供的估值数据、市场价格及债券发行主体实际状况等，对该债券的价值进行重估，并合理确定随后该债券遵循的估值方法。如管理人有证据表明按上述规定不能客观反映理财产品资产公允价值的，管理人可根据具体情况，在综合考虑市场成交价、市场报价、流动性、收益率曲线等多种因素基础上，按最能反映理财产品资产公允价值的方法估值。</w:t>
      </w:r>
    </w:p>
    <w:p>
      <w:pPr>
        <w:spacing w:line="360" w:lineRule="auto"/>
        <w:ind w:firstLine="420" w:firstLineChars="200"/>
        <w:contextualSpacing/>
        <w:rPr>
          <w:rFonts w:hint="eastAsia" w:ascii="楷体" w:hAnsi="楷体" w:eastAsia="楷体" w:cs="楷体"/>
          <w:bCs/>
          <w:szCs w:val="21"/>
        </w:rPr>
      </w:pPr>
      <w:r>
        <w:rPr>
          <w:rFonts w:hint="eastAsia" w:ascii="楷体" w:hAnsi="楷体" w:eastAsia="楷体" w:cs="楷体"/>
          <w:bCs/>
          <w:szCs w:val="21"/>
        </w:rPr>
        <w:t>2.未上市期间的有价证券（如有）应区分如下情况处理：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首次公开发行未上市或未挂牌转让的债券，采用估值技术确定公允价值，在估值技术难以可靠计量公允价值的情况下，按成本估值。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3.交易所上市未实行净价交易的债券按估值日收盘全价或第三方估值机构提供的相应品种当日的估值全价减去收盘价或估值全价中所含的债券应收利息得到的净价进行估值。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4.可转换私募债券（如有）和可交换私募债券（如有）未转股前按照公允价值估值。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5.投资于信托计划、资产管理计划等的资产：</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（1）按合同约定的估值方案，以信托计划的受托人、资产管理计划的管理人等和资产托管人共同确认的最新估值数据对本组合持有的资管计划进行估值。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所持有的非标准化债权资产、同业类资产，以收取合同现金流量为目的并持有到期的，按照企业会计准则要求，以摊余成本法计量，否则按照估值技术确定其公允价值。如监管另有规定的，按照监管的最新规定进行调整。</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6.债券回购和拆借按买入成本列示，按照票面利率或者商定利率每日计提收益。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7.投资证券投资基金的估值方法：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（1）对于交易所上市的ETF基金、定期开放式基金、封闭式基金，按其所在证券交易所的收盘价估值；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（2）对于交易所上市的开放式基金（LOF），按所投资基金的基金管理人披露且可取得的最新净值（如无当日则为上一交易日）进行估值；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对于交易所上市交易型货币市场基金，如基金管理人披露单位净值，则按所投资基金的基金管理人披露的估值日单位净值进行估值；如基金管理人披露万份（百份）收益，则按所投资基金前一估值日后至估值日期间（含节假日）的万份（百份）收益计提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（4）对于未在交易所上市的场外基金，按可取得的最新净值（如无当日则为上一交易日）的基金单位净值估值；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（5）对于未在交易所上市的货币市场基金，按基金管理公司披露的可取得的最新净值（如无当日则为上一交易日）每万份收益计提收益；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如遇所投资基金不公布基金单位净值、进行折算或拆分、估值日无交易等特殊情况，应根据以下原则进行估值：以所投资基金的基金单位净值估值的，若所投资基金与理财产品估值频率一致但未公布估值日基金单位净值，以其最近公布的基金单位净值为基础估值。以所投资基金的收盘价估值的，若估值日无交易，且最近交易日后市场环境未发生重大变化，以最近交易日的收盘价估值；如最近交易日后市场环境发生了重大变化的，可使用最新的基金单位净值为基础或参考类似投资品种的现行市价及重大变化因素调整最近交易市价，确定公允价值。如果所投资基金前一估值日至估值日期间发生分红除权、折算或拆分，应根据基金单位净值或收盘价、单位基金份额分红金额、折算拆分比例、持仓份额等因素合理确定公允价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8.在证券交易所及全国中小企业股份转让系统等市场交易的优先股，其交易量及交易频率足以持续提供价格的，估值日有交易，可按估值日收盘价估值；估值日无交易，且最近交易日后市场环境未发生重大变化，可参考类似投资品种的现行市价及重大变化因素调整最近交易市价，确定公允价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不满足上述条件的，可根据优先股的股息支付条款，采用现金流折现模型等估值模型，或第三方估值机构提供的价格数据估值,当上述价格难以获取且认为成本能够近似体现公允价值，可采用成本法估值。</w:t>
      </w:r>
    </w:p>
    <w:p>
      <w:pPr>
        <w:numPr>
          <w:ilvl w:val="12"/>
          <w:numId w:val="0"/>
        </w:numPr>
        <w:spacing w:line="360" w:lineRule="auto"/>
        <w:ind w:firstLine="420" w:firstLineChars="200"/>
        <w:contextualSpacing/>
        <w:rPr>
          <w:rFonts w:hint="eastAsia" w:ascii="楷体" w:hAnsi="楷体" w:eastAsia="楷体" w:cs="楷体"/>
          <w:b w:val="0"/>
          <w:bCs w:val="0"/>
          <w:szCs w:val="21"/>
          <w:u w:val="none"/>
          <w:lang w:eastAsia="zh-CN"/>
        </w:rPr>
      </w:pPr>
      <w:r>
        <w:rPr>
          <w:rFonts w:hint="eastAsia" w:ascii="楷体" w:hAnsi="楷体" w:eastAsia="楷体" w:cs="楷体"/>
          <w:szCs w:val="21"/>
        </w:rPr>
        <w:t>9.</w:t>
      </w:r>
      <w:r>
        <w:rPr>
          <w:rFonts w:hint="eastAsia" w:ascii="楷体" w:hAnsi="楷体" w:eastAsia="楷体" w:cs="楷体"/>
          <w:b w:val="0"/>
          <w:bCs w:val="0"/>
          <w:szCs w:val="21"/>
          <w:u w:val="none"/>
        </w:rPr>
        <w:t>衍生金融工具估值</w:t>
      </w:r>
      <w:r>
        <w:rPr>
          <w:rFonts w:hint="eastAsia" w:ascii="楷体" w:hAnsi="楷体" w:eastAsia="楷体" w:cs="楷体"/>
          <w:b w:val="0"/>
          <w:bCs w:val="0"/>
          <w:szCs w:val="21"/>
          <w:u w:val="none"/>
          <w:lang w:eastAsia="zh-CN"/>
        </w:rPr>
        <w:t>：</w:t>
      </w:r>
    </w:p>
    <w:p>
      <w:pPr>
        <w:numPr>
          <w:ilvl w:val="12"/>
          <w:numId w:val="0"/>
        </w:numPr>
        <w:spacing w:line="360" w:lineRule="auto"/>
        <w:ind w:firstLine="420" w:firstLineChars="200"/>
        <w:contextualSpacing/>
        <w:rPr>
          <w:rFonts w:hint="eastAsia" w:ascii="楷体" w:hAnsi="楷体" w:eastAsia="楷体" w:cs="楷体"/>
          <w:b w:val="0"/>
          <w:bCs w:val="0"/>
          <w:szCs w:val="21"/>
          <w:u w:val="none"/>
          <w:lang w:eastAsia="zh-CN"/>
        </w:rPr>
      </w:pP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1</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2</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对于非交易所交易的衍生金融工具，可依据第三方机构提供的价格数据或采取相应衍生金融工具估值模型确定公允价值。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b w:val="0"/>
          <w:bCs w:val="0"/>
          <w:szCs w:val="21"/>
          <w:u w:val="none"/>
          <w:lang w:val="en-US" w:eastAsia="zh-CN"/>
        </w:rPr>
        <w:t>10.</w:t>
      </w:r>
      <w:r>
        <w:rPr>
          <w:rFonts w:hint="eastAsia" w:ascii="楷体" w:hAnsi="楷体" w:eastAsia="楷体" w:cs="楷体"/>
          <w:szCs w:val="21"/>
        </w:rPr>
        <w:t>若理财产品存续期间持有其他投资品种，以理财产品管理人和理财产品托管人共同认可的方法估值。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1</w:t>
      </w:r>
      <w:r>
        <w:rPr>
          <w:rFonts w:hint="eastAsia" w:ascii="楷体" w:hAnsi="楷体" w:eastAsia="楷体" w:cs="楷体"/>
          <w:szCs w:val="21"/>
        </w:rPr>
        <w:t>.在任何情况下，如采用以上规定的方法对资产进行估值，均应被认为采用了适当的估值方法。如管理人有证据表明按上述规定不能客观反映理财产品资产公允价值的，管理人可根据具体情况，在综合考虑市场成交价、市场报价、流动性、收益率曲线等多种因素基础上，按最能反映理财产品资产公允价值的方法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2</w:t>
      </w:r>
      <w:r>
        <w:rPr>
          <w:rFonts w:hint="eastAsia" w:ascii="楷体" w:hAnsi="楷体" w:eastAsia="楷体" w:cs="楷体"/>
          <w:szCs w:val="21"/>
        </w:rPr>
        <w:t>.对于以上估值方法，相关法律法规以及监管部门有另行规定的，按照监管最新规定执行。如监管并无明确规定和要求的，由产品管理人与托管人协商确定计算方法。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3</w:t>
      </w:r>
      <w:r>
        <w:rPr>
          <w:rFonts w:hint="eastAsia" w:ascii="楷体" w:hAnsi="楷体" w:eastAsia="楷体" w:cs="楷体"/>
          <w:szCs w:val="21"/>
        </w:rPr>
        <w:t>.按以上估值方法进行估值时，所造成的误差不作为理财产品单位资产净值错误处理。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4</w:t>
      </w:r>
      <w:r>
        <w:rPr>
          <w:rFonts w:hint="eastAsia" w:ascii="楷体" w:hAnsi="楷体" w:eastAsia="楷体" w:cs="楷体"/>
          <w:szCs w:val="21"/>
        </w:rPr>
        <w:t>.扣除项：应由理财产品承担的固定投资管理费用、托管费、销售管理费和税款（如有）。</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（三）</w:t>
      </w:r>
      <w:r>
        <w:rPr>
          <w:rFonts w:ascii="楷体" w:hAnsi="楷体" w:eastAsia="楷体"/>
          <w:sz w:val="21"/>
        </w:rPr>
        <w:t>暂停估值的情形</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1.因不可抗力或其他情形致使理财产品管理人、理财产品托管人无法准确评估资产价值时；</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投资的信托计划/资管计划合同约定暂停估值或无法估值的情形发生，导致理财产品无法估值的；其中，产品资产净值50%以上的资产不具备活跃交易市场或者在活跃市场中无报价，且不能采用估值技术可靠计量公允价值的，管理人应当暂停产品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3.占理财产品相当比例的投资品种的估值出现重大转变，而管理人为保障投资者的利益，已决定延迟估值；</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4.投资管理人、理财产品托管人有合理理由认为将影响本理财产品估值的其他情形发生。</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（四）</w:t>
      </w:r>
      <w:r>
        <w:rPr>
          <w:rFonts w:ascii="楷体" w:hAnsi="楷体" w:eastAsia="楷体"/>
          <w:sz w:val="21"/>
        </w:rPr>
        <w:t>估值错误的处理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理财产品管理人和理财产品托管人将采取必要、适当、合理的措施确保理财产品估值的准确性、及时性。</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1.估值错误处理原则</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（1）由于理财产品管理人或理财产品托管人自身的过错造成估值错误，导致投资者遭受损失的，由估值错误责任方按照各自过错程度对该估值错误导致投资者遭受的直接损失给予赔偿，承担赔偿责任。</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对于因技术原因引起的差错，若系同行业现有技术水平无法预见、无法避免、无法抗拒，属不可抗力。因不可抗力原因出现差错的当事人不对投资者承担赔偿责任，但因该差错取得不当得利的投资者仍应负有返还不当得利的义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因理财产品托管人估值错误造成财产损失时，理财产品管理人应向托管人追偿。若理财产品管理人和理财产品托管人之外的第三方估值差错造成财产的损失，并拒绝进行赔偿时，理财产品由理财产品管理人负责向差错方追偿；追偿过程中产生的有关费用，应列入理财产品费用，由理财产品承担。</w:t>
      </w:r>
    </w:p>
    <w:p>
      <w:pPr>
        <w:spacing w:line="360" w:lineRule="auto"/>
        <w:ind w:firstLine="422" w:firstLineChars="200"/>
        <w:contextualSpacing/>
        <w:rPr>
          <w:rFonts w:ascii="楷体_GB2312" w:hAnsi="宋体" w:eastAsia="楷体_GB2312"/>
          <w:b/>
          <w:bCs/>
          <w:szCs w:val="21"/>
        </w:rPr>
      </w:pPr>
      <w:r>
        <w:rPr>
          <w:rFonts w:hint="eastAsia" w:ascii="楷体" w:hAnsi="楷体" w:eastAsia="楷体" w:cs="楷体"/>
          <w:b/>
          <w:bCs/>
          <w:szCs w:val="21"/>
        </w:rPr>
        <w:t>（4）当估值出现错误时，因估值错误而获得不当得利的投资者负有及时返还不当得利的义务</w:t>
      </w:r>
      <w:r>
        <w:rPr>
          <w:rFonts w:ascii="楷体_GB2312" w:hAnsi="宋体" w:eastAsia="楷体_GB2312"/>
          <w:b/>
          <w:bCs/>
          <w:szCs w:val="21"/>
        </w:rPr>
        <w:t>。</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（5）按法律法规规定的其他原则处理估值错误。</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2.估值错误处理程序</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估值错误被发现后，理财产品管理人和理财产品托管人应当及时进行处理，处理的程序如下：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（1）查明估值错误发生的原因，列明所有的管理人和托管人并根据估值错误发生的原因确定估值错误的责任方；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（2）根据估值错误处理原则对因估值错误造成的损失进行评估；</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（3）根据理财产品管理人和理财产品托管人协商的方法，由理财产品管理人和理财产品托管人共同进行更正，由估值错误的责任方进行赔偿损失。</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（五）特殊情况的处理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1.理财产品投资管理人、理财产品托管人按本说明书估值方法进行估值时，所造成的误差不作为估值错误处理；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由于不可抗力原因，或由于证券交易所、期货交易所、第三方估值机构、信托公司、基金公司等发送数据错误等非理财产品管理人和理财产品托管人原因，理财产品管理人和托管人虽然已经采取必要、适当、合理的措施进行检查，但未能发现错误的，由此造成的估值错误，理财产品管理人和理财产品托管人免除赔偿责任。但理财产品管理人、理财产品托管人应当积极采取必要的措施减轻或消除由此造成的影响；</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3.前述内容如法律法规、监管机关另有规定的，或有关会计准则发生变化等，按照国家最新规定或理财产品管理人最新约定估值。如果行业另有通行做法，理财产品管理人和理财产品托管人本着平等和保护份额持有人利益的原则进行协商。</w:t>
      </w:r>
    </w:p>
    <w:p>
      <w:pPr>
        <w:pStyle w:val="2"/>
        <w:spacing w:before="120" w:after="120" w:line="240" w:lineRule="auto"/>
        <w:rPr>
          <w:rFonts w:ascii="楷体" w:hAnsi="楷体" w:eastAsia="楷体"/>
          <w:sz w:val="28"/>
          <w:szCs w:val="28"/>
        </w:rPr>
      </w:pPr>
      <w:bookmarkStart w:id="9" w:name="_Toc98680963"/>
      <w:r>
        <w:rPr>
          <w:rFonts w:hint="eastAsia" w:ascii="楷体" w:hAnsi="楷体" w:eastAsia="楷体"/>
          <w:sz w:val="28"/>
          <w:szCs w:val="28"/>
        </w:rPr>
        <w:t>七</w:t>
      </w:r>
      <w:r>
        <w:rPr>
          <w:rFonts w:ascii="楷体" w:hAnsi="楷体" w:eastAsia="楷体"/>
          <w:sz w:val="28"/>
          <w:szCs w:val="28"/>
        </w:rPr>
        <w:t>、</w:t>
      </w:r>
      <w:r>
        <w:rPr>
          <w:rFonts w:hint="eastAsia" w:ascii="楷体" w:hAnsi="楷体" w:eastAsia="楷体"/>
          <w:sz w:val="28"/>
          <w:szCs w:val="28"/>
        </w:rPr>
        <w:t>产品管理人、托管人</w:t>
      </w:r>
      <w:r>
        <w:rPr>
          <w:rFonts w:hint="eastAsia" w:ascii="楷体" w:hAnsi="楷体" w:eastAsia="楷体"/>
          <w:sz w:val="28"/>
          <w:szCs w:val="28"/>
          <w:lang w:eastAsia="zh-CN"/>
        </w:rPr>
        <w:t>、</w:t>
      </w:r>
      <w:r>
        <w:rPr>
          <w:rFonts w:ascii="楷体" w:hAnsi="楷体" w:eastAsia="楷体"/>
          <w:sz w:val="28"/>
          <w:szCs w:val="28"/>
        </w:rPr>
        <w:t>销售</w:t>
      </w:r>
      <w:r>
        <w:rPr>
          <w:rFonts w:hint="eastAsia" w:ascii="楷体" w:hAnsi="楷体" w:eastAsia="楷体"/>
          <w:sz w:val="28"/>
          <w:szCs w:val="28"/>
        </w:rPr>
        <w:t>机构</w:t>
      </w:r>
      <w:bookmarkEnd w:id="9"/>
      <w:r>
        <w:rPr>
          <w:rFonts w:hint="eastAsia" w:ascii="楷体" w:hAnsi="楷体" w:eastAsia="楷体" w:cs="楷体"/>
          <w:sz w:val="28"/>
          <w:szCs w:val="28"/>
          <w:lang w:val="en-US" w:eastAsia="zh-CN"/>
        </w:rPr>
        <w:t>和投资合作机构</w:t>
      </w:r>
    </w:p>
    <w:p>
      <w:pPr>
        <w:pStyle w:val="3"/>
        <w:spacing w:before="0" w:after="0" w:line="360" w:lineRule="auto"/>
        <w:ind w:firstLine="422" w:firstLineChars="200"/>
        <w:rPr>
          <w:rFonts w:hint="eastAsia" w:ascii="楷体" w:hAnsi="楷体" w:eastAsia="楷体" w:cs="楷体"/>
        </w:rPr>
      </w:pPr>
      <w:bookmarkStart w:id="10" w:name="_Toc98680964"/>
      <w:r>
        <w:rPr>
          <w:rFonts w:hint="eastAsia" w:ascii="楷体" w:hAnsi="楷体" w:eastAsia="楷体" w:cs="楷体"/>
          <w:sz w:val="21"/>
        </w:rPr>
        <w:t>（一）产品管理人</w:t>
      </w:r>
      <w:bookmarkEnd w:id="10"/>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本理财产品的产品管理人为上银理财有限责任公司。</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基本信息如下：</w:t>
      </w:r>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上海市黄浦区中山南路666弄2幢2号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上银理财有限责任公司负责本理财产品的投资运作和产品管理。</w:t>
            </w:r>
          </w:p>
        </w:tc>
      </w:tr>
    </w:tbl>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投资者在此授权并同意上银理财享有以下权利：</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1.按照本理财产品销售文件的约定，管理、运用和处分理财产品资金；</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2.按照本理财产品销售文件的约定，及时、足额获得固定投资管理费和本《产品说明书》约定的其他费用（如有）；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3.管理人以其固有财产先行垫付因处理本理财产品相关事务所支出的理财产品费用及税费的，对理财产品资金享有优先受偿的权利；</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4.管理人有权根据本理财产品销售文件的约定提前终止或延长本理财产品的期限；</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5.管理人有权单方调整本理财产品的销售起点金额及递增金额、投资者认购和赎回的数量限制、投资者持有本产品的最高限额、最低限额、产品规模上限、业绩比较基准、费率等要素；</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6.管理人有权按照法律规定和监管机构的要求将投资者的信息向有权部门或相关机构披露；</w:t>
      </w:r>
    </w:p>
    <w:p>
      <w:pPr>
        <w:widowControl/>
        <w:snapToGrid w:val="0"/>
        <w:spacing w:line="360" w:lineRule="auto"/>
        <w:ind w:firstLine="420" w:firstLineChars="200"/>
        <w:jc w:val="left"/>
        <w:rPr>
          <w:rFonts w:hint="eastAsia" w:ascii="楷体" w:hAnsi="楷体" w:eastAsia="楷体" w:cs="楷体"/>
          <w:szCs w:val="21"/>
        </w:rPr>
      </w:pPr>
      <w:r>
        <w:rPr>
          <w:rFonts w:hint="eastAsia" w:ascii="楷体" w:hAnsi="楷体" w:eastAsia="楷体" w:cs="楷体"/>
          <w:szCs w:val="21"/>
        </w:rPr>
        <w:t xml:space="preserve">7.管理人有权决定非标准化债权资产投资的管理、合同条款变更、赎回、处置与披露事宜，并有权指令信托受托人按管理人指令执行，包括但不限于：有权决定非标准化债权资产及其底层资产投放的先决条件是否放弃或延后、有权决定非标准化债权投资的相关罚息的降低或免除、有权决定是否同意非标准化债权资产的债务人提前还款（含全部及部分）或展期及展期条件、有权决定投后监管的执行、有权决定违约救济措施的选择。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8.以理财产品投资管理人的名义，依照法律法规相关规定以及为理财产品的利益，对被投资的信托计划、资管计划、各类基金（含公募基金和私募基金）、公司/企业等行使出资人/投资者权利（包括但不限于表决投票的权利）以及行使因理财产品财产投资于证券类基础资产（含债券、股票等）或其他基础资产（包括但不限于债权类资产）所产生的相关权利；</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9.以理财产品投资管理人的名义，依照法律法规相关规定以及代表理财产品份额持有人的利益行使代为追索的权利（包括但不限于提起诉讼/仲裁、申请保全/执行的权利）或者实施其他风险处置，行使、放弃、变更相关权利义务等法律行为；</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10.在法律法规、监管政策允许的前提下调整估值日；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11.法律法规、监管政策和本理财产品销售文件约定的其他权利。</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（二）托管人</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本理财产品的托管人为【上海银行股份有限公司】。</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基本信息如下：</w:t>
      </w:r>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rPr>
                <w:rFonts w:hint="eastAsia" w:ascii="楷体" w:hAnsi="楷体" w:eastAsia="楷体" w:cs="楷体"/>
                <w:b/>
                <w:bCs/>
                <w:szCs w:val="21"/>
              </w:rPr>
            </w:pPr>
            <w:r>
              <w:rPr>
                <w:rFonts w:hint="eastAsia" w:ascii="楷体" w:hAnsi="楷体" w:eastAsia="楷体" w:cs="楷体"/>
                <w:b/>
                <w:bCs/>
                <w:szCs w:val="21"/>
              </w:rPr>
              <w:t>机构名称</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【上海银行股份有限公司】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【上海市黄浦区中山南路688号】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lang w:bidi="ar"/>
              </w:rPr>
              <w:t>由托管人机构提供包括账户开立、资金保管、资金清算、估值核算等理财产品托管服务。</w:t>
            </w:r>
          </w:p>
        </w:tc>
      </w:tr>
    </w:tbl>
    <w:p>
      <w:pPr>
        <w:pStyle w:val="3"/>
        <w:spacing w:before="0" w:after="0" w:line="360" w:lineRule="auto"/>
        <w:ind w:firstLine="422" w:firstLineChars="200"/>
        <w:rPr>
          <w:rFonts w:ascii="楷体" w:hAnsi="楷体" w:eastAsia="楷体"/>
          <w:sz w:val="21"/>
        </w:rPr>
      </w:pPr>
      <w:r>
        <w:rPr>
          <w:rFonts w:hint="eastAsia" w:ascii="楷体" w:hAnsi="楷体" w:eastAsia="楷体"/>
          <w:sz w:val="21"/>
        </w:rPr>
        <w:t>（三）销售机构</w:t>
      </w:r>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【浙江杭州余杭农村商业银行股份有限公司】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【浙江省杭州市临平区南苑街道南大街72号】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【浙江桐庐农村商业银行股份有限公司】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【浙江省杭州市桐庐县城迎春南路278号】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pPr>
        <w:pStyle w:val="3"/>
        <w:numPr>
          <w:ilvl w:val="0"/>
          <w:numId w:val="9"/>
        </w:numPr>
        <w:spacing w:before="0" w:after="0" w:line="360" w:lineRule="auto"/>
        <w:ind w:firstLine="422" w:firstLineChars="200"/>
        <w:rPr>
          <w:rFonts w:ascii="楷体" w:hAnsi="楷体" w:eastAsia="楷体"/>
          <w:sz w:val="21"/>
        </w:rPr>
      </w:pPr>
      <w:r>
        <w:rPr>
          <w:rFonts w:hint="eastAsia" w:ascii="楷体" w:hAnsi="楷体" w:eastAsia="楷体"/>
          <w:sz w:val="21"/>
          <w:lang w:val="en-US" w:eastAsia="zh-CN"/>
        </w:rPr>
        <w:t>投资</w:t>
      </w:r>
      <w:r>
        <w:rPr>
          <w:rFonts w:hint="eastAsia" w:ascii="楷体" w:hAnsi="楷体" w:eastAsia="楷体"/>
          <w:sz w:val="21"/>
        </w:rPr>
        <w:t>合作机构</w:t>
      </w:r>
    </w:p>
    <w:p>
      <w:pPr>
        <w:snapToGrid/>
        <w:spacing w:line="360" w:lineRule="auto"/>
        <w:ind w:firstLine="420" w:firstLineChars="200"/>
        <w:contextualSpacing/>
        <w:rPr>
          <w:rFonts w:hint="eastAsia" w:ascii="楷体" w:hAnsi="楷体" w:eastAsia="楷体" w:cs="楷体"/>
          <w:b w:val="0"/>
          <w:bCs w:val="0"/>
          <w:szCs w:val="21"/>
        </w:rPr>
      </w:pPr>
      <w:r>
        <w:rPr>
          <w:rFonts w:hint="eastAsia" w:ascii="楷体" w:hAnsi="楷体" w:eastAsia="楷体" w:cs="楷体"/>
          <w:szCs w:val="21"/>
        </w:rPr>
        <w:t>本理财产品</w:t>
      </w:r>
      <w:r>
        <w:rPr>
          <w:rFonts w:hint="eastAsia" w:ascii="楷体" w:hAnsi="楷体" w:eastAsia="楷体" w:cs="楷体"/>
          <w:b w:val="0"/>
          <w:bCs w:val="0"/>
          <w:szCs w:val="21"/>
        </w:rPr>
        <w:t>投资合作机构可能包括但不限于</w:t>
      </w:r>
      <w:r>
        <w:rPr>
          <w:rFonts w:hint="eastAsia" w:ascii="楷体" w:hAnsi="楷体" w:eastAsia="楷体" w:cs="楷体"/>
          <w:b w:val="0"/>
          <w:bCs w:val="0"/>
          <w:szCs w:val="21"/>
          <w:lang w:eastAsia="zh-CN"/>
        </w:rPr>
        <w:t>华润深国投信托有限公司、国投泰康信托有限公司、中国对外经济贸易信托有限公司、中国人保资产管理有限公司、大家资产管理有限责任公司、中国人寿资产管理有限公司、上银基金管理有限公司、永赢基金管理有限公司、上海光大证券资产管理有限公司、华泰证券(上海)资产管理有限公司、长城财富保险资产管理股份有限公司、民生通惠资产管理有限公司、国寿安保基金管理有限公司、平安信托有限责任公司、华鑫证券有限责任公司</w:t>
      </w:r>
      <w:r>
        <w:rPr>
          <w:rFonts w:hint="eastAsia" w:ascii="楷体" w:hAnsi="楷体" w:eastAsia="楷体" w:cs="楷体"/>
          <w:b w:val="0"/>
          <w:bCs w:val="0"/>
          <w:szCs w:val="21"/>
        </w:rPr>
        <w:t>等。</w:t>
      </w:r>
    </w:p>
    <w:p>
      <w:pPr>
        <w:spacing w:line="360" w:lineRule="auto"/>
        <w:ind w:firstLine="420" w:firstLineChars="200"/>
        <w:contextualSpacing/>
        <w:rPr>
          <w:rFonts w:hint="eastAsia" w:ascii="楷体" w:hAnsi="楷体" w:eastAsia="楷体" w:cs="楷体"/>
        </w:rPr>
      </w:pPr>
      <w:r>
        <w:rPr>
          <w:rFonts w:hint="eastAsia" w:ascii="楷体" w:hAnsi="楷体" w:eastAsia="楷体" w:cs="楷体"/>
          <w:kern w:val="2"/>
          <w:sz w:val="21"/>
          <w:szCs w:val="21"/>
          <w:lang w:val="en-US" w:eastAsia="zh-CN" w:bidi="ar"/>
        </w:rPr>
        <w:t>后续新增投资合作机构时，管理人将对合作机构的资质条件、专业服务能力和风险管理水平等进行充分评价，切实履行投资管理职责</w:t>
      </w:r>
      <w:r>
        <w:rPr>
          <w:rFonts w:hint="eastAsia" w:ascii="楷体" w:hAnsi="楷体" w:eastAsia="楷体" w:cs="楷体"/>
          <w:szCs w:val="21"/>
        </w:rPr>
        <w:t>。</w:t>
      </w:r>
    </w:p>
    <w:p>
      <w:pPr>
        <w:pStyle w:val="2"/>
        <w:spacing w:before="120" w:after="120" w:line="240" w:lineRule="auto"/>
        <w:rPr>
          <w:rFonts w:ascii="楷体" w:hAnsi="楷体" w:eastAsia="楷体"/>
          <w:sz w:val="28"/>
          <w:szCs w:val="28"/>
        </w:rPr>
      </w:pPr>
      <w:bookmarkStart w:id="11" w:name="_Hlk99536990"/>
      <w:r>
        <w:rPr>
          <w:rFonts w:hint="eastAsia" w:ascii="楷体_GB2312" w:eastAsia="楷体_GB2312"/>
          <w:bCs w:val="0"/>
          <w:sz w:val="28"/>
          <w:szCs w:val="28"/>
        </w:rPr>
        <w:t>八、</w:t>
      </w:r>
      <w:bookmarkEnd w:id="11"/>
      <w:bookmarkStart w:id="12" w:name="_Toc98680981"/>
      <w:r>
        <w:rPr>
          <w:rFonts w:ascii="楷体" w:hAnsi="楷体" w:eastAsia="楷体"/>
          <w:sz w:val="28"/>
          <w:szCs w:val="28"/>
        </w:rPr>
        <w:t>产品的收益、费用及税费</w:t>
      </w:r>
      <w:bookmarkEnd w:id="12"/>
    </w:p>
    <w:p>
      <w:pPr>
        <w:pStyle w:val="3"/>
        <w:spacing w:before="0" w:after="0" w:line="360" w:lineRule="auto"/>
        <w:ind w:firstLine="422" w:firstLineChars="200"/>
        <w:rPr>
          <w:rFonts w:ascii="楷体" w:hAnsi="楷体" w:eastAsia="楷体"/>
          <w:sz w:val="21"/>
        </w:rPr>
      </w:pPr>
      <w:bookmarkStart w:id="13" w:name="_Toc98680982"/>
      <w:r>
        <w:rPr>
          <w:rFonts w:hint="eastAsia" w:ascii="楷体" w:hAnsi="楷体" w:eastAsia="楷体"/>
          <w:sz w:val="21"/>
        </w:rPr>
        <w:t>（一）理财产品的收益分配</w:t>
      </w:r>
      <w:bookmarkEnd w:id="13"/>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1.投资者持有本理财产品期间及到期时，管理人不承诺保证投资本金安全且不保证理财收益，投资者收益（如有）随理财产品的投资盈亏水平浮动。</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2.就期间分配而言，</w:t>
      </w:r>
      <w:r>
        <w:rPr>
          <w:rFonts w:hint="eastAsia" w:ascii="楷体" w:hAnsi="楷体" w:eastAsia="楷体" w:cs="楷体"/>
          <w:szCs w:val="21"/>
        </w:rPr>
        <w:t>在满足收益分配基准日（以管理人确定的为准）理财产品份额净值大于理财产品初始份额净值的条件下，理财产品管理人可进行不定期分配，分配方式为现金分配。</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期间分配原则及方式：</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（1）每一理财产品份额享有同等分配权；</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如需进行收益分配，管理人应至少在分红日后2个工作日内通过《产品说明书》“信息披露”约定的方式，向投资者披露收益分配方案，包括但不限于收益分配基准日、分红日、收益分配对象、收益分配方式、分配金额等内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（3）原则上，管理人在理财产品分红日后5个工作日内将投资者可得资金转至投资者账户。超过5个工作日的，管理人将提前2个工作日通过《产品说明书》“信息披露”约定的方式，向投资者披露。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（4）在符合法律法规及理财产品合同约定，并对理财产品份额持有人利益无实质不利影响的前提下，理财产品管理人可通过公告形式对理财产品期间收益分配原则及方式进行调整。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3.就终止分配而言，</w:t>
      </w:r>
      <w:r>
        <w:rPr>
          <w:rFonts w:hint="eastAsia" w:ascii="楷体" w:hAnsi="楷体" w:eastAsia="楷体" w:cs="楷体"/>
          <w:szCs w:val="21"/>
        </w:rPr>
        <w:t>在理财产品终止日如理财产品项下财产全部变现，管理人在理财产品终止日后的5个工作日内扣除应由理财产品承担的税费及费用（包括但不限于固定投资管理费、托管费、销售管理费等）后将投资者应得资金（如有）划转至投资者指定账户。</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终止日，如理财产品项下所投资的标的资产因市场风险、信用风险等原因不能全部变现，则管理人将现金类资产扣除应由理财产品承担的税费及费用（包括但不限于固定投资管理费、销售管理费、托管费等）后，按照各投资者持有理财产品份额比例在5个工作日内向投资者分配。对于未变现资产部分，管理人以投资者利益最大化的原则，寻求未变现资产变现方式，在资产变现后，扣除应由理财产品承担的费用（包括但不限于固定投资管理费、托管费、销售管理费等，由管理人、第三方垫付的费用）后，按照各投资者持有理财产品份额比例在5个工作日内向投资者分配。延期清算期间，本理财产品不收取固定投资管理费、托管费及销售管理费等。理财产品项下财产正常变现情况下，投资者理财产品终止日可得资金（如有）计算公式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投资者可得资金=投资者理财产品终止日持有理财产品份额×理财产品终止日理财产品份额净值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如因理财产品所投资的标的资产因市场风险、信用风险等原因，导致资产无法在理财产品终止日内变现，则投资者应得资金为理财产品变现金额扣除应由理财产品承担的费用、税费后的剩余金额。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理财产品项下财产正常变现情况下，理财产品投资者在终止日可得收益（不包括投资者通过期间分配已经获得的收益）的计算公式为：</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每份额收益=理财产品终止日份额净值-理财产品</w:t>
      </w:r>
      <w:r>
        <w:rPr>
          <w:rFonts w:hint="eastAsia" w:ascii="楷体" w:hAnsi="楷体" w:eastAsia="楷体" w:cs="楷体"/>
          <w:szCs w:val="21"/>
          <w:lang w:val="en-US" w:eastAsia="zh-CN"/>
        </w:rPr>
        <w:t>初始</w:t>
      </w:r>
      <w:r>
        <w:rPr>
          <w:rFonts w:hint="eastAsia" w:ascii="楷体" w:hAnsi="楷体" w:eastAsia="楷体" w:cs="楷体"/>
          <w:szCs w:val="21"/>
        </w:rPr>
        <w:t>份额净值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投资者在终止日可得总收益=投资者理财产品终止日持有理财产品份额×每份额收益</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（二）</w:t>
      </w:r>
      <w:r>
        <w:rPr>
          <w:rFonts w:ascii="楷体" w:hAnsi="楷体" w:eastAsia="楷体"/>
          <w:sz w:val="21"/>
        </w:rPr>
        <w:t>理财产品费用</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1.理财产品费用指管理人为成立理财产品及处理理财产品事务目的而支出的所有费用，包括但不限于管理人收取的固定投资管理费、浮动投资管理费（如有）、托管人收取的托管费、销售机构收取的销售管理费、因投资资产而产生的资产服务费（如有）、交易费用（包括但不限于交易佣金、撮合费用等）、理财产品验资费、审计费、保全费、律师费、信息披露费、清算费、执行费用、外包服务费、资产评估费、资产存续期管理所需费用及按照法律法规规章规定和理财产品销售文件约定应由产品承担的费用，具体以实际发生为准。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2.理财产品费用按本《产品说明书》及投资管理人与费用收取方之间的协议约定从理财产品资产中支付。投资管理人或理财产品参与方以固有财产先行垫付的，有权从理财产品资产中优先受偿。</w:t>
      </w:r>
    </w:p>
    <w:p>
      <w:pPr>
        <w:spacing w:line="360" w:lineRule="auto"/>
        <w:ind w:firstLine="420"/>
        <w:rPr>
          <w:rFonts w:hint="eastAsia" w:ascii="楷体" w:hAnsi="楷体" w:eastAsia="楷体" w:cs="楷体"/>
          <w:szCs w:val="21"/>
        </w:rPr>
      </w:pPr>
      <w:r>
        <w:rPr>
          <w:rFonts w:hint="eastAsia" w:ascii="楷体" w:hAnsi="楷体" w:eastAsia="楷体" w:cs="楷体"/>
          <w:szCs w:val="21"/>
        </w:rPr>
        <w:t>3.本理财产品销售管理费、固定投资管理费、托管费均按日根据理财产品上一自然日日终产品资产净值进行提取，均为年化费率：</w:t>
      </w:r>
    </w:p>
    <w:p>
      <w:pPr>
        <w:spacing w:line="360" w:lineRule="auto"/>
        <w:ind w:firstLine="420"/>
        <w:rPr>
          <w:rFonts w:hint="eastAsia" w:ascii="楷体" w:hAnsi="楷体" w:eastAsia="楷体" w:cs="楷体"/>
          <w:szCs w:val="21"/>
        </w:rPr>
      </w:pPr>
      <w:r>
        <w:rPr>
          <w:rFonts w:hint="eastAsia" w:ascii="楷体" w:hAnsi="楷体" w:eastAsia="楷体" w:cs="楷体"/>
          <w:szCs w:val="21"/>
        </w:rPr>
        <w:t>（1）销售管理费：</w:t>
      </w:r>
      <w:r>
        <w:rPr>
          <w:rFonts w:hint="eastAsia" w:ascii="楷体_GB2312" w:hAnsi="宋体" w:eastAsia="楷体_GB2312"/>
          <w:b w:val="0"/>
          <w:bCs w:val="0"/>
          <w:color w:val="auto"/>
          <w:szCs w:val="21"/>
          <w:highlight w:val="none"/>
          <w:u w:val="none"/>
          <w:lang w:val="en-US" w:eastAsia="zh-CN"/>
        </w:rPr>
        <w:t>年化费率0.60%</w:t>
      </w:r>
    </w:p>
    <w:p>
      <w:pPr>
        <w:spacing w:line="360" w:lineRule="auto"/>
        <w:ind w:firstLine="420"/>
        <w:rPr>
          <w:rFonts w:hint="eastAsia" w:ascii="楷体" w:hAnsi="楷体" w:eastAsia="楷体" w:cs="楷体"/>
          <w:szCs w:val="21"/>
        </w:rPr>
      </w:pPr>
      <w:r>
        <w:rPr>
          <w:rFonts w:hint="eastAsia" w:ascii="楷体" w:hAnsi="楷体" w:eastAsia="楷体" w:cs="楷体"/>
          <w:szCs w:val="21"/>
        </w:rPr>
        <w:t>（2）固定投资管理费：</w:t>
      </w:r>
      <w:r>
        <w:rPr>
          <w:rFonts w:hint="eastAsia" w:ascii="楷体_GB2312" w:hAnsi="宋体" w:eastAsia="楷体_GB2312"/>
          <w:b w:val="0"/>
          <w:bCs w:val="0"/>
          <w:color w:val="auto"/>
          <w:szCs w:val="21"/>
          <w:highlight w:val="none"/>
          <w:u w:val="none"/>
          <w:lang w:val="en-US" w:eastAsia="zh-CN"/>
        </w:rPr>
        <w:t>年化费率0.60%</w:t>
      </w:r>
    </w:p>
    <w:p>
      <w:pPr>
        <w:spacing w:line="360" w:lineRule="auto"/>
        <w:ind w:firstLine="420"/>
        <w:rPr>
          <w:rFonts w:hint="eastAsia" w:ascii="楷体" w:hAnsi="楷体" w:eastAsia="楷体" w:cs="楷体"/>
          <w:szCs w:val="21"/>
        </w:rPr>
      </w:pPr>
      <w:r>
        <w:rPr>
          <w:rFonts w:hint="eastAsia" w:ascii="楷体" w:hAnsi="楷体" w:eastAsia="楷体" w:cs="楷体"/>
          <w:szCs w:val="21"/>
        </w:rPr>
        <w:t>（3）托管费：</w:t>
      </w:r>
      <w:r>
        <w:rPr>
          <w:rFonts w:hint="eastAsia" w:ascii="楷体_GB2312" w:hAnsi="宋体" w:eastAsia="楷体_GB2312"/>
          <w:b w:val="0"/>
          <w:bCs w:val="0"/>
          <w:color w:val="auto"/>
          <w:szCs w:val="21"/>
          <w:highlight w:val="none"/>
          <w:u w:val="none"/>
          <w:lang w:val="en-US" w:eastAsia="zh-CN"/>
        </w:rPr>
        <w:t>年化费率0.02%</w:t>
      </w:r>
    </w:p>
    <w:p>
      <w:pPr>
        <w:spacing w:line="360" w:lineRule="auto"/>
        <w:ind w:firstLine="420"/>
        <w:rPr>
          <w:rFonts w:hint="eastAsia" w:ascii="楷体" w:hAnsi="楷体" w:eastAsia="楷体" w:cs="楷体"/>
          <w:szCs w:val="21"/>
        </w:rPr>
      </w:pPr>
      <w:r>
        <w:rPr>
          <w:rFonts w:hint="eastAsia" w:ascii="楷体" w:hAnsi="楷体" w:eastAsia="楷体" w:cs="楷体"/>
          <w:szCs w:val="21"/>
        </w:rPr>
        <w:t>理财产品某一类份额每个自然日计提的销售管理费/固定投资管理费/托管费=上一自然日理财产品该类份额资产净值×销售管理费/固定投资管理费/托管费年化费率÷365</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4.管理人有权依照理财产品销售文件约定规则收取浮动投资管理费。</w:t>
      </w:r>
    </w:p>
    <w:p>
      <w:pPr>
        <w:spacing w:line="360" w:lineRule="auto"/>
        <w:ind w:firstLine="420" w:firstLineChars="200"/>
        <w:rPr>
          <w:rFonts w:hint="eastAsia" w:ascii="楷体" w:hAnsi="楷体" w:eastAsia="楷体" w:cs="楷体"/>
          <w:szCs w:val="21"/>
        </w:rPr>
      </w:pPr>
      <w:r>
        <w:rPr>
          <w:rFonts w:hint="eastAsia" w:ascii="楷体" w:hAnsi="楷体" w:eastAsia="楷体" w:cs="楷体"/>
          <w:szCs w:val="21"/>
        </w:rPr>
        <w:t>本理财产品浮动投资管理费收取比例：【80.00%】</w:t>
      </w:r>
    </w:p>
    <w:p>
      <w:pPr>
        <w:spacing w:line="360" w:lineRule="auto"/>
        <w:ind w:firstLine="420"/>
        <w:rPr>
          <w:rFonts w:hint="eastAsia" w:ascii="楷体" w:hAnsi="楷体" w:eastAsia="楷体" w:cs="楷体"/>
          <w:szCs w:val="21"/>
        </w:rPr>
      </w:pPr>
      <w:r>
        <w:rPr>
          <w:rFonts w:hint="eastAsia" w:ascii="楷体" w:hAnsi="楷体" w:eastAsia="楷体" w:cs="楷体"/>
          <w:szCs w:val="21"/>
        </w:rPr>
        <w:t>浮动投资管理费：管理人将对自理财产品成立日至当日的产品年化收益率超过同期业绩比较基准的部分按照上述比例每日计提浮动投资管理费,并于理财产品实际到期日结算。每日计提的浮动投资管理费仅作为暂估数据，用于理财产品会计核算和估值日估值。仅以理财产品实际到期日当天确认计提的浮动投资管理费作为浮动投资管理费的结算依据。计算公式如下：</w:t>
      </w:r>
    </w:p>
    <w:p>
      <w:pPr>
        <w:spacing w:line="360" w:lineRule="auto"/>
        <w:ind w:firstLine="420"/>
        <w:rPr>
          <w:rFonts w:hint="eastAsia" w:ascii="楷体" w:hAnsi="楷体" w:eastAsia="楷体" w:cs="楷体"/>
          <w:szCs w:val="21"/>
        </w:rPr>
      </w:pPr>
      <w:r>
        <w:rPr>
          <w:rFonts w:hint="eastAsia" w:ascii="楷体" w:hAnsi="楷体" w:eastAsia="楷体" w:cs="楷体"/>
          <w:szCs w:val="21"/>
        </w:rPr>
        <w:t>年化收益率R=[（期末扣除固定费用后产品净资产）÷（期初产品净资产）-1]×365÷天数</w:t>
      </w:r>
    </w:p>
    <w:p>
      <w:pPr>
        <w:spacing w:line="360" w:lineRule="auto"/>
        <w:ind w:firstLine="420"/>
        <w:rPr>
          <w:rFonts w:hint="eastAsia" w:ascii="楷体" w:hAnsi="楷体" w:eastAsia="楷体" w:cs="楷体"/>
          <w:szCs w:val="21"/>
        </w:rPr>
      </w:pPr>
      <w:r>
        <w:rPr>
          <w:rFonts w:hint="eastAsia" w:ascii="楷体" w:hAnsi="楷体" w:eastAsia="楷体" w:cs="楷体"/>
          <w:szCs w:val="21"/>
        </w:rPr>
        <w:t>浮动投资管理费计算公式如下：</w:t>
      </w:r>
    </w:p>
    <w:tbl>
      <w:tblPr>
        <w:tblStyle w:val="11"/>
        <w:tblW w:w="5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4"/>
        <w:gridCol w:w="1361"/>
        <w:gridCol w:w="2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年化收益率（R）</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计提比例</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浮动投资管理费率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szCs w:val="21"/>
              </w:rPr>
              <w:t>【80.00%】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r>
              <w:rPr>
                <w:rFonts w:hint="eastAsia" w:ascii="楷体" w:hAnsi="楷体" w:eastAsia="楷体" w:cs="楷体"/>
              </w:rPr>
              <w:t>）×</w:t>
            </w:r>
            <w:r>
              <w:rPr>
                <w:rFonts w:hint="eastAsia" w:ascii="楷体" w:hAnsi="楷体" w:eastAsia="楷体" w:cs="楷体"/>
                <w:szCs w:val="21"/>
              </w:rPr>
              <w:t>【80.00%】</w:t>
            </w:r>
          </w:p>
        </w:tc>
      </w:tr>
    </w:tbl>
    <w:p>
      <w:pPr>
        <w:spacing w:line="360" w:lineRule="auto"/>
        <w:ind w:firstLine="420"/>
        <w:rPr>
          <w:rFonts w:hint="eastAsia" w:ascii="楷体" w:hAnsi="楷体" w:eastAsia="楷体" w:cs="楷体"/>
          <w:szCs w:val="21"/>
        </w:rPr>
      </w:pPr>
      <w:r>
        <w:rPr>
          <w:rFonts w:hint="eastAsia" w:ascii="楷体" w:hAnsi="楷体" w:eastAsia="楷体" w:cs="楷体"/>
          <w:szCs w:val="21"/>
        </w:rPr>
        <w:t>浮动投资管理费=期初产品净资产×浮动投资管理费率×期限÷365。</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产品运作和清算中产生的其他资金汇划费、结算费、手续费、注册登记费、信息披露费、账户服务费、审计费、律师费、外包服务费、资产评估费、资产存续期管理所需费用及按照法律法规规章规定和理财产品销售文件约定应由产品承担的费用等，按照实际发生额从产品资产中列支。</w:t>
      </w:r>
    </w:p>
    <w:p>
      <w:pPr>
        <w:spacing w:line="360" w:lineRule="auto"/>
        <w:ind w:firstLine="420"/>
        <w:rPr>
          <w:rFonts w:hint="eastAsia" w:ascii="楷体" w:hAnsi="楷体" w:eastAsia="楷体" w:cs="楷体"/>
          <w:szCs w:val="21"/>
        </w:rPr>
      </w:pPr>
      <w:r>
        <w:rPr>
          <w:rFonts w:hint="eastAsia" w:ascii="楷体" w:hAnsi="楷体" w:eastAsia="楷体" w:cs="楷体"/>
          <w:szCs w:val="21"/>
        </w:rPr>
        <w:t>6.管理人有权根据相关法律和国家政策规定调整产品费率，调整产品费率的公告将通过《产品说明书》“信息披露”约定的方式向投资者披露。投资者若不接受，可根据实际情况按照公告约定提前赎回本理财产品。</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7.管理人有权根据国家政策和适用法律的规定，对本理财产品费用名目、收费条件、收费标准和收费方式进行调整，并通过《产品说明书》“信息披露”约定的方式，向投资者披露。其中，对于管理人增加费用名目、提高收费标准等对投资者利益产生实质性影响的情形，投资者如不同意调整的，可在管理人信息披露的补充或修改后的相关业务调整生效前赎回本理财产品（此种情况下管理人将可能在赎回开放日外单独开放特殊赎回期间，具体以届时管理人的公告为准），逾期未赎回的视为同意接受前述调整且继续持有本理财产品。</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（三）</w:t>
      </w:r>
      <w:r>
        <w:rPr>
          <w:rFonts w:ascii="楷体" w:hAnsi="楷体" w:eastAsia="楷体"/>
          <w:sz w:val="21"/>
        </w:rPr>
        <w:t>理财产品税费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1.理财产品税费在理财产品资产中列支。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2.除理财产品销售文件另有约定外，理财产品运作过程中涉及的各纳税主体，依照适用法律规定自行履行纳税义务。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3.若适用法律要求投资管理人代扣代缴理财产品份额持有人应纳税款的，投资管理人将依法履行扣缴义务，份额持有人对此应给予配合。</w:t>
      </w:r>
    </w:p>
    <w:p>
      <w:pPr>
        <w:spacing w:line="360" w:lineRule="auto"/>
        <w:ind w:firstLine="420" w:firstLineChars="200"/>
        <w:contextualSpacing/>
        <w:rPr>
          <w:rFonts w:hint="eastAsia" w:ascii="楷体" w:hAnsi="楷体" w:eastAsia="楷体" w:cs="楷体"/>
          <w:b/>
          <w:bCs/>
        </w:rPr>
      </w:pPr>
      <w:r>
        <w:rPr>
          <w:rFonts w:hint="eastAsia" w:ascii="楷体" w:hAnsi="楷体" w:eastAsia="楷体" w:cs="楷体"/>
          <w:szCs w:val="21"/>
        </w:rPr>
        <w:t>4.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p>
      <w:pPr>
        <w:pStyle w:val="2"/>
        <w:spacing w:before="120" w:after="120" w:line="240" w:lineRule="auto"/>
        <w:rPr>
          <w:rFonts w:ascii="楷体" w:hAnsi="楷体" w:eastAsia="楷体"/>
          <w:sz w:val="28"/>
          <w:szCs w:val="28"/>
        </w:rPr>
      </w:pPr>
      <w:bookmarkStart w:id="14" w:name="_Toc98680985"/>
      <w:r>
        <w:rPr>
          <w:rFonts w:hint="eastAsia" w:ascii="楷体" w:hAnsi="楷体" w:eastAsia="楷体"/>
          <w:sz w:val="28"/>
          <w:szCs w:val="28"/>
        </w:rPr>
        <w:t>九</w:t>
      </w:r>
      <w:r>
        <w:rPr>
          <w:rFonts w:ascii="楷体" w:hAnsi="楷体" w:eastAsia="楷体"/>
          <w:sz w:val="28"/>
          <w:szCs w:val="28"/>
        </w:rPr>
        <w:t>、产品的延期、提前终止与产品资产清算</w:t>
      </w:r>
      <w:bookmarkEnd w:id="14"/>
    </w:p>
    <w:p>
      <w:pPr>
        <w:pStyle w:val="3"/>
        <w:keepNext w:val="0"/>
        <w:keepLines w:val="0"/>
        <w:spacing w:before="0" w:after="0" w:line="360" w:lineRule="auto"/>
        <w:ind w:firstLine="422" w:firstLineChars="200"/>
        <w:rPr>
          <w:rFonts w:hint="eastAsia" w:ascii="楷体" w:hAnsi="楷体" w:eastAsia="楷体" w:cs="楷体"/>
        </w:rPr>
      </w:pPr>
      <w:bookmarkStart w:id="15" w:name="_Toc98680986"/>
      <w:r>
        <w:rPr>
          <w:rFonts w:hint="eastAsia" w:ascii="楷体" w:hAnsi="楷体" w:eastAsia="楷体" w:cs="楷体"/>
          <w:sz w:val="21"/>
        </w:rPr>
        <w:t>（一）理财产品延期</w:t>
      </w:r>
      <w:bookmarkEnd w:id="15"/>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如本理财产品到期日逢非【工作日】顺延至下一【工作日】。发生下列任一情形的，理财产品管理人有权以投资者利益最大化为原则，根据市场情况综合判断决定延长产品期限，推迟理财产品到期日：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1.预计在理财产品到期日，理财产品财产因理财产品所投资的资产的市场风险、信用风险等原因将无法全部变现；</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2.预计理财产品所投资的信托计划、资管计划、私募基金的受托人或管理人将不能按期向管理人划付理财产品的本金和收益；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3.理财产品财产涉及诉讼（或仲裁），且预计诉讼（或仲裁）及执行程序于理财产品预计到期日尚未终结；</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4.管理人与托管人、销售机构协商一致决定延期；</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5.管理人认为有必要延期的其他情形；</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6.法律规定的及本《产品说明书》约定的其他情形。</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如管理人决定本理财产品延期的，将于理财产品预计到期日前2个工作日通过《产品说明书》“信息披露”约定的方式，向投资者披露，对延期事项进行说明，并说明延期期限及到期之日，自披露之日即视为相关信息已送达，并据约定生效之日起生效。若投资者不同意延期的，可在信息披露的延期生效前赎回本理财产品（此种情况下可能开放特殊赎回期间，具体以届时的公告为准），</w:t>
      </w:r>
      <w:r>
        <w:rPr>
          <w:rFonts w:hint="eastAsia" w:ascii="楷体" w:hAnsi="楷体" w:eastAsia="楷体" w:cs="楷体"/>
          <w:b/>
          <w:bCs/>
          <w:szCs w:val="21"/>
        </w:rPr>
        <w:t>逾期未赎回的视为同意。</w:t>
      </w:r>
    </w:p>
    <w:p>
      <w:pPr>
        <w:pStyle w:val="3"/>
        <w:spacing w:before="0" w:after="0" w:line="360" w:lineRule="auto"/>
        <w:ind w:firstLine="422" w:firstLineChars="200"/>
        <w:rPr>
          <w:rFonts w:ascii="楷体" w:hAnsi="楷体" w:eastAsia="楷体"/>
          <w:sz w:val="21"/>
        </w:rPr>
      </w:pPr>
      <w:bookmarkStart w:id="16" w:name="_Toc98680987"/>
      <w:r>
        <w:rPr>
          <w:rFonts w:hint="eastAsia" w:ascii="楷体" w:hAnsi="楷体" w:eastAsia="楷体"/>
          <w:sz w:val="21"/>
        </w:rPr>
        <w:t>（二）理</w:t>
      </w:r>
      <w:r>
        <w:rPr>
          <w:rFonts w:ascii="楷体" w:hAnsi="楷体" w:eastAsia="楷体"/>
          <w:sz w:val="21"/>
        </w:rPr>
        <w:t>财产品终止与清算</w:t>
      </w:r>
      <w:bookmarkEnd w:id="16"/>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1.为避免疑义，理财产品除因本条以下所列理财产品终止事件而终止外，投资者不得提议要求提前终止理财产品。</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（1）理财产品必须终止的事件：</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a.发生不可抗力事件导致理财产品不能存续；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b.理财产品被法院或仲裁机构依法撤销、被认定为无效或被判决、裁定终止或被监管机构要求终止的；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c.理财产品预计到期日届至且未延期的；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d.理财产品延期期限届至且未再次延期，或出现适用法律规定应当终止理财产品的情形。 </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 xml:space="preserve">（2）理财产品管理人有权单方决定是否终止的事件：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a.理财存续期内，理财产品连续10个工作日总份额低于1亿份；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b.如遇国家金融政策出现重大调整或宏观经济形势发生重大变化并影响到本理财产品的正常运作；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c.本理财产品投向的金融资产所涉相关主体信用恶化，市场利率大幅下滑；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d.为保护投资者利益，理财产品投向的信托计划、资管计划等提前终止；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e.为保护投资者利益，管理人有合理理由认为将影响本理财产品正常运作的其他情形。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2.理财产品不因投资者死亡、丧失民事行为能力、破产而终止；投资者的法定继承人、承继人或指定受益人以及继任管理人承担本理财产品销售文件项下的相应权利和义务。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3.如理财产品终止，除理财产品必须终止的事件第c项及第d项之外，理财产品管理人应提前2个工作日通过《产品说明书》“信息披露”约定的方式，向投资者披露，并披露理财产品终止之日。</w:t>
      </w:r>
    </w:p>
    <w:p>
      <w:pPr>
        <w:spacing w:line="360" w:lineRule="auto"/>
        <w:ind w:firstLine="420" w:firstLineChars="200"/>
        <w:contextualSpacing/>
        <w:rPr>
          <w:rFonts w:hint="eastAsia" w:ascii="楷体" w:hAnsi="楷体" w:eastAsia="楷体" w:cs="楷体"/>
        </w:rPr>
      </w:pPr>
      <w:r>
        <w:rPr>
          <w:rFonts w:hint="eastAsia" w:ascii="楷体" w:hAnsi="楷体" w:eastAsia="楷体" w:cs="楷体"/>
          <w:szCs w:val="21"/>
        </w:rPr>
        <w:t>4.</w:t>
      </w:r>
      <w:r>
        <w:rPr>
          <w:rFonts w:hint="eastAsia" w:ascii="楷体" w:hAnsi="楷体" w:eastAsia="楷体" w:cs="楷体"/>
          <w:b w:val="0"/>
          <w:bCs w:val="0"/>
          <w:szCs w:val="21"/>
          <w:highlight w:val="none"/>
          <w:u w:val="none"/>
        </w:rPr>
        <w:t>理财产品终止后，理财产品管理人将根据届时适用法律规定和监管机构的指引、要求及/或管理人的规定以及本理财产品销售文件的约定对本理财产品进行清算。</w:t>
      </w:r>
      <w:r>
        <w:rPr>
          <w:rFonts w:hint="eastAsia" w:ascii="楷体" w:hAnsi="楷体" w:eastAsia="楷体" w:cs="楷体"/>
          <w:szCs w:val="21"/>
        </w:rPr>
        <w:t>理财资产清算后扣除理财相关费用、缴纳所欠税款并清偿理财产品负债后，理财利益按投资者持有的理财产品份额比例进行分配。清算期原则上不得超过5个工作日，清算期超过5个工作日的，将通过《产品说明书》“信息披露”约定的方式向投资者披露。</w:t>
      </w:r>
    </w:p>
    <w:p>
      <w:pPr>
        <w:pStyle w:val="2"/>
        <w:spacing w:before="120" w:after="120" w:line="240" w:lineRule="auto"/>
        <w:rPr>
          <w:rFonts w:ascii="楷体" w:hAnsi="楷体" w:eastAsia="楷体"/>
          <w:sz w:val="28"/>
          <w:szCs w:val="28"/>
        </w:rPr>
      </w:pPr>
      <w:bookmarkStart w:id="17" w:name="_Toc98680988"/>
      <w:r>
        <w:rPr>
          <w:rFonts w:hint="eastAsia" w:ascii="楷体" w:hAnsi="楷体" w:eastAsia="楷体"/>
          <w:sz w:val="28"/>
          <w:szCs w:val="28"/>
        </w:rPr>
        <w:t>十</w:t>
      </w:r>
      <w:bookmarkEnd w:id="17"/>
      <w:bookmarkStart w:id="18" w:name="_Toc98680989"/>
      <w:r>
        <w:rPr>
          <w:rFonts w:ascii="楷体" w:hAnsi="楷体" w:eastAsia="楷体"/>
          <w:sz w:val="28"/>
          <w:szCs w:val="28"/>
        </w:rPr>
        <w:t>、信息披露</w:t>
      </w:r>
      <w:bookmarkEnd w:id="18"/>
    </w:p>
    <w:p>
      <w:pPr>
        <w:pStyle w:val="3"/>
        <w:spacing w:before="0" w:after="0" w:line="360" w:lineRule="auto"/>
        <w:ind w:firstLine="422" w:firstLineChars="200"/>
        <w:rPr>
          <w:rFonts w:hint="eastAsia" w:ascii="楷体" w:hAnsi="楷体" w:eastAsia="楷体" w:cs="楷体"/>
          <w:sz w:val="21"/>
        </w:rPr>
      </w:pPr>
      <w:bookmarkStart w:id="19" w:name="_Toc98680990"/>
      <w:r>
        <w:rPr>
          <w:rFonts w:hint="eastAsia" w:ascii="楷体" w:hAnsi="楷体" w:eastAsia="楷体" w:cs="楷体"/>
          <w:sz w:val="21"/>
        </w:rPr>
        <w:t>（一）信息披露的渠道</w:t>
      </w:r>
      <w:bookmarkEnd w:id="19"/>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1.本理财产品认购期和存续期间，将通过产品管理人官方网站</w:t>
      </w:r>
      <w:r>
        <w:rPr>
          <w:rFonts w:hint="eastAsia" w:ascii="楷体" w:hAnsi="楷体" w:eastAsia="楷体" w:cs="楷体"/>
          <w:b/>
          <w:bCs/>
          <w:szCs w:val="21"/>
          <w:highlight w:val="none"/>
          <w:u w:val="none"/>
          <w:lang w:val="en-US" w:eastAsia="zh-CN"/>
        </w:rPr>
        <w:t>（www.boscwm.cn）</w:t>
      </w:r>
      <w:r>
        <w:rPr>
          <w:rFonts w:hint="eastAsia" w:ascii="楷体" w:hAnsi="楷体" w:eastAsia="楷体" w:cs="楷体"/>
          <w:b/>
          <w:bCs/>
          <w:szCs w:val="21"/>
        </w:rPr>
        <w:t>或销售机构的信息披露渠道（包括但不限于销售机构的营业网点、门户网站、电子销售渠道等）进行本理财产品的信息披露。</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2.产品管理人通过信息披露渠道发布理财产品有关信息，即视为已适当履行其信息披露义务。</w:t>
      </w:r>
      <w:r>
        <w:rPr>
          <w:rFonts w:hint="eastAsia" w:ascii="楷体" w:hAnsi="楷体" w:eastAsia="楷体" w:cs="楷体"/>
          <w:szCs w:val="21"/>
        </w:rPr>
        <w:t>如产品管理人认为需要直接联系投资者的，将依据本说明书投资者信息中投资者预留的信息进行通知。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投资者应定期通过约定的相关渠道获知有关本理财产品相关信息。以上相关信息自披露之日即视为已送达投资者，也视为产品管理人已适当披露代销理财产品相关信息。投资者承诺将及时接收、浏览和阅读该等信息。</w:t>
      </w:r>
      <w:r>
        <w:rPr>
          <w:rFonts w:hint="eastAsia" w:ascii="楷体" w:hAnsi="楷体" w:eastAsia="楷体" w:cs="楷体"/>
          <w:szCs w:val="21"/>
        </w:rPr>
        <w:t>如投资者对本产品的运作状况有任何疑问，可向产品管理人或销售机构进行咨询。</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4.在保障投资者知情权的前提下，产品管理人保留变更信息披露渠道的权利。</w:t>
      </w:r>
    </w:p>
    <w:p>
      <w:pPr>
        <w:pStyle w:val="3"/>
        <w:spacing w:before="0" w:after="0" w:line="360" w:lineRule="auto"/>
        <w:ind w:firstLine="422" w:firstLineChars="200"/>
        <w:rPr>
          <w:rFonts w:ascii="楷体" w:hAnsi="楷体" w:eastAsia="楷体"/>
          <w:sz w:val="21"/>
        </w:rPr>
      </w:pPr>
      <w:bookmarkStart w:id="20" w:name="_Toc98680991"/>
      <w:r>
        <w:rPr>
          <w:rFonts w:hint="eastAsia" w:ascii="楷体" w:hAnsi="楷体" w:eastAsia="楷体"/>
          <w:sz w:val="21"/>
        </w:rPr>
        <w:t>（二）</w:t>
      </w:r>
      <w:r>
        <w:rPr>
          <w:rFonts w:ascii="楷体" w:hAnsi="楷体" w:eastAsia="楷体"/>
          <w:sz w:val="21"/>
        </w:rPr>
        <w:t>信息披露的内容和时间</w:t>
      </w:r>
      <w:bookmarkEnd w:id="20"/>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1.理财产品发行公告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管理人将在理财产品成立之后5个工作日内披露发行公告，包括理财产品成立日期和募集规模等信息。若募集期新出台的法律、法规导致本理财产品不适宜成立运行，或理财产品认购总金额未达到认购规模下限，或出现其他影响理财产品正常运作的情况，则理财产品管理人有权宣布本理财产品不能成立，并在理财产品不能成立的2个工作日内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2.理财产品定期报告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管理人将在每个季度结束之日起15个工作日内、每个上半年结束之日起60个工作日内、每个年度结束之日起90个工作日内，向投资者披露季度、半年和年度报告等定期报告。理财产品成立不足90个工作日或者剩余存续期不超过90个工作日的，管理人可以不编制理财产品当期的季度、半年和年度报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3.理财产品临时性信息披露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（1）产品存续期间，对于提高收费标准、增加收费项目等事项，管理人将提前3个月以临时公告形式向投资者进行信息披露。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在产品存续期间，管理人可以提前2个工作日通过约定的信息披露渠道进行信息披露，根据市场情况对理财产品投资范围、投资资产种类或投资比例、募集期延长或提前结束募集、已约定的收费项目、条件、标准或计提方式、风险等级、交易结构、规模上限或下限、赎回约定、投资起点金额、追加投资金额或其他经管理人判断可能对理财产品份额持有人权益产生影响的条款进行补充、说明和修改。</w:t>
      </w:r>
    </w:p>
    <w:p>
      <w:pPr>
        <w:spacing w:line="360" w:lineRule="auto"/>
        <w:ind w:firstLine="420" w:firstLineChars="200"/>
        <w:contextualSpacing/>
        <w:rPr>
          <w:rFonts w:hint="eastAsia" w:ascii="楷体" w:hAnsi="楷体" w:eastAsia="楷体" w:cs="楷体"/>
        </w:rPr>
      </w:pPr>
      <w:r>
        <w:rPr>
          <w:rFonts w:hint="eastAsia" w:ascii="楷体" w:hAnsi="楷体" w:eastAsia="楷体" w:cs="楷体"/>
          <w:szCs w:val="21"/>
        </w:rPr>
        <w:t>其中，涉及投资范围、投资品种、投资比例调整导致其超出销售文件约定比例的，除超出比例投资比本理财产品风险更低的资产外，需取得投资者书面同意。</w:t>
      </w:r>
      <w:r>
        <w:rPr>
          <w:rFonts w:hint="eastAsia" w:ascii="楷体" w:hAnsi="楷体" w:eastAsia="楷体" w:cs="楷体"/>
          <w:b/>
          <w:bCs/>
          <w:szCs w:val="21"/>
        </w:rPr>
        <w:t>对于投资者利益产生实质影响的事项（如对投资范围、投资品种、投资比例进行调整，但因国家法律法规、监管规定发生变化导致的除外），投资者如不同意相关调整的，可在管理人披露的相关调整生效前赎回本理财产品（此种情况下管理人将可能在赎回开放日外单独开放特殊赎回期间，具体以届时管理人的公告为准），</w:t>
      </w:r>
      <w:r>
        <w:rPr>
          <w:rFonts w:hint="eastAsia" w:ascii="楷体" w:hAnsi="楷体" w:eastAsia="楷体" w:cs="楷体"/>
          <w:szCs w:val="21"/>
        </w:rPr>
        <w:t>投资者本金和收益（如有）将在赎回确认日后10个工作日内通过销售机构划转至投资者账户。</w:t>
      </w:r>
      <w:r>
        <w:rPr>
          <w:rFonts w:hint="eastAsia" w:ascii="楷体" w:hAnsi="楷体" w:eastAsia="楷体" w:cs="楷体"/>
          <w:b/>
          <w:bCs/>
          <w:szCs w:val="21"/>
        </w:rPr>
        <w:t>逾期未赎回的视为投资者书面同意相关调整并继续持有本理财产品。</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在产品存续期间，若金融市场发生重大变化导致理财产品投资比例暂时超出浮动区间且可能对理财产品收益产生重大影响或理财产品持有的单笔资产发生信用风险时间且对理财产品投资收益产生较大影响时，在发生涉及理财产品认（申）购、赎回事项调整或潜在影响投资者赎回等事项时，管理人应于3个工作日内向投资者进行信息披露。</w:t>
      </w:r>
    </w:p>
    <w:p>
      <w:pPr>
        <w:numPr>
          <w:ilvl w:val="12"/>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（4）理财产品清算期超过5个工作日的，产品管理人应当在理财产品终止前，根据与投资者的约定，在指定渠道向理财产品投资者进行披露。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4.理财产品重大事项公告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存续期间，如果发生管理人认为可能影响产品运作的重大不利事项时，包括但不限于未按照本《产品说明书》约定分配收益；理财产品所投资资产发生重大损失；理财产品管理人、托管人等出现变更；市场发生重大变化、投资的资产质量发生重大变化或者其它可能对投资者权益产生重大影响的突发事件等经管理人判断对理财投资价值有实质性影响的重大事件，管理人将在2个工作日内向投资者披露相关信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5.理财产品终止公告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管理人将在理财产品终止后的5个工作日内披露。终止公告的内容包括理财产品存续期限、终止日期、收费情况和收益分配情况等信息。</w:t>
      </w:r>
    </w:p>
    <w:p>
      <w:pPr>
        <w:numPr>
          <w:ilvl w:val="12"/>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6.所有产品披露以产品管理人完成信息发布时间为准，如遇渠道方系统故障等情况不影响披露时间效力。</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7.在本理财产品存续期内，如出于维持本理财产品正常运营的需要且在不损害投资者利益的前提下，或因国家法律法规、监管规定发生变化，管理人有权单方对本理财产品合同进行修订。管理人决定对理财产品合同进行修订的，将提前2个工作日通过“信息披露”章节约定的信息披露渠道发布相关信息公告通知投资者。修订后的理财产品合同对投资者具有法律约束力。</w:t>
      </w:r>
    </w:p>
    <w:p>
      <w:pPr>
        <w:pStyle w:val="2"/>
        <w:spacing w:before="120" w:after="120" w:line="240" w:lineRule="auto"/>
        <w:rPr>
          <w:rFonts w:ascii="楷体" w:hAnsi="楷体" w:eastAsia="楷体"/>
          <w:sz w:val="28"/>
          <w:szCs w:val="28"/>
        </w:rPr>
      </w:pPr>
      <w:r>
        <w:rPr>
          <w:rFonts w:hint="eastAsia" w:ascii="楷体" w:hAnsi="楷体" w:eastAsia="楷体"/>
          <w:sz w:val="28"/>
          <w:szCs w:val="28"/>
        </w:rPr>
        <w:t>十一</w:t>
      </w:r>
      <w:r>
        <w:rPr>
          <w:rFonts w:ascii="楷体" w:hAnsi="楷体" w:eastAsia="楷体"/>
          <w:sz w:val="28"/>
          <w:szCs w:val="28"/>
        </w:rPr>
        <w:t>、保密</w:t>
      </w:r>
      <w:r>
        <w:rPr>
          <w:rFonts w:hint="eastAsia" w:ascii="楷体" w:hAnsi="楷体" w:eastAsia="楷体"/>
          <w:sz w:val="28"/>
          <w:szCs w:val="28"/>
        </w:rPr>
        <w:t>原则</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2.产品管理人应保密的投资人的保密信息包括不限于投资者身份证件、联系电话、产品持有份额等个人敏感信息。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3.投资者、理财产品管理人有义务对上述保密信息采取保密措施，未经对方同意不得向任何第三方披露保密信息，否则应承担相应违约责任，但以下情形除外：</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（1）向与本次投资有关而需要获知以上信息并受保密协议约束的律师、会计师、顾问和咨询人员披露的；</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（2）根据适用的法律法规和规章制度要求，向有关政府部门、监管机构或者管理机构（包括证券交易所）披露的；</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（3）本《产品说明书》另有约定的。</w:t>
      </w:r>
    </w:p>
    <w:p>
      <w:pPr>
        <w:spacing w:line="360" w:lineRule="auto"/>
        <w:ind w:firstLine="420" w:firstLineChars="200"/>
        <w:contextualSpacing/>
        <w:rPr>
          <w:rFonts w:hint="eastAsia" w:ascii="楷体" w:hAnsi="楷体" w:eastAsia="楷体" w:cs="楷体"/>
          <w:b/>
          <w:bCs/>
        </w:rPr>
      </w:pPr>
      <w:r>
        <w:rPr>
          <w:rFonts w:hint="eastAsia" w:ascii="楷体" w:hAnsi="楷体" w:eastAsia="楷体" w:cs="楷体"/>
          <w:szCs w:val="21"/>
        </w:rPr>
        <w:t>4.前述保密义务不因本理财产品销售文件或相关协议的无效、被撤销、终止、变更、中止、解除而受影响。</w:t>
      </w:r>
    </w:p>
    <w:p>
      <w:pPr>
        <w:pStyle w:val="2"/>
        <w:spacing w:before="120" w:after="120" w:line="240" w:lineRule="auto"/>
        <w:rPr>
          <w:rFonts w:ascii="楷体" w:hAnsi="楷体" w:eastAsia="楷体"/>
          <w:sz w:val="28"/>
          <w:szCs w:val="28"/>
        </w:rPr>
      </w:pPr>
      <w:bookmarkStart w:id="21" w:name="_Toc98680992"/>
      <w:r>
        <w:rPr>
          <w:rFonts w:hint="eastAsia" w:ascii="楷体" w:hAnsi="楷体" w:eastAsia="楷体"/>
          <w:sz w:val="28"/>
          <w:szCs w:val="28"/>
        </w:rPr>
        <w:t>十二</w:t>
      </w:r>
      <w:r>
        <w:rPr>
          <w:rFonts w:ascii="楷体" w:hAnsi="楷体" w:eastAsia="楷体"/>
          <w:sz w:val="28"/>
          <w:szCs w:val="28"/>
        </w:rPr>
        <w:t>、相关事项说明</w:t>
      </w:r>
      <w:bookmarkEnd w:id="21"/>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1.本理财产品中示例均采用假设数据，并不代表客户实际可获得的收益。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2.业务受理、信息公布的相关时间以上银理财业务系统所记北京时间为准。</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3.本理财产品合同适用中华人民共和国大陆地区的法律，其项下及与之有关的一切争议，投资者与产品管理人、销售机构应首先友好协商解决。协商未达成一致的，任何一方可向产品管理人所在地法院提起诉讼。</w:t>
      </w:r>
    </w:p>
    <w:p>
      <w:pPr>
        <w:spacing w:line="360" w:lineRule="auto"/>
        <w:ind w:firstLine="422" w:firstLineChars="200"/>
        <w:contextualSpacing/>
        <w:rPr>
          <w:rFonts w:hint="eastAsia" w:ascii="楷体" w:hAnsi="楷体" w:eastAsia="楷体" w:cs="楷体"/>
          <w:b/>
          <w:bCs/>
        </w:rPr>
      </w:pPr>
      <w:r>
        <w:rPr>
          <w:rFonts w:hint="eastAsia" w:ascii="楷体" w:hAnsi="楷体" w:eastAsia="楷体" w:cs="楷体"/>
          <w:b/>
          <w:bCs/>
          <w:szCs w:val="21"/>
        </w:rPr>
        <w:t>4.</w:t>
      </w:r>
      <w:r>
        <w:rPr>
          <w:rFonts w:hint="eastAsia" w:ascii="楷体" w:hAnsi="楷体" w:eastAsia="楷体" w:cs="楷体"/>
          <w:b/>
          <w:bCs/>
        </w:rPr>
        <w:t>本理财产品合同在法律许可的范围内由管理人负责解释。若客户对上述内容有任何疑问，请联系销售机构咨询，也可致电销售机构全国统一客户服务热线。</w:t>
      </w:r>
    </w:p>
    <w:p>
      <w:pPr>
        <w:widowControl/>
        <w:jc w:val="left"/>
        <w:rPr>
          <w:rFonts w:ascii="楷体_GB2312" w:hAnsi="宋体" w:eastAsia="楷体_GB2312"/>
          <w:b/>
          <w:bCs/>
          <w:szCs w:val="21"/>
        </w:rPr>
      </w:pPr>
      <w:bookmarkStart w:id="22" w:name="_GoBack"/>
      <w:bookmarkEnd w:id="22"/>
    </w:p>
    <w:sectPr>
      <w:headerReference r:id="rId4" w:type="first"/>
      <w:headerReference r:id="rId3" w:type="default"/>
      <w:footerReference r:id="rId5" w:type="default"/>
      <w:pgSz w:w="11906" w:h="16838"/>
      <w:pgMar w:top="1440" w:right="1800" w:bottom="1440" w:left="1800" w:header="851" w:footer="992" w:gutter="0"/>
      <w:pgNumType w:fmt="decimal"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342464438"/>
                          </w:sdtPr>
                          <w:sdtContent>
                            <w:p>
                              <w:pPr>
                                <w:pStyle w:val="7"/>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sdt>
                    <w:sdtPr>
                      <w:id w:val="-1342464438"/>
                    </w:sdtPr>
                    <w:sdtContent>
                      <w:p>
                        <w:pPr>
                          <w:pStyle w:val="7"/>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v:textbox>
            </v:shape>
          </w:pict>
        </mc:Fallback>
      </mc:AlternateContent>
    </w:r>
  </w:p>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5329BA"/>
    <w:multiLevelType w:val="singleLevel"/>
    <w:tmpl w:val="045329BA"/>
    <w:lvl w:ilvl="0" w:tentative="0">
      <w:start w:val="1"/>
      <w:numFmt w:val="decimal"/>
      <w:suff w:val="nothing"/>
      <w:lvlText w:val="%1、"/>
      <w:lvlJc w:val="left"/>
    </w:lvl>
  </w:abstractNum>
  <w:abstractNum w:abstractNumId="1">
    <w:nsid w:val="23552860"/>
    <w:multiLevelType w:val="singleLevel"/>
    <w:tmpl w:val="23552860"/>
    <w:lvl w:ilvl="0" w:tentative="0">
      <w:start w:val="3"/>
      <w:numFmt w:val="chineseCounting"/>
      <w:suff w:val="nothing"/>
      <w:lvlText w:val="%1、"/>
      <w:lvlJc w:val="left"/>
      <w:rPr>
        <w:rFonts w:hint="eastAsia"/>
      </w:rPr>
    </w:lvl>
  </w:abstractNum>
  <w:abstractNum w:abstractNumId="2">
    <w:nsid w:val="2E413A41"/>
    <w:multiLevelType w:val="multilevel"/>
    <w:tmpl w:val="2E413A41"/>
    <w:lvl w:ilvl="0" w:tentative="0">
      <w:start w:val="1"/>
      <w:numFmt w:val="decimal"/>
      <w:pStyle w:val="34"/>
      <w:lvlText w:val="%1）"/>
      <w:lvlJc w:val="left"/>
      <w:pPr>
        <w:ind w:left="820" w:hanging="420"/>
      </w:pPr>
      <w:rPr>
        <w:rFonts w:hint="eastAsia"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080"/>
      </w:pPr>
      <w:rPr>
        <w:rFonts w:ascii="宋体" w:hAnsi="宋体" w:eastAsia="宋体" w:cs="宋体"/>
        <w:b w:val="0"/>
        <w:i w:val="0"/>
        <w:strike w:val="0"/>
        <w:dstrike w:val="0"/>
        <w:color w:val="000000"/>
        <w:sz w:val="22"/>
        <w:szCs w:val="22"/>
        <w:u w:val="none" w:color="000000"/>
        <w:shd w:val="clear" w:color="auto" w:fill="auto"/>
        <w:vertAlign w:val="baseline"/>
      </w:rPr>
    </w:lvl>
    <w:lvl w:ilvl="2" w:tentative="0">
      <w:start w:val="1"/>
      <w:numFmt w:val="lowerRoman"/>
      <w:lvlText w:val="%3"/>
      <w:lvlJc w:val="left"/>
      <w:pPr>
        <w:ind w:left="1800"/>
      </w:pPr>
      <w:rPr>
        <w:rFonts w:ascii="宋体" w:hAnsi="宋体" w:eastAsia="宋体" w:cs="宋体"/>
        <w:b w:val="0"/>
        <w:i w:val="0"/>
        <w:strike w:val="0"/>
        <w:dstrike w:val="0"/>
        <w:color w:val="000000"/>
        <w:sz w:val="22"/>
        <w:szCs w:val="22"/>
        <w:u w:val="none" w:color="000000"/>
        <w:shd w:val="clear" w:color="auto" w:fill="auto"/>
        <w:vertAlign w:val="baseline"/>
      </w:rPr>
    </w:lvl>
    <w:lvl w:ilvl="3" w:tentative="0">
      <w:start w:val="1"/>
      <w:numFmt w:val="decimal"/>
      <w:lvlText w:val="%4"/>
      <w:lvlJc w:val="left"/>
      <w:pPr>
        <w:ind w:left="2520"/>
      </w:pPr>
      <w:rPr>
        <w:rFonts w:ascii="宋体" w:hAnsi="宋体" w:eastAsia="宋体" w:cs="宋体"/>
        <w:b w:val="0"/>
        <w:i w:val="0"/>
        <w:strike w:val="0"/>
        <w:dstrike w:val="0"/>
        <w:color w:val="000000"/>
        <w:sz w:val="22"/>
        <w:szCs w:val="22"/>
        <w:u w:val="none" w:color="000000"/>
        <w:shd w:val="clear" w:color="auto" w:fill="auto"/>
        <w:vertAlign w:val="baseline"/>
      </w:rPr>
    </w:lvl>
    <w:lvl w:ilvl="4" w:tentative="0">
      <w:start w:val="1"/>
      <w:numFmt w:val="lowerLetter"/>
      <w:lvlText w:val="%5"/>
      <w:lvlJc w:val="left"/>
      <w:pPr>
        <w:ind w:left="3240"/>
      </w:pPr>
      <w:rPr>
        <w:rFonts w:ascii="宋体" w:hAnsi="宋体" w:eastAsia="宋体" w:cs="宋体"/>
        <w:b w:val="0"/>
        <w:i w:val="0"/>
        <w:strike w:val="0"/>
        <w:dstrike w:val="0"/>
        <w:color w:val="000000"/>
        <w:sz w:val="22"/>
        <w:szCs w:val="22"/>
        <w:u w:val="none" w:color="000000"/>
        <w:shd w:val="clear" w:color="auto" w:fill="auto"/>
        <w:vertAlign w:val="baseline"/>
      </w:rPr>
    </w:lvl>
    <w:lvl w:ilvl="5" w:tentative="0">
      <w:start w:val="1"/>
      <w:numFmt w:val="lowerRoman"/>
      <w:lvlText w:val="%6"/>
      <w:lvlJc w:val="left"/>
      <w:pPr>
        <w:ind w:left="3960"/>
      </w:pPr>
      <w:rPr>
        <w:rFonts w:ascii="宋体" w:hAnsi="宋体" w:eastAsia="宋体" w:cs="宋体"/>
        <w:b w:val="0"/>
        <w:i w:val="0"/>
        <w:strike w:val="0"/>
        <w:dstrike w:val="0"/>
        <w:color w:val="000000"/>
        <w:sz w:val="22"/>
        <w:szCs w:val="22"/>
        <w:u w:val="none" w:color="000000"/>
        <w:shd w:val="clear" w:color="auto" w:fill="auto"/>
        <w:vertAlign w:val="baseline"/>
      </w:rPr>
    </w:lvl>
    <w:lvl w:ilvl="6" w:tentative="0">
      <w:start w:val="1"/>
      <w:numFmt w:val="decimal"/>
      <w:lvlText w:val="%7"/>
      <w:lvlJc w:val="left"/>
      <w:pPr>
        <w:ind w:left="4680"/>
      </w:pPr>
      <w:rPr>
        <w:rFonts w:ascii="宋体" w:hAnsi="宋体" w:eastAsia="宋体" w:cs="宋体"/>
        <w:b w:val="0"/>
        <w:i w:val="0"/>
        <w:strike w:val="0"/>
        <w:dstrike w:val="0"/>
        <w:color w:val="000000"/>
        <w:sz w:val="22"/>
        <w:szCs w:val="22"/>
        <w:u w:val="none" w:color="000000"/>
        <w:shd w:val="clear" w:color="auto" w:fill="auto"/>
        <w:vertAlign w:val="baseline"/>
      </w:rPr>
    </w:lvl>
    <w:lvl w:ilvl="7" w:tentative="0">
      <w:start w:val="1"/>
      <w:numFmt w:val="lowerLetter"/>
      <w:lvlText w:val="%8"/>
      <w:lvlJc w:val="left"/>
      <w:pPr>
        <w:ind w:left="5400"/>
      </w:pPr>
      <w:rPr>
        <w:rFonts w:ascii="宋体" w:hAnsi="宋体" w:eastAsia="宋体" w:cs="宋体"/>
        <w:b w:val="0"/>
        <w:i w:val="0"/>
        <w:strike w:val="0"/>
        <w:dstrike w:val="0"/>
        <w:color w:val="000000"/>
        <w:sz w:val="22"/>
        <w:szCs w:val="22"/>
        <w:u w:val="none" w:color="000000"/>
        <w:shd w:val="clear" w:color="auto" w:fill="auto"/>
        <w:vertAlign w:val="baseline"/>
      </w:rPr>
    </w:lvl>
    <w:lvl w:ilvl="8" w:tentative="0">
      <w:start w:val="1"/>
      <w:numFmt w:val="lowerRoman"/>
      <w:lvlText w:val="%9"/>
      <w:lvlJc w:val="left"/>
      <w:pPr>
        <w:ind w:left="6120"/>
      </w:pPr>
      <w:rPr>
        <w:rFonts w:ascii="宋体" w:hAnsi="宋体" w:eastAsia="宋体" w:cs="宋体"/>
        <w:b w:val="0"/>
        <w:i w:val="0"/>
        <w:strike w:val="0"/>
        <w:dstrike w:val="0"/>
        <w:color w:val="000000"/>
        <w:sz w:val="22"/>
        <w:szCs w:val="22"/>
        <w:u w:val="none" w:color="000000"/>
        <w:shd w:val="clear" w:color="auto" w:fill="auto"/>
        <w:vertAlign w:val="baseline"/>
      </w:rPr>
    </w:lvl>
  </w:abstractNum>
  <w:abstractNum w:abstractNumId="3">
    <w:nsid w:val="307D6941"/>
    <w:multiLevelType w:val="multilevel"/>
    <w:tmpl w:val="307D6941"/>
    <w:lvl w:ilvl="0" w:tentative="0">
      <w:start w:val="1"/>
      <w:numFmt w:val="upperLetter"/>
      <w:pStyle w:val="40"/>
      <w:lvlText w:val="%1、"/>
      <w:lvlJc w:val="left"/>
      <w:pPr>
        <w:ind w:left="1020" w:hanging="420"/>
      </w:pPr>
      <w:rPr>
        <w:rFonts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4">
    <w:nsid w:val="5AD912BF"/>
    <w:multiLevelType w:val="multilevel"/>
    <w:tmpl w:val="5AD912BF"/>
    <w:lvl w:ilvl="0" w:tentative="0">
      <w:start w:val="1"/>
      <w:numFmt w:val="chineseCountingThousand"/>
      <w:pStyle w:val="31"/>
      <w:lvlText w:val="第%1条."/>
      <w:lvlJc w:val="left"/>
      <w:pPr>
        <w:ind w:left="2122" w:hanging="420"/>
      </w:pPr>
    </w:lvl>
    <w:lvl w:ilvl="1" w:tentative="0">
      <w:start w:val="1"/>
      <w:numFmt w:val="decimal"/>
      <w:lvlText w:val="%2."/>
      <w:lvlJc w:val="left"/>
      <w:pPr>
        <w:ind w:left="780" w:hanging="360"/>
      </w:pPr>
      <w:rPr>
        <w:rFonts w:hint="default"/>
      </w:rPr>
    </w:lvl>
    <w:lvl w:ilvl="2" w:tentative="0">
      <w:start w:val="1"/>
      <w:numFmt w:val="decimal"/>
      <w:lvlText w:val="%3)"/>
      <w:lvlJc w:val="left"/>
      <w:pPr>
        <w:ind w:left="1200" w:hanging="360"/>
      </w:pPr>
      <w:rPr>
        <w:rFonts w:hint="default"/>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BC6082B"/>
    <w:multiLevelType w:val="multilevel"/>
    <w:tmpl w:val="5BC6082B"/>
    <w:lvl w:ilvl="0" w:tentative="0">
      <w:start w:val="1"/>
      <w:numFmt w:val="chineseCountingThousand"/>
      <w:pStyle w:val="35"/>
      <w:lvlText w:val="%1、"/>
      <w:lvlJc w:val="left"/>
      <w:pPr>
        <w:ind w:left="620" w:hanging="420"/>
      </w:pPr>
    </w:lvl>
    <w:lvl w:ilvl="1" w:tentative="0">
      <w:start w:val="1"/>
      <w:numFmt w:val="decimal"/>
      <w:lvlText w:val="%2、"/>
      <w:lvlJc w:val="left"/>
      <w:pPr>
        <w:ind w:left="980" w:hanging="360"/>
      </w:pPr>
      <w:rPr>
        <w:rFonts w:hint="default"/>
      </w:r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6">
    <w:nsid w:val="658E8245"/>
    <w:multiLevelType w:val="singleLevel"/>
    <w:tmpl w:val="658E8245"/>
    <w:lvl w:ilvl="0" w:tentative="0">
      <w:start w:val="4"/>
      <w:numFmt w:val="chineseCounting"/>
      <w:suff w:val="nothing"/>
      <w:lvlText w:val="（%1）"/>
      <w:lvlJc w:val="left"/>
      <w:rPr>
        <w:rFonts w:hint="eastAsia"/>
      </w:rPr>
    </w:lvl>
  </w:abstractNum>
  <w:abstractNum w:abstractNumId="7">
    <w:nsid w:val="699E0D31"/>
    <w:multiLevelType w:val="multilevel"/>
    <w:tmpl w:val="699E0D31"/>
    <w:lvl w:ilvl="0" w:tentative="0">
      <w:start w:val="1"/>
      <w:numFmt w:val="chineseCountingThousand"/>
      <w:pStyle w:val="28"/>
      <w:lvlText w:val="%1、"/>
      <w:lvlJc w:val="left"/>
      <w:pPr>
        <w:ind w:left="569"/>
      </w:pPr>
      <w:rPr>
        <w:b w:val="0"/>
        <w:i w:val="0"/>
        <w:strike w:val="0"/>
        <w:dstrike w:val="0"/>
        <w:color w:val="000000"/>
        <w:sz w:val="22"/>
        <w:szCs w:val="22"/>
        <w:u w:val="none" w:color="000000"/>
        <w:shd w:val="clear" w:color="auto" w:fill="auto"/>
        <w:vertAlign w:val="baseline"/>
      </w:r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abstractNum w:abstractNumId="8">
    <w:nsid w:val="6D3D1D6E"/>
    <w:multiLevelType w:val="multilevel"/>
    <w:tmpl w:val="6D3D1D6E"/>
    <w:lvl w:ilvl="0" w:tentative="0">
      <w:start w:val="1"/>
      <w:numFmt w:val="decimal"/>
      <w:pStyle w:val="33"/>
      <w:suff w:val="nothing"/>
      <w:lvlText w:val="%1、"/>
      <w:lvlJc w:val="left"/>
      <w:pPr>
        <w:ind w:left="426" w:firstLine="0"/>
      </w:p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num w:numId="1">
    <w:abstractNumId w:val="7"/>
  </w:num>
  <w:num w:numId="2">
    <w:abstractNumId w:val="4"/>
  </w:num>
  <w:num w:numId="3">
    <w:abstractNumId w:val="8"/>
  </w:num>
  <w:num w:numId="4">
    <w:abstractNumId w:val="2"/>
  </w:num>
  <w:num w:numId="5">
    <w:abstractNumId w:val="5"/>
  </w:num>
  <w:num w:numId="6">
    <w:abstractNumId w:val="3"/>
  </w:num>
  <w:num w:numId="7">
    <w:abstractNumId w:val="1"/>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trackRevision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zNjBkOTgyNWQ1YTMxYzM3MzMwNWFiODNmOWIzYWMifQ=="/>
  </w:docVars>
  <w:rsids>
    <w:rsidRoot w:val="002E1BE1"/>
    <w:rsid w:val="000024F3"/>
    <w:rsid w:val="0000487F"/>
    <w:rsid w:val="0000679D"/>
    <w:rsid w:val="00007B84"/>
    <w:rsid w:val="000111F8"/>
    <w:rsid w:val="00013470"/>
    <w:rsid w:val="00015484"/>
    <w:rsid w:val="00015C78"/>
    <w:rsid w:val="00015E2E"/>
    <w:rsid w:val="00017B04"/>
    <w:rsid w:val="00020279"/>
    <w:rsid w:val="00020476"/>
    <w:rsid w:val="00020D7B"/>
    <w:rsid w:val="00023C63"/>
    <w:rsid w:val="0002494B"/>
    <w:rsid w:val="00025F73"/>
    <w:rsid w:val="000306DB"/>
    <w:rsid w:val="000306E3"/>
    <w:rsid w:val="0003109D"/>
    <w:rsid w:val="0003268F"/>
    <w:rsid w:val="000333E3"/>
    <w:rsid w:val="00033DD8"/>
    <w:rsid w:val="00034102"/>
    <w:rsid w:val="000349BC"/>
    <w:rsid w:val="0004001F"/>
    <w:rsid w:val="00040200"/>
    <w:rsid w:val="000406B2"/>
    <w:rsid w:val="00043186"/>
    <w:rsid w:val="0004467D"/>
    <w:rsid w:val="00045247"/>
    <w:rsid w:val="00051032"/>
    <w:rsid w:val="00054122"/>
    <w:rsid w:val="00055041"/>
    <w:rsid w:val="000572AE"/>
    <w:rsid w:val="00060046"/>
    <w:rsid w:val="000602E0"/>
    <w:rsid w:val="00060BF4"/>
    <w:rsid w:val="00061929"/>
    <w:rsid w:val="00061ABD"/>
    <w:rsid w:val="00061DA0"/>
    <w:rsid w:val="00065824"/>
    <w:rsid w:val="00065CAD"/>
    <w:rsid w:val="00066C94"/>
    <w:rsid w:val="00067A45"/>
    <w:rsid w:val="00070B48"/>
    <w:rsid w:val="00072114"/>
    <w:rsid w:val="00072465"/>
    <w:rsid w:val="00072478"/>
    <w:rsid w:val="0007286E"/>
    <w:rsid w:val="0007361A"/>
    <w:rsid w:val="00074172"/>
    <w:rsid w:val="0007471D"/>
    <w:rsid w:val="00076733"/>
    <w:rsid w:val="00077BF0"/>
    <w:rsid w:val="00077C23"/>
    <w:rsid w:val="00082D46"/>
    <w:rsid w:val="00085EAC"/>
    <w:rsid w:val="0009226D"/>
    <w:rsid w:val="00093E87"/>
    <w:rsid w:val="00096E70"/>
    <w:rsid w:val="0009726D"/>
    <w:rsid w:val="00097C56"/>
    <w:rsid w:val="00097E54"/>
    <w:rsid w:val="000A2C16"/>
    <w:rsid w:val="000B2338"/>
    <w:rsid w:val="000B571C"/>
    <w:rsid w:val="000B69CC"/>
    <w:rsid w:val="000B76E5"/>
    <w:rsid w:val="000B7D40"/>
    <w:rsid w:val="000C0E79"/>
    <w:rsid w:val="000C29B3"/>
    <w:rsid w:val="000C34E8"/>
    <w:rsid w:val="000C3959"/>
    <w:rsid w:val="000C77BB"/>
    <w:rsid w:val="000C7D0A"/>
    <w:rsid w:val="000D0C02"/>
    <w:rsid w:val="000D2B04"/>
    <w:rsid w:val="000D4BAA"/>
    <w:rsid w:val="000D7072"/>
    <w:rsid w:val="000E1706"/>
    <w:rsid w:val="000E3AC0"/>
    <w:rsid w:val="000E4F72"/>
    <w:rsid w:val="000E5D05"/>
    <w:rsid w:val="000E7559"/>
    <w:rsid w:val="000F062D"/>
    <w:rsid w:val="000F42D3"/>
    <w:rsid w:val="000F4B97"/>
    <w:rsid w:val="000F5C0E"/>
    <w:rsid w:val="0010063C"/>
    <w:rsid w:val="001026E0"/>
    <w:rsid w:val="0010272F"/>
    <w:rsid w:val="001032DC"/>
    <w:rsid w:val="00103483"/>
    <w:rsid w:val="001061EE"/>
    <w:rsid w:val="00107D5B"/>
    <w:rsid w:val="001102CF"/>
    <w:rsid w:val="00111028"/>
    <w:rsid w:val="00111154"/>
    <w:rsid w:val="0011154F"/>
    <w:rsid w:val="00112603"/>
    <w:rsid w:val="00112890"/>
    <w:rsid w:val="00112C14"/>
    <w:rsid w:val="00113E6D"/>
    <w:rsid w:val="00114356"/>
    <w:rsid w:val="001164B3"/>
    <w:rsid w:val="00116968"/>
    <w:rsid w:val="00120F4F"/>
    <w:rsid w:val="001231E9"/>
    <w:rsid w:val="0012369A"/>
    <w:rsid w:val="00136A0E"/>
    <w:rsid w:val="00141776"/>
    <w:rsid w:val="001419ED"/>
    <w:rsid w:val="00143025"/>
    <w:rsid w:val="00146CFD"/>
    <w:rsid w:val="001478CF"/>
    <w:rsid w:val="0015087D"/>
    <w:rsid w:val="001515B0"/>
    <w:rsid w:val="001548F8"/>
    <w:rsid w:val="0015498D"/>
    <w:rsid w:val="00154D16"/>
    <w:rsid w:val="00156514"/>
    <w:rsid w:val="00156631"/>
    <w:rsid w:val="001600EE"/>
    <w:rsid w:val="00160646"/>
    <w:rsid w:val="0016415B"/>
    <w:rsid w:val="001669DC"/>
    <w:rsid w:val="001702F2"/>
    <w:rsid w:val="00170523"/>
    <w:rsid w:val="001722FE"/>
    <w:rsid w:val="00172B2E"/>
    <w:rsid w:val="00172B77"/>
    <w:rsid w:val="001737BE"/>
    <w:rsid w:val="00173A6B"/>
    <w:rsid w:val="00174F59"/>
    <w:rsid w:val="001752A7"/>
    <w:rsid w:val="001755B0"/>
    <w:rsid w:val="001770ED"/>
    <w:rsid w:val="00177117"/>
    <w:rsid w:val="001778B2"/>
    <w:rsid w:val="001778DE"/>
    <w:rsid w:val="00177A5F"/>
    <w:rsid w:val="0018155F"/>
    <w:rsid w:val="00181F77"/>
    <w:rsid w:val="001849BD"/>
    <w:rsid w:val="001858EA"/>
    <w:rsid w:val="0018726E"/>
    <w:rsid w:val="00193304"/>
    <w:rsid w:val="00196758"/>
    <w:rsid w:val="001970F4"/>
    <w:rsid w:val="00197539"/>
    <w:rsid w:val="001A1132"/>
    <w:rsid w:val="001A3470"/>
    <w:rsid w:val="001A406D"/>
    <w:rsid w:val="001A4590"/>
    <w:rsid w:val="001A78B9"/>
    <w:rsid w:val="001A7CF6"/>
    <w:rsid w:val="001A7ED1"/>
    <w:rsid w:val="001B0E21"/>
    <w:rsid w:val="001B0E55"/>
    <w:rsid w:val="001B4684"/>
    <w:rsid w:val="001B4FBD"/>
    <w:rsid w:val="001B7BF5"/>
    <w:rsid w:val="001C16E7"/>
    <w:rsid w:val="001C1E99"/>
    <w:rsid w:val="001C3C2B"/>
    <w:rsid w:val="001C475B"/>
    <w:rsid w:val="001C4A1E"/>
    <w:rsid w:val="001C4C0F"/>
    <w:rsid w:val="001C7C0A"/>
    <w:rsid w:val="001D0A1F"/>
    <w:rsid w:val="001D1DAF"/>
    <w:rsid w:val="001D25C9"/>
    <w:rsid w:val="001D5752"/>
    <w:rsid w:val="001D5B4B"/>
    <w:rsid w:val="001D6181"/>
    <w:rsid w:val="001D63AA"/>
    <w:rsid w:val="001D6D20"/>
    <w:rsid w:val="001D7164"/>
    <w:rsid w:val="001E045E"/>
    <w:rsid w:val="001E203B"/>
    <w:rsid w:val="001E2420"/>
    <w:rsid w:val="001E39A0"/>
    <w:rsid w:val="001E3BAC"/>
    <w:rsid w:val="001E4757"/>
    <w:rsid w:val="001E4C6D"/>
    <w:rsid w:val="001E6E50"/>
    <w:rsid w:val="001E7040"/>
    <w:rsid w:val="001E7337"/>
    <w:rsid w:val="001F0744"/>
    <w:rsid w:val="001F25E5"/>
    <w:rsid w:val="001F57B0"/>
    <w:rsid w:val="001F7E4F"/>
    <w:rsid w:val="00204ACC"/>
    <w:rsid w:val="00204CBB"/>
    <w:rsid w:val="00211CEF"/>
    <w:rsid w:val="002123DC"/>
    <w:rsid w:val="00212CF9"/>
    <w:rsid w:val="00213445"/>
    <w:rsid w:val="002136D3"/>
    <w:rsid w:val="00213DD6"/>
    <w:rsid w:val="00214112"/>
    <w:rsid w:val="00214194"/>
    <w:rsid w:val="00215333"/>
    <w:rsid w:val="002202B1"/>
    <w:rsid w:val="002206CC"/>
    <w:rsid w:val="0022084C"/>
    <w:rsid w:val="002213E7"/>
    <w:rsid w:val="00221730"/>
    <w:rsid w:val="0022441E"/>
    <w:rsid w:val="00240A70"/>
    <w:rsid w:val="00241C97"/>
    <w:rsid w:val="0024379E"/>
    <w:rsid w:val="0024460C"/>
    <w:rsid w:val="00245CE7"/>
    <w:rsid w:val="00246453"/>
    <w:rsid w:val="00246F8D"/>
    <w:rsid w:val="002472A1"/>
    <w:rsid w:val="00247E1D"/>
    <w:rsid w:val="00250711"/>
    <w:rsid w:val="002507E1"/>
    <w:rsid w:val="0025278F"/>
    <w:rsid w:val="00252B9A"/>
    <w:rsid w:val="00253F9A"/>
    <w:rsid w:val="002575EF"/>
    <w:rsid w:val="00261AC5"/>
    <w:rsid w:val="002621A2"/>
    <w:rsid w:val="00262AC6"/>
    <w:rsid w:val="00263F15"/>
    <w:rsid w:val="0026496C"/>
    <w:rsid w:val="00264C7E"/>
    <w:rsid w:val="00265261"/>
    <w:rsid w:val="00266247"/>
    <w:rsid w:val="002704A9"/>
    <w:rsid w:val="00270874"/>
    <w:rsid w:val="0027154A"/>
    <w:rsid w:val="0027272C"/>
    <w:rsid w:val="002774A4"/>
    <w:rsid w:val="00280FC3"/>
    <w:rsid w:val="0028124B"/>
    <w:rsid w:val="00283765"/>
    <w:rsid w:val="002859BD"/>
    <w:rsid w:val="0028687A"/>
    <w:rsid w:val="00286DA9"/>
    <w:rsid w:val="00287435"/>
    <w:rsid w:val="00287527"/>
    <w:rsid w:val="00290416"/>
    <w:rsid w:val="0029044D"/>
    <w:rsid w:val="002919AD"/>
    <w:rsid w:val="002927CB"/>
    <w:rsid w:val="00292CC0"/>
    <w:rsid w:val="00294361"/>
    <w:rsid w:val="002954C4"/>
    <w:rsid w:val="00296026"/>
    <w:rsid w:val="00296119"/>
    <w:rsid w:val="0029619D"/>
    <w:rsid w:val="00297E7C"/>
    <w:rsid w:val="002A3173"/>
    <w:rsid w:val="002A4E68"/>
    <w:rsid w:val="002A53B7"/>
    <w:rsid w:val="002A582C"/>
    <w:rsid w:val="002A5CB1"/>
    <w:rsid w:val="002A7BDD"/>
    <w:rsid w:val="002B100B"/>
    <w:rsid w:val="002B22AF"/>
    <w:rsid w:val="002B3923"/>
    <w:rsid w:val="002B3B49"/>
    <w:rsid w:val="002B5BA0"/>
    <w:rsid w:val="002B7FEA"/>
    <w:rsid w:val="002C012E"/>
    <w:rsid w:val="002C0BF6"/>
    <w:rsid w:val="002C63A1"/>
    <w:rsid w:val="002C6BB9"/>
    <w:rsid w:val="002C714B"/>
    <w:rsid w:val="002D034E"/>
    <w:rsid w:val="002D159A"/>
    <w:rsid w:val="002D19AC"/>
    <w:rsid w:val="002D212F"/>
    <w:rsid w:val="002D2475"/>
    <w:rsid w:val="002D396E"/>
    <w:rsid w:val="002D3A9A"/>
    <w:rsid w:val="002D5CBE"/>
    <w:rsid w:val="002D799E"/>
    <w:rsid w:val="002D7C36"/>
    <w:rsid w:val="002E1BE1"/>
    <w:rsid w:val="002E452E"/>
    <w:rsid w:val="002E4701"/>
    <w:rsid w:val="002E55EC"/>
    <w:rsid w:val="002E5804"/>
    <w:rsid w:val="002E5DA9"/>
    <w:rsid w:val="002E6754"/>
    <w:rsid w:val="002E6BC1"/>
    <w:rsid w:val="002F24F8"/>
    <w:rsid w:val="002F4421"/>
    <w:rsid w:val="002F5B6C"/>
    <w:rsid w:val="002F5E2A"/>
    <w:rsid w:val="002F66B5"/>
    <w:rsid w:val="002F6BC0"/>
    <w:rsid w:val="002F70D3"/>
    <w:rsid w:val="002F72FC"/>
    <w:rsid w:val="003009AB"/>
    <w:rsid w:val="0030237E"/>
    <w:rsid w:val="00303BDD"/>
    <w:rsid w:val="0030591B"/>
    <w:rsid w:val="00310E3A"/>
    <w:rsid w:val="0031466D"/>
    <w:rsid w:val="0031511C"/>
    <w:rsid w:val="00316CB6"/>
    <w:rsid w:val="0031714F"/>
    <w:rsid w:val="00320A29"/>
    <w:rsid w:val="00326B19"/>
    <w:rsid w:val="00327B11"/>
    <w:rsid w:val="003325D9"/>
    <w:rsid w:val="00334264"/>
    <w:rsid w:val="0033476C"/>
    <w:rsid w:val="00335139"/>
    <w:rsid w:val="00335C97"/>
    <w:rsid w:val="003369D2"/>
    <w:rsid w:val="0034271E"/>
    <w:rsid w:val="0034365C"/>
    <w:rsid w:val="003449CC"/>
    <w:rsid w:val="003472AC"/>
    <w:rsid w:val="00350B80"/>
    <w:rsid w:val="00351556"/>
    <w:rsid w:val="00352A7F"/>
    <w:rsid w:val="00354392"/>
    <w:rsid w:val="003554BF"/>
    <w:rsid w:val="00355673"/>
    <w:rsid w:val="00357DF5"/>
    <w:rsid w:val="0036193A"/>
    <w:rsid w:val="00363AE2"/>
    <w:rsid w:val="00363C5C"/>
    <w:rsid w:val="0036456D"/>
    <w:rsid w:val="00364FEF"/>
    <w:rsid w:val="00365374"/>
    <w:rsid w:val="003666D1"/>
    <w:rsid w:val="003669D0"/>
    <w:rsid w:val="00370EE3"/>
    <w:rsid w:val="00372A4E"/>
    <w:rsid w:val="00373494"/>
    <w:rsid w:val="00373951"/>
    <w:rsid w:val="003741EF"/>
    <w:rsid w:val="0038037A"/>
    <w:rsid w:val="003829DF"/>
    <w:rsid w:val="0038488D"/>
    <w:rsid w:val="00386111"/>
    <w:rsid w:val="003870A9"/>
    <w:rsid w:val="00390C56"/>
    <w:rsid w:val="003912C4"/>
    <w:rsid w:val="00397FB5"/>
    <w:rsid w:val="003A05D6"/>
    <w:rsid w:val="003A0B58"/>
    <w:rsid w:val="003A37F8"/>
    <w:rsid w:val="003A3AB8"/>
    <w:rsid w:val="003A46E0"/>
    <w:rsid w:val="003B1C25"/>
    <w:rsid w:val="003B33A0"/>
    <w:rsid w:val="003B5C07"/>
    <w:rsid w:val="003B6C25"/>
    <w:rsid w:val="003C054A"/>
    <w:rsid w:val="003C34A4"/>
    <w:rsid w:val="003C43D2"/>
    <w:rsid w:val="003C44B7"/>
    <w:rsid w:val="003C6CA7"/>
    <w:rsid w:val="003D06E8"/>
    <w:rsid w:val="003D1E0B"/>
    <w:rsid w:val="003D272D"/>
    <w:rsid w:val="003D2A5A"/>
    <w:rsid w:val="003D3A6F"/>
    <w:rsid w:val="003D572B"/>
    <w:rsid w:val="003D6FA6"/>
    <w:rsid w:val="003E0EF0"/>
    <w:rsid w:val="003E1D01"/>
    <w:rsid w:val="003E6724"/>
    <w:rsid w:val="003F073D"/>
    <w:rsid w:val="003F1328"/>
    <w:rsid w:val="003F1BB2"/>
    <w:rsid w:val="003F37C9"/>
    <w:rsid w:val="003F4375"/>
    <w:rsid w:val="003F7A40"/>
    <w:rsid w:val="003F7CD5"/>
    <w:rsid w:val="00403B33"/>
    <w:rsid w:val="00403CF8"/>
    <w:rsid w:val="004078B2"/>
    <w:rsid w:val="00410AEC"/>
    <w:rsid w:val="00410B74"/>
    <w:rsid w:val="00411ED2"/>
    <w:rsid w:val="004136C5"/>
    <w:rsid w:val="0041531B"/>
    <w:rsid w:val="00416063"/>
    <w:rsid w:val="00416A47"/>
    <w:rsid w:val="00420C46"/>
    <w:rsid w:val="00422A74"/>
    <w:rsid w:val="0042320B"/>
    <w:rsid w:val="0042363E"/>
    <w:rsid w:val="00425B80"/>
    <w:rsid w:val="00430A42"/>
    <w:rsid w:val="00430B40"/>
    <w:rsid w:val="00432E93"/>
    <w:rsid w:val="0043319C"/>
    <w:rsid w:val="00433347"/>
    <w:rsid w:val="00434687"/>
    <w:rsid w:val="004351E2"/>
    <w:rsid w:val="00436353"/>
    <w:rsid w:val="00440E66"/>
    <w:rsid w:val="0044170A"/>
    <w:rsid w:val="00441E39"/>
    <w:rsid w:val="00445D8A"/>
    <w:rsid w:val="00446633"/>
    <w:rsid w:val="00446730"/>
    <w:rsid w:val="004471E3"/>
    <w:rsid w:val="00454AAD"/>
    <w:rsid w:val="00456DB3"/>
    <w:rsid w:val="00457F82"/>
    <w:rsid w:val="0046138B"/>
    <w:rsid w:val="00461D32"/>
    <w:rsid w:val="00461E55"/>
    <w:rsid w:val="00462697"/>
    <w:rsid w:val="00463741"/>
    <w:rsid w:val="004664B4"/>
    <w:rsid w:val="0046663F"/>
    <w:rsid w:val="00472EA5"/>
    <w:rsid w:val="0047326E"/>
    <w:rsid w:val="00473A40"/>
    <w:rsid w:val="00476A76"/>
    <w:rsid w:val="00476DCC"/>
    <w:rsid w:val="00477555"/>
    <w:rsid w:val="00480198"/>
    <w:rsid w:val="00482A46"/>
    <w:rsid w:val="00483CAA"/>
    <w:rsid w:val="004857AD"/>
    <w:rsid w:val="00485C30"/>
    <w:rsid w:val="00486747"/>
    <w:rsid w:val="004908B6"/>
    <w:rsid w:val="004943C8"/>
    <w:rsid w:val="00494FA8"/>
    <w:rsid w:val="00496BDD"/>
    <w:rsid w:val="00497E68"/>
    <w:rsid w:val="00497EAE"/>
    <w:rsid w:val="004A006F"/>
    <w:rsid w:val="004A08AA"/>
    <w:rsid w:val="004A1BB1"/>
    <w:rsid w:val="004A30A6"/>
    <w:rsid w:val="004A4AD7"/>
    <w:rsid w:val="004A5A52"/>
    <w:rsid w:val="004A7DAA"/>
    <w:rsid w:val="004B0EAE"/>
    <w:rsid w:val="004B13FB"/>
    <w:rsid w:val="004B23FE"/>
    <w:rsid w:val="004B3700"/>
    <w:rsid w:val="004B5C6E"/>
    <w:rsid w:val="004B7458"/>
    <w:rsid w:val="004B758E"/>
    <w:rsid w:val="004C01A5"/>
    <w:rsid w:val="004C13A0"/>
    <w:rsid w:val="004C2760"/>
    <w:rsid w:val="004C2E96"/>
    <w:rsid w:val="004C4C67"/>
    <w:rsid w:val="004C6E87"/>
    <w:rsid w:val="004D07EC"/>
    <w:rsid w:val="004D1812"/>
    <w:rsid w:val="004D1A37"/>
    <w:rsid w:val="004D1F6C"/>
    <w:rsid w:val="004D3BDF"/>
    <w:rsid w:val="004D4095"/>
    <w:rsid w:val="004D54BC"/>
    <w:rsid w:val="004E2338"/>
    <w:rsid w:val="004E3D92"/>
    <w:rsid w:val="004E672D"/>
    <w:rsid w:val="004E7B0E"/>
    <w:rsid w:val="004F0A66"/>
    <w:rsid w:val="004F0AAB"/>
    <w:rsid w:val="004F2EBD"/>
    <w:rsid w:val="004F60A1"/>
    <w:rsid w:val="004F67DE"/>
    <w:rsid w:val="00500D00"/>
    <w:rsid w:val="00501587"/>
    <w:rsid w:val="00502030"/>
    <w:rsid w:val="005021EA"/>
    <w:rsid w:val="005024DA"/>
    <w:rsid w:val="00504CE1"/>
    <w:rsid w:val="005054E2"/>
    <w:rsid w:val="005059C8"/>
    <w:rsid w:val="00506260"/>
    <w:rsid w:val="005064A7"/>
    <w:rsid w:val="0051136C"/>
    <w:rsid w:val="00511600"/>
    <w:rsid w:val="0051296A"/>
    <w:rsid w:val="00512D8A"/>
    <w:rsid w:val="00512EEC"/>
    <w:rsid w:val="0051548D"/>
    <w:rsid w:val="00515708"/>
    <w:rsid w:val="005167E9"/>
    <w:rsid w:val="00517D1A"/>
    <w:rsid w:val="005219F3"/>
    <w:rsid w:val="00522B6B"/>
    <w:rsid w:val="005241D6"/>
    <w:rsid w:val="00524992"/>
    <w:rsid w:val="00525431"/>
    <w:rsid w:val="00526CD6"/>
    <w:rsid w:val="00532509"/>
    <w:rsid w:val="005346AD"/>
    <w:rsid w:val="0053621A"/>
    <w:rsid w:val="00536985"/>
    <w:rsid w:val="00542A7D"/>
    <w:rsid w:val="00543519"/>
    <w:rsid w:val="005477E2"/>
    <w:rsid w:val="005507C1"/>
    <w:rsid w:val="005520A8"/>
    <w:rsid w:val="00552762"/>
    <w:rsid w:val="005608CA"/>
    <w:rsid w:val="00560AA8"/>
    <w:rsid w:val="00562736"/>
    <w:rsid w:val="005639C8"/>
    <w:rsid w:val="00571E18"/>
    <w:rsid w:val="0057287D"/>
    <w:rsid w:val="0057362E"/>
    <w:rsid w:val="00573CD9"/>
    <w:rsid w:val="005742B4"/>
    <w:rsid w:val="0057442B"/>
    <w:rsid w:val="005757B4"/>
    <w:rsid w:val="005757B6"/>
    <w:rsid w:val="00575B4D"/>
    <w:rsid w:val="005765A8"/>
    <w:rsid w:val="00576BDC"/>
    <w:rsid w:val="005829E7"/>
    <w:rsid w:val="00582DDB"/>
    <w:rsid w:val="005862D5"/>
    <w:rsid w:val="0058632B"/>
    <w:rsid w:val="00586EE3"/>
    <w:rsid w:val="005877C0"/>
    <w:rsid w:val="00587D73"/>
    <w:rsid w:val="00590B65"/>
    <w:rsid w:val="0059370F"/>
    <w:rsid w:val="00593733"/>
    <w:rsid w:val="005949ED"/>
    <w:rsid w:val="00594FAB"/>
    <w:rsid w:val="00595074"/>
    <w:rsid w:val="005964EE"/>
    <w:rsid w:val="005A2C70"/>
    <w:rsid w:val="005A7152"/>
    <w:rsid w:val="005A7ABD"/>
    <w:rsid w:val="005B00CF"/>
    <w:rsid w:val="005B0BF7"/>
    <w:rsid w:val="005B1E33"/>
    <w:rsid w:val="005B3BC6"/>
    <w:rsid w:val="005B4A1A"/>
    <w:rsid w:val="005B52BD"/>
    <w:rsid w:val="005C0645"/>
    <w:rsid w:val="005C0C8C"/>
    <w:rsid w:val="005C23A1"/>
    <w:rsid w:val="005C3D39"/>
    <w:rsid w:val="005C4319"/>
    <w:rsid w:val="005C6DCD"/>
    <w:rsid w:val="005C7BFE"/>
    <w:rsid w:val="005D1402"/>
    <w:rsid w:val="005D191A"/>
    <w:rsid w:val="005D42F5"/>
    <w:rsid w:val="005D4CBC"/>
    <w:rsid w:val="005D6A05"/>
    <w:rsid w:val="005D6A81"/>
    <w:rsid w:val="005E1CD3"/>
    <w:rsid w:val="005E559B"/>
    <w:rsid w:val="005E60CF"/>
    <w:rsid w:val="005E67F4"/>
    <w:rsid w:val="005E7E7E"/>
    <w:rsid w:val="005F0D9F"/>
    <w:rsid w:val="005F159F"/>
    <w:rsid w:val="005F17A9"/>
    <w:rsid w:val="005F2711"/>
    <w:rsid w:val="005F45C4"/>
    <w:rsid w:val="005F49B5"/>
    <w:rsid w:val="005F5580"/>
    <w:rsid w:val="005F6248"/>
    <w:rsid w:val="005F68D8"/>
    <w:rsid w:val="005F7944"/>
    <w:rsid w:val="00601328"/>
    <w:rsid w:val="00602D1A"/>
    <w:rsid w:val="00604AEB"/>
    <w:rsid w:val="00606452"/>
    <w:rsid w:val="006075AB"/>
    <w:rsid w:val="0060796A"/>
    <w:rsid w:val="00607B1E"/>
    <w:rsid w:val="0061645F"/>
    <w:rsid w:val="00616765"/>
    <w:rsid w:val="00620D1C"/>
    <w:rsid w:val="00621601"/>
    <w:rsid w:val="00622370"/>
    <w:rsid w:val="006232CE"/>
    <w:rsid w:val="006242AC"/>
    <w:rsid w:val="006258DA"/>
    <w:rsid w:val="00625F38"/>
    <w:rsid w:val="00631122"/>
    <w:rsid w:val="006314EA"/>
    <w:rsid w:val="0063172F"/>
    <w:rsid w:val="0063196B"/>
    <w:rsid w:val="00631C35"/>
    <w:rsid w:val="00632928"/>
    <w:rsid w:val="00633203"/>
    <w:rsid w:val="0063379F"/>
    <w:rsid w:val="006347BB"/>
    <w:rsid w:val="006347C0"/>
    <w:rsid w:val="00634866"/>
    <w:rsid w:val="00636767"/>
    <w:rsid w:val="00636BEE"/>
    <w:rsid w:val="00636FEF"/>
    <w:rsid w:val="00637655"/>
    <w:rsid w:val="00642D07"/>
    <w:rsid w:val="006446BB"/>
    <w:rsid w:val="00644F27"/>
    <w:rsid w:val="006501FB"/>
    <w:rsid w:val="006539E5"/>
    <w:rsid w:val="00655A11"/>
    <w:rsid w:val="00663A0E"/>
    <w:rsid w:val="0066579A"/>
    <w:rsid w:val="006669D8"/>
    <w:rsid w:val="00667978"/>
    <w:rsid w:val="00671217"/>
    <w:rsid w:val="00671C7B"/>
    <w:rsid w:val="0067263D"/>
    <w:rsid w:val="0067325B"/>
    <w:rsid w:val="00673623"/>
    <w:rsid w:val="00675F34"/>
    <w:rsid w:val="00680469"/>
    <w:rsid w:val="00680869"/>
    <w:rsid w:val="00681B1A"/>
    <w:rsid w:val="006827CC"/>
    <w:rsid w:val="00683CA4"/>
    <w:rsid w:val="006849D0"/>
    <w:rsid w:val="0068731E"/>
    <w:rsid w:val="00690E4F"/>
    <w:rsid w:val="00690F06"/>
    <w:rsid w:val="0069225C"/>
    <w:rsid w:val="00693AE5"/>
    <w:rsid w:val="00694CB2"/>
    <w:rsid w:val="00695FD9"/>
    <w:rsid w:val="00696550"/>
    <w:rsid w:val="006A0188"/>
    <w:rsid w:val="006A0642"/>
    <w:rsid w:val="006A21F3"/>
    <w:rsid w:val="006A32EF"/>
    <w:rsid w:val="006A38F8"/>
    <w:rsid w:val="006A3A62"/>
    <w:rsid w:val="006A402A"/>
    <w:rsid w:val="006A5862"/>
    <w:rsid w:val="006A5F38"/>
    <w:rsid w:val="006A5FF7"/>
    <w:rsid w:val="006A6803"/>
    <w:rsid w:val="006B093A"/>
    <w:rsid w:val="006B3422"/>
    <w:rsid w:val="006B4136"/>
    <w:rsid w:val="006B5407"/>
    <w:rsid w:val="006B6FED"/>
    <w:rsid w:val="006B7D9F"/>
    <w:rsid w:val="006C1083"/>
    <w:rsid w:val="006C22DB"/>
    <w:rsid w:val="006C2C0F"/>
    <w:rsid w:val="006C3A55"/>
    <w:rsid w:val="006C3A60"/>
    <w:rsid w:val="006C4434"/>
    <w:rsid w:val="006C5CCA"/>
    <w:rsid w:val="006C6083"/>
    <w:rsid w:val="006D1779"/>
    <w:rsid w:val="006D1EDD"/>
    <w:rsid w:val="006D50F7"/>
    <w:rsid w:val="006D54DF"/>
    <w:rsid w:val="006D6C69"/>
    <w:rsid w:val="006D72A1"/>
    <w:rsid w:val="006D7F4F"/>
    <w:rsid w:val="006D7FD2"/>
    <w:rsid w:val="006E04D3"/>
    <w:rsid w:val="006E05DC"/>
    <w:rsid w:val="006E5488"/>
    <w:rsid w:val="006E5F82"/>
    <w:rsid w:val="006E7552"/>
    <w:rsid w:val="006F1676"/>
    <w:rsid w:val="006F1A1D"/>
    <w:rsid w:val="006F3F55"/>
    <w:rsid w:val="006F4EF0"/>
    <w:rsid w:val="006F6676"/>
    <w:rsid w:val="006F68C3"/>
    <w:rsid w:val="006F762D"/>
    <w:rsid w:val="006F7A5A"/>
    <w:rsid w:val="007001D7"/>
    <w:rsid w:val="00700836"/>
    <w:rsid w:val="00700A32"/>
    <w:rsid w:val="00700F14"/>
    <w:rsid w:val="00703DFE"/>
    <w:rsid w:val="007051DC"/>
    <w:rsid w:val="00705385"/>
    <w:rsid w:val="00711102"/>
    <w:rsid w:val="00713558"/>
    <w:rsid w:val="00713B49"/>
    <w:rsid w:val="00714A6E"/>
    <w:rsid w:val="00722172"/>
    <w:rsid w:val="00723C2F"/>
    <w:rsid w:val="00724668"/>
    <w:rsid w:val="00724E8B"/>
    <w:rsid w:val="00726D69"/>
    <w:rsid w:val="00730FDB"/>
    <w:rsid w:val="00731689"/>
    <w:rsid w:val="00732B96"/>
    <w:rsid w:val="0073394D"/>
    <w:rsid w:val="00736537"/>
    <w:rsid w:val="007448F6"/>
    <w:rsid w:val="00745A7C"/>
    <w:rsid w:val="007470AF"/>
    <w:rsid w:val="00747A4A"/>
    <w:rsid w:val="00747FC9"/>
    <w:rsid w:val="007529F8"/>
    <w:rsid w:val="00752B4C"/>
    <w:rsid w:val="007548EB"/>
    <w:rsid w:val="00754A4F"/>
    <w:rsid w:val="007552B6"/>
    <w:rsid w:val="007566D1"/>
    <w:rsid w:val="0076208E"/>
    <w:rsid w:val="007624B7"/>
    <w:rsid w:val="007629C5"/>
    <w:rsid w:val="00763470"/>
    <w:rsid w:val="007663AE"/>
    <w:rsid w:val="00766956"/>
    <w:rsid w:val="00767577"/>
    <w:rsid w:val="007705F9"/>
    <w:rsid w:val="00771A7F"/>
    <w:rsid w:val="007729BF"/>
    <w:rsid w:val="00772AC7"/>
    <w:rsid w:val="00772E6D"/>
    <w:rsid w:val="007756B9"/>
    <w:rsid w:val="0077579F"/>
    <w:rsid w:val="007769E5"/>
    <w:rsid w:val="007830F4"/>
    <w:rsid w:val="00783A3C"/>
    <w:rsid w:val="007840F6"/>
    <w:rsid w:val="00785A2F"/>
    <w:rsid w:val="00790047"/>
    <w:rsid w:val="0079139F"/>
    <w:rsid w:val="0079626D"/>
    <w:rsid w:val="007975F5"/>
    <w:rsid w:val="007A3A6C"/>
    <w:rsid w:val="007A422B"/>
    <w:rsid w:val="007B19AC"/>
    <w:rsid w:val="007B2FF8"/>
    <w:rsid w:val="007B4A7C"/>
    <w:rsid w:val="007B54E6"/>
    <w:rsid w:val="007B6F85"/>
    <w:rsid w:val="007B7209"/>
    <w:rsid w:val="007B72F4"/>
    <w:rsid w:val="007C0565"/>
    <w:rsid w:val="007C4BD3"/>
    <w:rsid w:val="007C4D5B"/>
    <w:rsid w:val="007C7E0E"/>
    <w:rsid w:val="007D06DE"/>
    <w:rsid w:val="007D0A9B"/>
    <w:rsid w:val="007D1B50"/>
    <w:rsid w:val="007D1F64"/>
    <w:rsid w:val="007D2798"/>
    <w:rsid w:val="007D2C63"/>
    <w:rsid w:val="007D5687"/>
    <w:rsid w:val="007D7CE3"/>
    <w:rsid w:val="007D7D4C"/>
    <w:rsid w:val="007E3BA0"/>
    <w:rsid w:val="007E3DC2"/>
    <w:rsid w:val="007E4D93"/>
    <w:rsid w:val="007E5B2D"/>
    <w:rsid w:val="007E7200"/>
    <w:rsid w:val="007F24AE"/>
    <w:rsid w:val="007F622A"/>
    <w:rsid w:val="008049C4"/>
    <w:rsid w:val="00814418"/>
    <w:rsid w:val="00816519"/>
    <w:rsid w:val="00816DD3"/>
    <w:rsid w:val="0081743C"/>
    <w:rsid w:val="00820599"/>
    <w:rsid w:val="00821666"/>
    <w:rsid w:val="00822D45"/>
    <w:rsid w:val="00823B7E"/>
    <w:rsid w:val="00826D1A"/>
    <w:rsid w:val="0083102C"/>
    <w:rsid w:val="00831AD1"/>
    <w:rsid w:val="00832A74"/>
    <w:rsid w:val="00835157"/>
    <w:rsid w:val="00837D94"/>
    <w:rsid w:val="008409DF"/>
    <w:rsid w:val="00841405"/>
    <w:rsid w:val="00841D7B"/>
    <w:rsid w:val="008421BF"/>
    <w:rsid w:val="00845541"/>
    <w:rsid w:val="008463AF"/>
    <w:rsid w:val="008471F0"/>
    <w:rsid w:val="00847DAB"/>
    <w:rsid w:val="0085093A"/>
    <w:rsid w:val="00850AB0"/>
    <w:rsid w:val="008516DF"/>
    <w:rsid w:val="00851C98"/>
    <w:rsid w:val="00853E53"/>
    <w:rsid w:val="00855AB5"/>
    <w:rsid w:val="008564B4"/>
    <w:rsid w:val="00857C1E"/>
    <w:rsid w:val="00861F04"/>
    <w:rsid w:val="00863DDE"/>
    <w:rsid w:val="00865426"/>
    <w:rsid w:val="00866B64"/>
    <w:rsid w:val="0087005B"/>
    <w:rsid w:val="00870CFA"/>
    <w:rsid w:val="00872833"/>
    <w:rsid w:val="00881320"/>
    <w:rsid w:val="00883520"/>
    <w:rsid w:val="0088369C"/>
    <w:rsid w:val="00883852"/>
    <w:rsid w:val="00883DEB"/>
    <w:rsid w:val="00891EB9"/>
    <w:rsid w:val="00894B07"/>
    <w:rsid w:val="00895CBC"/>
    <w:rsid w:val="00895EBE"/>
    <w:rsid w:val="00897B19"/>
    <w:rsid w:val="008A0F56"/>
    <w:rsid w:val="008A1F04"/>
    <w:rsid w:val="008A3BFD"/>
    <w:rsid w:val="008A5059"/>
    <w:rsid w:val="008A692B"/>
    <w:rsid w:val="008B0F08"/>
    <w:rsid w:val="008B2E82"/>
    <w:rsid w:val="008B366C"/>
    <w:rsid w:val="008B7ED5"/>
    <w:rsid w:val="008C0985"/>
    <w:rsid w:val="008C43B2"/>
    <w:rsid w:val="008C45D8"/>
    <w:rsid w:val="008C584F"/>
    <w:rsid w:val="008C610E"/>
    <w:rsid w:val="008C6A4C"/>
    <w:rsid w:val="008C73E1"/>
    <w:rsid w:val="008D08A9"/>
    <w:rsid w:val="008D1E0B"/>
    <w:rsid w:val="008D474B"/>
    <w:rsid w:val="008D6195"/>
    <w:rsid w:val="008D62FA"/>
    <w:rsid w:val="008D6A0A"/>
    <w:rsid w:val="008D7D40"/>
    <w:rsid w:val="008E0687"/>
    <w:rsid w:val="008E11F4"/>
    <w:rsid w:val="008E2602"/>
    <w:rsid w:val="008E277D"/>
    <w:rsid w:val="008F1FEF"/>
    <w:rsid w:val="008F2D9E"/>
    <w:rsid w:val="008F7804"/>
    <w:rsid w:val="008F7934"/>
    <w:rsid w:val="00900C2A"/>
    <w:rsid w:val="00903861"/>
    <w:rsid w:val="00903CFF"/>
    <w:rsid w:val="00905688"/>
    <w:rsid w:val="0091098F"/>
    <w:rsid w:val="0091272F"/>
    <w:rsid w:val="00912B70"/>
    <w:rsid w:val="00912E78"/>
    <w:rsid w:val="00913DD8"/>
    <w:rsid w:val="00915284"/>
    <w:rsid w:val="00916E18"/>
    <w:rsid w:val="009200E7"/>
    <w:rsid w:val="009206D1"/>
    <w:rsid w:val="00921C14"/>
    <w:rsid w:val="00922B5A"/>
    <w:rsid w:val="0092601F"/>
    <w:rsid w:val="009279E6"/>
    <w:rsid w:val="00930BBB"/>
    <w:rsid w:val="0093256A"/>
    <w:rsid w:val="00937F43"/>
    <w:rsid w:val="00940B27"/>
    <w:rsid w:val="00942EEB"/>
    <w:rsid w:val="00943D6F"/>
    <w:rsid w:val="00944569"/>
    <w:rsid w:val="00944C7D"/>
    <w:rsid w:val="009465DA"/>
    <w:rsid w:val="009472D4"/>
    <w:rsid w:val="00954469"/>
    <w:rsid w:val="00955399"/>
    <w:rsid w:val="009557FD"/>
    <w:rsid w:val="00955DB2"/>
    <w:rsid w:val="00956664"/>
    <w:rsid w:val="00956D5F"/>
    <w:rsid w:val="00957AAF"/>
    <w:rsid w:val="00963BD9"/>
    <w:rsid w:val="00964633"/>
    <w:rsid w:val="00965460"/>
    <w:rsid w:val="009670F0"/>
    <w:rsid w:val="0097153D"/>
    <w:rsid w:val="00971762"/>
    <w:rsid w:val="00972A30"/>
    <w:rsid w:val="00974794"/>
    <w:rsid w:val="0097734C"/>
    <w:rsid w:val="00977567"/>
    <w:rsid w:val="00977B99"/>
    <w:rsid w:val="00983753"/>
    <w:rsid w:val="00991ADC"/>
    <w:rsid w:val="00994CE2"/>
    <w:rsid w:val="00995952"/>
    <w:rsid w:val="009A0579"/>
    <w:rsid w:val="009A179B"/>
    <w:rsid w:val="009A187A"/>
    <w:rsid w:val="009A1AEB"/>
    <w:rsid w:val="009A1D0D"/>
    <w:rsid w:val="009A2765"/>
    <w:rsid w:val="009A5B52"/>
    <w:rsid w:val="009A6EF3"/>
    <w:rsid w:val="009B13B7"/>
    <w:rsid w:val="009B15BA"/>
    <w:rsid w:val="009B1B11"/>
    <w:rsid w:val="009B464E"/>
    <w:rsid w:val="009B676F"/>
    <w:rsid w:val="009C0827"/>
    <w:rsid w:val="009C2484"/>
    <w:rsid w:val="009C547B"/>
    <w:rsid w:val="009C60C8"/>
    <w:rsid w:val="009C79E3"/>
    <w:rsid w:val="009D0381"/>
    <w:rsid w:val="009D1280"/>
    <w:rsid w:val="009D23C7"/>
    <w:rsid w:val="009D2624"/>
    <w:rsid w:val="009D2FB1"/>
    <w:rsid w:val="009D3D1F"/>
    <w:rsid w:val="009D5279"/>
    <w:rsid w:val="009D58F2"/>
    <w:rsid w:val="009D7838"/>
    <w:rsid w:val="009E2115"/>
    <w:rsid w:val="009E25E6"/>
    <w:rsid w:val="009E295E"/>
    <w:rsid w:val="009E455C"/>
    <w:rsid w:val="009E5424"/>
    <w:rsid w:val="009E7110"/>
    <w:rsid w:val="009E7361"/>
    <w:rsid w:val="009F1CAB"/>
    <w:rsid w:val="009F4C93"/>
    <w:rsid w:val="009F5998"/>
    <w:rsid w:val="009F66B4"/>
    <w:rsid w:val="00A0270D"/>
    <w:rsid w:val="00A036CF"/>
    <w:rsid w:val="00A05182"/>
    <w:rsid w:val="00A07BDF"/>
    <w:rsid w:val="00A11BA2"/>
    <w:rsid w:val="00A12062"/>
    <w:rsid w:val="00A1241D"/>
    <w:rsid w:val="00A12DFC"/>
    <w:rsid w:val="00A1424D"/>
    <w:rsid w:val="00A15EEE"/>
    <w:rsid w:val="00A20368"/>
    <w:rsid w:val="00A2038C"/>
    <w:rsid w:val="00A22033"/>
    <w:rsid w:val="00A22234"/>
    <w:rsid w:val="00A233A0"/>
    <w:rsid w:val="00A24354"/>
    <w:rsid w:val="00A27452"/>
    <w:rsid w:val="00A30785"/>
    <w:rsid w:val="00A36BE5"/>
    <w:rsid w:val="00A3784C"/>
    <w:rsid w:val="00A41B06"/>
    <w:rsid w:val="00A44ACC"/>
    <w:rsid w:val="00A4515A"/>
    <w:rsid w:val="00A50B27"/>
    <w:rsid w:val="00A52096"/>
    <w:rsid w:val="00A5345E"/>
    <w:rsid w:val="00A53F8D"/>
    <w:rsid w:val="00A54099"/>
    <w:rsid w:val="00A55E4D"/>
    <w:rsid w:val="00A570B6"/>
    <w:rsid w:val="00A6166A"/>
    <w:rsid w:val="00A65DB3"/>
    <w:rsid w:val="00A66740"/>
    <w:rsid w:val="00A7133C"/>
    <w:rsid w:val="00A72EFB"/>
    <w:rsid w:val="00A74B61"/>
    <w:rsid w:val="00A75AB3"/>
    <w:rsid w:val="00A8006A"/>
    <w:rsid w:val="00A80BDC"/>
    <w:rsid w:val="00A816D8"/>
    <w:rsid w:val="00A83033"/>
    <w:rsid w:val="00A85CDE"/>
    <w:rsid w:val="00A86217"/>
    <w:rsid w:val="00A866CB"/>
    <w:rsid w:val="00A90951"/>
    <w:rsid w:val="00A928AD"/>
    <w:rsid w:val="00A929D0"/>
    <w:rsid w:val="00A92C67"/>
    <w:rsid w:val="00A941EB"/>
    <w:rsid w:val="00A9474D"/>
    <w:rsid w:val="00A956EF"/>
    <w:rsid w:val="00A964D8"/>
    <w:rsid w:val="00A9734E"/>
    <w:rsid w:val="00A97FD7"/>
    <w:rsid w:val="00AA23AA"/>
    <w:rsid w:val="00AA59AC"/>
    <w:rsid w:val="00AA7ACF"/>
    <w:rsid w:val="00AB0178"/>
    <w:rsid w:val="00AB284E"/>
    <w:rsid w:val="00AB397A"/>
    <w:rsid w:val="00AB4699"/>
    <w:rsid w:val="00AB6108"/>
    <w:rsid w:val="00AC01C7"/>
    <w:rsid w:val="00AC2105"/>
    <w:rsid w:val="00AC2718"/>
    <w:rsid w:val="00AC30DE"/>
    <w:rsid w:val="00AC336D"/>
    <w:rsid w:val="00AC7C12"/>
    <w:rsid w:val="00AD7A8B"/>
    <w:rsid w:val="00AE1183"/>
    <w:rsid w:val="00AE1C61"/>
    <w:rsid w:val="00AE50E3"/>
    <w:rsid w:val="00AE639D"/>
    <w:rsid w:val="00AE73C0"/>
    <w:rsid w:val="00AF183B"/>
    <w:rsid w:val="00AF37EF"/>
    <w:rsid w:val="00AF3BFF"/>
    <w:rsid w:val="00AF5ADA"/>
    <w:rsid w:val="00AF6625"/>
    <w:rsid w:val="00AF7DBF"/>
    <w:rsid w:val="00B0220F"/>
    <w:rsid w:val="00B02728"/>
    <w:rsid w:val="00B03D6A"/>
    <w:rsid w:val="00B040FC"/>
    <w:rsid w:val="00B04142"/>
    <w:rsid w:val="00B044DE"/>
    <w:rsid w:val="00B064DF"/>
    <w:rsid w:val="00B10F6C"/>
    <w:rsid w:val="00B12978"/>
    <w:rsid w:val="00B202A4"/>
    <w:rsid w:val="00B21233"/>
    <w:rsid w:val="00B22A11"/>
    <w:rsid w:val="00B23A55"/>
    <w:rsid w:val="00B25461"/>
    <w:rsid w:val="00B26227"/>
    <w:rsid w:val="00B276F6"/>
    <w:rsid w:val="00B279B4"/>
    <w:rsid w:val="00B30CB1"/>
    <w:rsid w:val="00B31EEF"/>
    <w:rsid w:val="00B3469F"/>
    <w:rsid w:val="00B373DE"/>
    <w:rsid w:val="00B4004D"/>
    <w:rsid w:val="00B4246A"/>
    <w:rsid w:val="00B427B3"/>
    <w:rsid w:val="00B43317"/>
    <w:rsid w:val="00B45737"/>
    <w:rsid w:val="00B45E21"/>
    <w:rsid w:val="00B47467"/>
    <w:rsid w:val="00B479C8"/>
    <w:rsid w:val="00B47FEF"/>
    <w:rsid w:val="00B504D7"/>
    <w:rsid w:val="00B5399B"/>
    <w:rsid w:val="00B5416D"/>
    <w:rsid w:val="00B564A9"/>
    <w:rsid w:val="00B57A6F"/>
    <w:rsid w:val="00B60FCF"/>
    <w:rsid w:val="00B62232"/>
    <w:rsid w:val="00B626F2"/>
    <w:rsid w:val="00B6331F"/>
    <w:rsid w:val="00B63A72"/>
    <w:rsid w:val="00B63D4A"/>
    <w:rsid w:val="00B645D8"/>
    <w:rsid w:val="00B65392"/>
    <w:rsid w:val="00B655BF"/>
    <w:rsid w:val="00B65C17"/>
    <w:rsid w:val="00B660C9"/>
    <w:rsid w:val="00B71C22"/>
    <w:rsid w:val="00B72AA3"/>
    <w:rsid w:val="00B72B56"/>
    <w:rsid w:val="00B74451"/>
    <w:rsid w:val="00B74F36"/>
    <w:rsid w:val="00B75D3F"/>
    <w:rsid w:val="00B803D7"/>
    <w:rsid w:val="00B811ED"/>
    <w:rsid w:val="00B812AD"/>
    <w:rsid w:val="00B8248E"/>
    <w:rsid w:val="00B8295F"/>
    <w:rsid w:val="00B82E68"/>
    <w:rsid w:val="00B8435A"/>
    <w:rsid w:val="00B8447A"/>
    <w:rsid w:val="00B8457D"/>
    <w:rsid w:val="00B86E13"/>
    <w:rsid w:val="00B86EA8"/>
    <w:rsid w:val="00B8722F"/>
    <w:rsid w:val="00B91E56"/>
    <w:rsid w:val="00B92520"/>
    <w:rsid w:val="00B92DCC"/>
    <w:rsid w:val="00B93063"/>
    <w:rsid w:val="00B958E1"/>
    <w:rsid w:val="00B961BE"/>
    <w:rsid w:val="00B97AFD"/>
    <w:rsid w:val="00BA125B"/>
    <w:rsid w:val="00BA163D"/>
    <w:rsid w:val="00BA1DD9"/>
    <w:rsid w:val="00BA2270"/>
    <w:rsid w:val="00BA2BDA"/>
    <w:rsid w:val="00BA584F"/>
    <w:rsid w:val="00BA58A9"/>
    <w:rsid w:val="00BA6081"/>
    <w:rsid w:val="00BA7E46"/>
    <w:rsid w:val="00BB0482"/>
    <w:rsid w:val="00BB0CF8"/>
    <w:rsid w:val="00BB26B2"/>
    <w:rsid w:val="00BB313C"/>
    <w:rsid w:val="00BB4906"/>
    <w:rsid w:val="00BB507B"/>
    <w:rsid w:val="00BC159F"/>
    <w:rsid w:val="00BC1EDF"/>
    <w:rsid w:val="00BC3141"/>
    <w:rsid w:val="00BC3EE7"/>
    <w:rsid w:val="00BC5267"/>
    <w:rsid w:val="00BC5A77"/>
    <w:rsid w:val="00BC6F15"/>
    <w:rsid w:val="00BC70A1"/>
    <w:rsid w:val="00BD0A0E"/>
    <w:rsid w:val="00BD1372"/>
    <w:rsid w:val="00BD3DE5"/>
    <w:rsid w:val="00BD4834"/>
    <w:rsid w:val="00BD4C9F"/>
    <w:rsid w:val="00BD5254"/>
    <w:rsid w:val="00BD533D"/>
    <w:rsid w:val="00BD6334"/>
    <w:rsid w:val="00BD7E0A"/>
    <w:rsid w:val="00BE3177"/>
    <w:rsid w:val="00BE4B84"/>
    <w:rsid w:val="00BE4E1D"/>
    <w:rsid w:val="00BE5D6E"/>
    <w:rsid w:val="00BE7DAC"/>
    <w:rsid w:val="00BF0244"/>
    <w:rsid w:val="00BF133F"/>
    <w:rsid w:val="00BF1AA0"/>
    <w:rsid w:val="00BF1FB4"/>
    <w:rsid w:val="00BF2C57"/>
    <w:rsid w:val="00BF6F19"/>
    <w:rsid w:val="00BF7D1B"/>
    <w:rsid w:val="00BF7E32"/>
    <w:rsid w:val="00C004CC"/>
    <w:rsid w:val="00C01F1D"/>
    <w:rsid w:val="00C02398"/>
    <w:rsid w:val="00C054A4"/>
    <w:rsid w:val="00C05E9C"/>
    <w:rsid w:val="00C10236"/>
    <w:rsid w:val="00C1345F"/>
    <w:rsid w:val="00C13E12"/>
    <w:rsid w:val="00C14593"/>
    <w:rsid w:val="00C1630F"/>
    <w:rsid w:val="00C1711B"/>
    <w:rsid w:val="00C20A09"/>
    <w:rsid w:val="00C21275"/>
    <w:rsid w:val="00C21FBE"/>
    <w:rsid w:val="00C2202A"/>
    <w:rsid w:val="00C2284B"/>
    <w:rsid w:val="00C23E7B"/>
    <w:rsid w:val="00C3023B"/>
    <w:rsid w:val="00C31B5E"/>
    <w:rsid w:val="00C31C7D"/>
    <w:rsid w:val="00C322A7"/>
    <w:rsid w:val="00C33544"/>
    <w:rsid w:val="00C43C66"/>
    <w:rsid w:val="00C43DDE"/>
    <w:rsid w:val="00C4441A"/>
    <w:rsid w:val="00C51ADC"/>
    <w:rsid w:val="00C55BEC"/>
    <w:rsid w:val="00C56541"/>
    <w:rsid w:val="00C57FA0"/>
    <w:rsid w:val="00C60049"/>
    <w:rsid w:val="00C608CC"/>
    <w:rsid w:val="00C61A23"/>
    <w:rsid w:val="00C628E6"/>
    <w:rsid w:val="00C70141"/>
    <w:rsid w:val="00C73B19"/>
    <w:rsid w:val="00C76BC1"/>
    <w:rsid w:val="00C76F70"/>
    <w:rsid w:val="00C80528"/>
    <w:rsid w:val="00C8141D"/>
    <w:rsid w:val="00C82AF0"/>
    <w:rsid w:val="00C844C9"/>
    <w:rsid w:val="00C85C33"/>
    <w:rsid w:val="00C86278"/>
    <w:rsid w:val="00C87FE2"/>
    <w:rsid w:val="00C92131"/>
    <w:rsid w:val="00C94C1D"/>
    <w:rsid w:val="00C95B9D"/>
    <w:rsid w:val="00C96400"/>
    <w:rsid w:val="00CA495B"/>
    <w:rsid w:val="00CA4B94"/>
    <w:rsid w:val="00CA4E03"/>
    <w:rsid w:val="00CA5E14"/>
    <w:rsid w:val="00CA7384"/>
    <w:rsid w:val="00CB13AC"/>
    <w:rsid w:val="00CB4412"/>
    <w:rsid w:val="00CB500F"/>
    <w:rsid w:val="00CB5EBC"/>
    <w:rsid w:val="00CB6870"/>
    <w:rsid w:val="00CC0D20"/>
    <w:rsid w:val="00CC3291"/>
    <w:rsid w:val="00CC3B2A"/>
    <w:rsid w:val="00CC4A00"/>
    <w:rsid w:val="00CC6CA0"/>
    <w:rsid w:val="00CD2034"/>
    <w:rsid w:val="00CD45B8"/>
    <w:rsid w:val="00CD58E1"/>
    <w:rsid w:val="00CD7600"/>
    <w:rsid w:val="00CE5286"/>
    <w:rsid w:val="00CE69E5"/>
    <w:rsid w:val="00CE6F55"/>
    <w:rsid w:val="00CE6FC9"/>
    <w:rsid w:val="00CF1249"/>
    <w:rsid w:val="00CF3106"/>
    <w:rsid w:val="00CF5BF7"/>
    <w:rsid w:val="00CF7CE2"/>
    <w:rsid w:val="00D00419"/>
    <w:rsid w:val="00D01706"/>
    <w:rsid w:val="00D01CEA"/>
    <w:rsid w:val="00D04043"/>
    <w:rsid w:val="00D077E9"/>
    <w:rsid w:val="00D07B80"/>
    <w:rsid w:val="00D100EA"/>
    <w:rsid w:val="00D118CA"/>
    <w:rsid w:val="00D16CED"/>
    <w:rsid w:val="00D1768D"/>
    <w:rsid w:val="00D17C08"/>
    <w:rsid w:val="00D2103D"/>
    <w:rsid w:val="00D21FF2"/>
    <w:rsid w:val="00D25DAC"/>
    <w:rsid w:val="00D27F6F"/>
    <w:rsid w:val="00D32F74"/>
    <w:rsid w:val="00D33093"/>
    <w:rsid w:val="00D34776"/>
    <w:rsid w:val="00D34BF1"/>
    <w:rsid w:val="00D35D56"/>
    <w:rsid w:val="00D37153"/>
    <w:rsid w:val="00D37432"/>
    <w:rsid w:val="00D42F1F"/>
    <w:rsid w:val="00D433EA"/>
    <w:rsid w:val="00D45393"/>
    <w:rsid w:val="00D46533"/>
    <w:rsid w:val="00D50253"/>
    <w:rsid w:val="00D50599"/>
    <w:rsid w:val="00D52357"/>
    <w:rsid w:val="00D548F2"/>
    <w:rsid w:val="00D55BB0"/>
    <w:rsid w:val="00D57033"/>
    <w:rsid w:val="00D57B37"/>
    <w:rsid w:val="00D61A0C"/>
    <w:rsid w:val="00D61FE4"/>
    <w:rsid w:val="00D63E15"/>
    <w:rsid w:val="00D65969"/>
    <w:rsid w:val="00D661E1"/>
    <w:rsid w:val="00D6696C"/>
    <w:rsid w:val="00D67284"/>
    <w:rsid w:val="00D71D73"/>
    <w:rsid w:val="00D73928"/>
    <w:rsid w:val="00D73A04"/>
    <w:rsid w:val="00D73C27"/>
    <w:rsid w:val="00D741C4"/>
    <w:rsid w:val="00D7522D"/>
    <w:rsid w:val="00D768D5"/>
    <w:rsid w:val="00D81224"/>
    <w:rsid w:val="00D813B6"/>
    <w:rsid w:val="00D81DD9"/>
    <w:rsid w:val="00D8218D"/>
    <w:rsid w:val="00D831E7"/>
    <w:rsid w:val="00D8435D"/>
    <w:rsid w:val="00D87387"/>
    <w:rsid w:val="00D91676"/>
    <w:rsid w:val="00D925B4"/>
    <w:rsid w:val="00D92B8E"/>
    <w:rsid w:val="00D930A5"/>
    <w:rsid w:val="00D93913"/>
    <w:rsid w:val="00D944E0"/>
    <w:rsid w:val="00D979D2"/>
    <w:rsid w:val="00DA216F"/>
    <w:rsid w:val="00DA2875"/>
    <w:rsid w:val="00DA2FF3"/>
    <w:rsid w:val="00DA4295"/>
    <w:rsid w:val="00DA51F6"/>
    <w:rsid w:val="00DA78AB"/>
    <w:rsid w:val="00DB05CD"/>
    <w:rsid w:val="00DB0E0E"/>
    <w:rsid w:val="00DB1A8C"/>
    <w:rsid w:val="00DB2668"/>
    <w:rsid w:val="00DB428C"/>
    <w:rsid w:val="00DB6858"/>
    <w:rsid w:val="00DB6AE4"/>
    <w:rsid w:val="00DB70D0"/>
    <w:rsid w:val="00DC0849"/>
    <w:rsid w:val="00DC76CE"/>
    <w:rsid w:val="00DD0CB7"/>
    <w:rsid w:val="00DD12ED"/>
    <w:rsid w:val="00DD219C"/>
    <w:rsid w:val="00DD271B"/>
    <w:rsid w:val="00DD40B0"/>
    <w:rsid w:val="00DD5416"/>
    <w:rsid w:val="00DE11FB"/>
    <w:rsid w:val="00DE1B7B"/>
    <w:rsid w:val="00DE20AB"/>
    <w:rsid w:val="00DE4477"/>
    <w:rsid w:val="00DE4E4B"/>
    <w:rsid w:val="00DE7E34"/>
    <w:rsid w:val="00DF0D37"/>
    <w:rsid w:val="00DF128A"/>
    <w:rsid w:val="00DF1607"/>
    <w:rsid w:val="00DF28AB"/>
    <w:rsid w:val="00DF306A"/>
    <w:rsid w:val="00DF6575"/>
    <w:rsid w:val="00DF66D8"/>
    <w:rsid w:val="00E002EE"/>
    <w:rsid w:val="00E01056"/>
    <w:rsid w:val="00E02500"/>
    <w:rsid w:val="00E03B01"/>
    <w:rsid w:val="00E03E76"/>
    <w:rsid w:val="00E04C77"/>
    <w:rsid w:val="00E05510"/>
    <w:rsid w:val="00E056C8"/>
    <w:rsid w:val="00E06500"/>
    <w:rsid w:val="00E068FB"/>
    <w:rsid w:val="00E10F79"/>
    <w:rsid w:val="00E11587"/>
    <w:rsid w:val="00E11F4D"/>
    <w:rsid w:val="00E121E7"/>
    <w:rsid w:val="00E12B3F"/>
    <w:rsid w:val="00E1351A"/>
    <w:rsid w:val="00E1355F"/>
    <w:rsid w:val="00E16A5F"/>
    <w:rsid w:val="00E16B35"/>
    <w:rsid w:val="00E20671"/>
    <w:rsid w:val="00E20B73"/>
    <w:rsid w:val="00E2314A"/>
    <w:rsid w:val="00E23D34"/>
    <w:rsid w:val="00E2689C"/>
    <w:rsid w:val="00E27AB7"/>
    <w:rsid w:val="00E27E63"/>
    <w:rsid w:val="00E30BAE"/>
    <w:rsid w:val="00E32AD6"/>
    <w:rsid w:val="00E33041"/>
    <w:rsid w:val="00E340A7"/>
    <w:rsid w:val="00E3489C"/>
    <w:rsid w:val="00E36096"/>
    <w:rsid w:val="00E41627"/>
    <w:rsid w:val="00E4530A"/>
    <w:rsid w:val="00E46F39"/>
    <w:rsid w:val="00E479C1"/>
    <w:rsid w:val="00E52505"/>
    <w:rsid w:val="00E53112"/>
    <w:rsid w:val="00E53598"/>
    <w:rsid w:val="00E55175"/>
    <w:rsid w:val="00E564E9"/>
    <w:rsid w:val="00E56B6B"/>
    <w:rsid w:val="00E66257"/>
    <w:rsid w:val="00E67972"/>
    <w:rsid w:val="00E67B29"/>
    <w:rsid w:val="00E67D43"/>
    <w:rsid w:val="00E706C6"/>
    <w:rsid w:val="00E73A1E"/>
    <w:rsid w:val="00E73E77"/>
    <w:rsid w:val="00E75465"/>
    <w:rsid w:val="00E75BA8"/>
    <w:rsid w:val="00E80364"/>
    <w:rsid w:val="00E82C4A"/>
    <w:rsid w:val="00E83624"/>
    <w:rsid w:val="00E85C77"/>
    <w:rsid w:val="00E86C4C"/>
    <w:rsid w:val="00E86FEF"/>
    <w:rsid w:val="00E90393"/>
    <w:rsid w:val="00E90685"/>
    <w:rsid w:val="00E92E2B"/>
    <w:rsid w:val="00E93C2D"/>
    <w:rsid w:val="00E94A28"/>
    <w:rsid w:val="00E9504A"/>
    <w:rsid w:val="00E95F4C"/>
    <w:rsid w:val="00E974AE"/>
    <w:rsid w:val="00EA0C6A"/>
    <w:rsid w:val="00EA17D0"/>
    <w:rsid w:val="00EA229C"/>
    <w:rsid w:val="00EA501A"/>
    <w:rsid w:val="00EA59A8"/>
    <w:rsid w:val="00EB0DD5"/>
    <w:rsid w:val="00EB2060"/>
    <w:rsid w:val="00EB4BFB"/>
    <w:rsid w:val="00EB6A98"/>
    <w:rsid w:val="00EC12A1"/>
    <w:rsid w:val="00EC1B15"/>
    <w:rsid w:val="00EC3F7E"/>
    <w:rsid w:val="00EC4116"/>
    <w:rsid w:val="00EC6DA7"/>
    <w:rsid w:val="00EC72BE"/>
    <w:rsid w:val="00ED190C"/>
    <w:rsid w:val="00ED3302"/>
    <w:rsid w:val="00ED5714"/>
    <w:rsid w:val="00ED5961"/>
    <w:rsid w:val="00ED6A17"/>
    <w:rsid w:val="00EE0DA4"/>
    <w:rsid w:val="00EE1014"/>
    <w:rsid w:val="00EE130A"/>
    <w:rsid w:val="00EE1987"/>
    <w:rsid w:val="00EE3A99"/>
    <w:rsid w:val="00EE3ACB"/>
    <w:rsid w:val="00EE4C9C"/>
    <w:rsid w:val="00EE6C05"/>
    <w:rsid w:val="00EE7048"/>
    <w:rsid w:val="00EE7FE2"/>
    <w:rsid w:val="00EF1795"/>
    <w:rsid w:val="00EF208F"/>
    <w:rsid w:val="00EF235C"/>
    <w:rsid w:val="00EF2C7F"/>
    <w:rsid w:val="00EF3A28"/>
    <w:rsid w:val="00EF4FA4"/>
    <w:rsid w:val="00EF7BE3"/>
    <w:rsid w:val="00EF7D59"/>
    <w:rsid w:val="00F02037"/>
    <w:rsid w:val="00F02677"/>
    <w:rsid w:val="00F027A7"/>
    <w:rsid w:val="00F0725E"/>
    <w:rsid w:val="00F12479"/>
    <w:rsid w:val="00F127B8"/>
    <w:rsid w:val="00F14DF0"/>
    <w:rsid w:val="00F154D4"/>
    <w:rsid w:val="00F20105"/>
    <w:rsid w:val="00F217D3"/>
    <w:rsid w:val="00F21F69"/>
    <w:rsid w:val="00F22143"/>
    <w:rsid w:val="00F2591A"/>
    <w:rsid w:val="00F260C5"/>
    <w:rsid w:val="00F266D7"/>
    <w:rsid w:val="00F26F57"/>
    <w:rsid w:val="00F27718"/>
    <w:rsid w:val="00F30215"/>
    <w:rsid w:val="00F3243A"/>
    <w:rsid w:val="00F32A75"/>
    <w:rsid w:val="00F32B8E"/>
    <w:rsid w:val="00F3508B"/>
    <w:rsid w:val="00F362A5"/>
    <w:rsid w:val="00F36E6D"/>
    <w:rsid w:val="00F3742D"/>
    <w:rsid w:val="00F4097F"/>
    <w:rsid w:val="00F43581"/>
    <w:rsid w:val="00F436C2"/>
    <w:rsid w:val="00F46371"/>
    <w:rsid w:val="00F5046D"/>
    <w:rsid w:val="00F534FB"/>
    <w:rsid w:val="00F537A9"/>
    <w:rsid w:val="00F55F3B"/>
    <w:rsid w:val="00F55FB7"/>
    <w:rsid w:val="00F56AF9"/>
    <w:rsid w:val="00F5793C"/>
    <w:rsid w:val="00F57F69"/>
    <w:rsid w:val="00F63F38"/>
    <w:rsid w:val="00F64F4F"/>
    <w:rsid w:val="00F65AF2"/>
    <w:rsid w:val="00F66B47"/>
    <w:rsid w:val="00F70538"/>
    <w:rsid w:val="00F709D6"/>
    <w:rsid w:val="00F737D5"/>
    <w:rsid w:val="00F73DDE"/>
    <w:rsid w:val="00F74B7A"/>
    <w:rsid w:val="00F760ED"/>
    <w:rsid w:val="00F76C53"/>
    <w:rsid w:val="00F80613"/>
    <w:rsid w:val="00F816ED"/>
    <w:rsid w:val="00F8201E"/>
    <w:rsid w:val="00F8221A"/>
    <w:rsid w:val="00F832A8"/>
    <w:rsid w:val="00F859D4"/>
    <w:rsid w:val="00F93158"/>
    <w:rsid w:val="00F93885"/>
    <w:rsid w:val="00F94CF1"/>
    <w:rsid w:val="00F976B8"/>
    <w:rsid w:val="00F97886"/>
    <w:rsid w:val="00F97C37"/>
    <w:rsid w:val="00FA0405"/>
    <w:rsid w:val="00FA1144"/>
    <w:rsid w:val="00FA272C"/>
    <w:rsid w:val="00FA3DD8"/>
    <w:rsid w:val="00FA3F76"/>
    <w:rsid w:val="00FA4DBC"/>
    <w:rsid w:val="00FA5631"/>
    <w:rsid w:val="00FB05FC"/>
    <w:rsid w:val="00FB73A5"/>
    <w:rsid w:val="00FC0CDB"/>
    <w:rsid w:val="00FC218E"/>
    <w:rsid w:val="00FD0101"/>
    <w:rsid w:val="00FD0A52"/>
    <w:rsid w:val="00FD0D05"/>
    <w:rsid w:val="00FD1809"/>
    <w:rsid w:val="00FD4736"/>
    <w:rsid w:val="00FD6050"/>
    <w:rsid w:val="00FD622A"/>
    <w:rsid w:val="00FD6941"/>
    <w:rsid w:val="00FD76E5"/>
    <w:rsid w:val="00FE3DC6"/>
    <w:rsid w:val="00FE561E"/>
    <w:rsid w:val="00FE58E1"/>
    <w:rsid w:val="00FE710D"/>
    <w:rsid w:val="00FE7415"/>
    <w:rsid w:val="00FF288A"/>
    <w:rsid w:val="00FF6F73"/>
    <w:rsid w:val="00FF7305"/>
    <w:rsid w:val="010E10AC"/>
    <w:rsid w:val="011840DB"/>
    <w:rsid w:val="011C28CA"/>
    <w:rsid w:val="012D5292"/>
    <w:rsid w:val="01CA41E2"/>
    <w:rsid w:val="01CB3485"/>
    <w:rsid w:val="02016199"/>
    <w:rsid w:val="02291419"/>
    <w:rsid w:val="023A2510"/>
    <w:rsid w:val="024B14F0"/>
    <w:rsid w:val="026A3C86"/>
    <w:rsid w:val="03475214"/>
    <w:rsid w:val="03553728"/>
    <w:rsid w:val="03AF7745"/>
    <w:rsid w:val="03B8476D"/>
    <w:rsid w:val="03C13544"/>
    <w:rsid w:val="03E73EE3"/>
    <w:rsid w:val="043B3086"/>
    <w:rsid w:val="04BF1BC4"/>
    <w:rsid w:val="04D21776"/>
    <w:rsid w:val="04D70C4A"/>
    <w:rsid w:val="05041024"/>
    <w:rsid w:val="05154C7F"/>
    <w:rsid w:val="051B19D2"/>
    <w:rsid w:val="0552305B"/>
    <w:rsid w:val="0556773D"/>
    <w:rsid w:val="05930739"/>
    <w:rsid w:val="05D26007"/>
    <w:rsid w:val="05F310C5"/>
    <w:rsid w:val="06490456"/>
    <w:rsid w:val="06D126F1"/>
    <w:rsid w:val="071D71DC"/>
    <w:rsid w:val="078A6BEB"/>
    <w:rsid w:val="07A17050"/>
    <w:rsid w:val="07B67289"/>
    <w:rsid w:val="07C47F20"/>
    <w:rsid w:val="08006BB7"/>
    <w:rsid w:val="08110806"/>
    <w:rsid w:val="08227863"/>
    <w:rsid w:val="085654F6"/>
    <w:rsid w:val="08572643"/>
    <w:rsid w:val="087047AB"/>
    <w:rsid w:val="08723A39"/>
    <w:rsid w:val="08C5694E"/>
    <w:rsid w:val="08C72445"/>
    <w:rsid w:val="094F0DEC"/>
    <w:rsid w:val="09816B93"/>
    <w:rsid w:val="0A2A6D75"/>
    <w:rsid w:val="0A3A5091"/>
    <w:rsid w:val="0A604293"/>
    <w:rsid w:val="0ACD27C4"/>
    <w:rsid w:val="0B3C3880"/>
    <w:rsid w:val="0B516130"/>
    <w:rsid w:val="0B8F0C83"/>
    <w:rsid w:val="0B8F4D09"/>
    <w:rsid w:val="0B9A60BE"/>
    <w:rsid w:val="0BB7740B"/>
    <w:rsid w:val="0BBF19D0"/>
    <w:rsid w:val="0BC64326"/>
    <w:rsid w:val="0C38155F"/>
    <w:rsid w:val="0C4C1239"/>
    <w:rsid w:val="0C51148B"/>
    <w:rsid w:val="0C582CA7"/>
    <w:rsid w:val="0C585AE0"/>
    <w:rsid w:val="0C8335A6"/>
    <w:rsid w:val="0C9E11AB"/>
    <w:rsid w:val="0CDC129B"/>
    <w:rsid w:val="0CEA76BB"/>
    <w:rsid w:val="0D015337"/>
    <w:rsid w:val="0D1B0970"/>
    <w:rsid w:val="0D2314A8"/>
    <w:rsid w:val="0D4D4E41"/>
    <w:rsid w:val="0E072BBD"/>
    <w:rsid w:val="0E3302DF"/>
    <w:rsid w:val="0EC10A58"/>
    <w:rsid w:val="0EE548F4"/>
    <w:rsid w:val="0EE83A12"/>
    <w:rsid w:val="0EED3784"/>
    <w:rsid w:val="0EF02A7C"/>
    <w:rsid w:val="0EF74F21"/>
    <w:rsid w:val="0F2564D5"/>
    <w:rsid w:val="0F422054"/>
    <w:rsid w:val="0F59003C"/>
    <w:rsid w:val="0FE279E5"/>
    <w:rsid w:val="0FFE3776"/>
    <w:rsid w:val="10507530"/>
    <w:rsid w:val="10526B88"/>
    <w:rsid w:val="10673170"/>
    <w:rsid w:val="109C0511"/>
    <w:rsid w:val="10D71D62"/>
    <w:rsid w:val="10E84635"/>
    <w:rsid w:val="11445ECE"/>
    <w:rsid w:val="117B68C4"/>
    <w:rsid w:val="117B70B1"/>
    <w:rsid w:val="11AB78C4"/>
    <w:rsid w:val="1206261B"/>
    <w:rsid w:val="12120E3E"/>
    <w:rsid w:val="123B2AB4"/>
    <w:rsid w:val="12406B43"/>
    <w:rsid w:val="125D0B88"/>
    <w:rsid w:val="12911EC2"/>
    <w:rsid w:val="12B733B1"/>
    <w:rsid w:val="12EE519C"/>
    <w:rsid w:val="13040181"/>
    <w:rsid w:val="136C06F7"/>
    <w:rsid w:val="137434D1"/>
    <w:rsid w:val="139C7DEB"/>
    <w:rsid w:val="13DE3ADB"/>
    <w:rsid w:val="13E037AA"/>
    <w:rsid w:val="140773D4"/>
    <w:rsid w:val="1481254D"/>
    <w:rsid w:val="14990060"/>
    <w:rsid w:val="14C05333"/>
    <w:rsid w:val="14D664F1"/>
    <w:rsid w:val="1519664E"/>
    <w:rsid w:val="154C1170"/>
    <w:rsid w:val="154F6172"/>
    <w:rsid w:val="15863737"/>
    <w:rsid w:val="15CB4C93"/>
    <w:rsid w:val="15D07A4C"/>
    <w:rsid w:val="15F4426C"/>
    <w:rsid w:val="161766E1"/>
    <w:rsid w:val="163559AE"/>
    <w:rsid w:val="166F4364"/>
    <w:rsid w:val="16CF4528"/>
    <w:rsid w:val="16EE16BD"/>
    <w:rsid w:val="1772678E"/>
    <w:rsid w:val="17A82E43"/>
    <w:rsid w:val="17B97972"/>
    <w:rsid w:val="17C90A93"/>
    <w:rsid w:val="18476DE8"/>
    <w:rsid w:val="187C3483"/>
    <w:rsid w:val="18920D2A"/>
    <w:rsid w:val="18A53142"/>
    <w:rsid w:val="18A9613F"/>
    <w:rsid w:val="18C1494C"/>
    <w:rsid w:val="18C257BE"/>
    <w:rsid w:val="18CC1356"/>
    <w:rsid w:val="18F03259"/>
    <w:rsid w:val="192A2B50"/>
    <w:rsid w:val="1976603E"/>
    <w:rsid w:val="198D5C6A"/>
    <w:rsid w:val="19A20364"/>
    <w:rsid w:val="19F36C56"/>
    <w:rsid w:val="1A632205"/>
    <w:rsid w:val="1AE5635D"/>
    <w:rsid w:val="1AE95EED"/>
    <w:rsid w:val="1AEB642B"/>
    <w:rsid w:val="1AF76594"/>
    <w:rsid w:val="1B15678A"/>
    <w:rsid w:val="1B5C1ED2"/>
    <w:rsid w:val="1B705864"/>
    <w:rsid w:val="1B76740A"/>
    <w:rsid w:val="1BB347FD"/>
    <w:rsid w:val="1C462289"/>
    <w:rsid w:val="1D1333BB"/>
    <w:rsid w:val="1D644A60"/>
    <w:rsid w:val="1DC22365"/>
    <w:rsid w:val="1DCC68C6"/>
    <w:rsid w:val="1DE32455"/>
    <w:rsid w:val="1E087371"/>
    <w:rsid w:val="1E1E13D2"/>
    <w:rsid w:val="1E36424F"/>
    <w:rsid w:val="1E441DAF"/>
    <w:rsid w:val="1E492244"/>
    <w:rsid w:val="1E9B7045"/>
    <w:rsid w:val="1ED55335"/>
    <w:rsid w:val="1EFC4180"/>
    <w:rsid w:val="1F34555F"/>
    <w:rsid w:val="1F352688"/>
    <w:rsid w:val="1F5D44E1"/>
    <w:rsid w:val="1F761FA5"/>
    <w:rsid w:val="1FA0341D"/>
    <w:rsid w:val="1FC83DCA"/>
    <w:rsid w:val="1FDF7C95"/>
    <w:rsid w:val="1FE1089A"/>
    <w:rsid w:val="1FFF4B58"/>
    <w:rsid w:val="20223BAF"/>
    <w:rsid w:val="204006D6"/>
    <w:rsid w:val="205D20B1"/>
    <w:rsid w:val="205E4C0B"/>
    <w:rsid w:val="2084497E"/>
    <w:rsid w:val="20EE1B09"/>
    <w:rsid w:val="20F658D4"/>
    <w:rsid w:val="21200929"/>
    <w:rsid w:val="21453259"/>
    <w:rsid w:val="21555CB6"/>
    <w:rsid w:val="21673637"/>
    <w:rsid w:val="217A2DF0"/>
    <w:rsid w:val="21A74FAD"/>
    <w:rsid w:val="21AC7538"/>
    <w:rsid w:val="220A3995"/>
    <w:rsid w:val="222949D3"/>
    <w:rsid w:val="226F0472"/>
    <w:rsid w:val="227B0BEC"/>
    <w:rsid w:val="22A55BC2"/>
    <w:rsid w:val="22C213FA"/>
    <w:rsid w:val="22D353DB"/>
    <w:rsid w:val="22FE720F"/>
    <w:rsid w:val="232134EC"/>
    <w:rsid w:val="23856B7E"/>
    <w:rsid w:val="23AC6E3E"/>
    <w:rsid w:val="240638CC"/>
    <w:rsid w:val="24272837"/>
    <w:rsid w:val="24667AED"/>
    <w:rsid w:val="246F568A"/>
    <w:rsid w:val="247008C8"/>
    <w:rsid w:val="2496622F"/>
    <w:rsid w:val="24B36F1E"/>
    <w:rsid w:val="25182E22"/>
    <w:rsid w:val="257E3F7B"/>
    <w:rsid w:val="25A92731"/>
    <w:rsid w:val="25C24BB1"/>
    <w:rsid w:val="25D83ABF"/>
    <w:rsid w:val="26005C2C"/>
    <w:rsid w:val="26046C91"/>
    <w:rsid w:val="26101B67"/>
    <w:rsid w:val="261D620E"/>
    <w:rsid w:val="26386677"/>
    <w:rsid w:val="26430FF2"/>
    <w:rsid w:val="2644117D"/>
    <w:rsid w:val="2682670F"/>
    <w:rsid w:val="26AB212D"/>
    <w:rsid w:val="26AD0FF6"/>
    <w:rsid w:val="26D96ED1"/>
    <w:rsid w:val="26EB74F8"/>
    <w:rsid w:val="270B29E3"/>
    <w:rsid w:val="27131D2C"/>
    <w:rsid w:val="27233098"/>
    <w:rsid w:val="276443B2"/>
    <w:rsid w:val="27D22549"/>
    <w:rsid w:val="27ED2FC1"/>
    <w:rsid w:val="283D5CCB"/>
    <w:rsid w:val="28513A55"/>
    <w:rsid w:val="285F7898"/>
    <w:rsid w:val="287F25EE"/>
    <w:rsid w:val="29247FA0"/>
    <w:rsid w:val="293D4E4D"/>
    <w:rsid w:val="29414AF1"/>
    <w:rsid w:val="295F5795"/>
    <w:rsid w:val="29BE432C"/>
    <w:rsid w:val="2A0D1E1C"/>
    <w:rsid w:val="2A1B5EDA"/>
    <w:rsid w:val="2A3A4E74"/>
    <w:rsid w:val="2A6C39B0"/>
    <w:rsid w:val="2A712FD9"/>
    <w:rsid w:val="2A786344"/>
    <w:rsid w:val="2A8E4660"/>
    <w:rsid w:val="2A9412C7"/>
    <w:rsid w:val="2AB078A1"/>
    <w:rsid w:val="2ABD3338"/>
    <w:rsid w:val="2AD47103"/>
    <w:rsid w:val="2AE45E50"/>
    <w:rsid w:val="2AE71C56"/>
    <w:rsid w:val="2AEA5D04"/>
    <w:rsid w:val="2AF118D4"/>
    <w:rsid w:val="2AFA645B"/>
    <w:rsid w:val="2B066DD0"/>
    <w:rsid w:val="2B2879DB"/>
    <w:rsid w:val="2B657DCB"/>
    <w:rsid w:val="2BD1451D"/>
    <w:rsid w:val="2BD24EDE"/>
    <w:rsid w:val="2C4C5DDB"/>
    <w:rsid w:val="2C626008"/>
    <w:rsid w:val="2C74330E"/>
    <w:rsid w:val="2C814BD3"/>
    <w:rsid w:val="2D61279D"/>
    <w:rsid w:val="2D8C04FB"/>
    <w:rsid w:val="2DA362A2"/>
    <w:rsid w:val="2DB72400"/>
    <w:rsid w:val="2E0B6F79"/>
    <w:rsid w:val="2E324440"/>
    <w:rsid w:val="2E5F3E7C"/>
    <w:rsid w:val="2E6C2BCC"/>
    <w:rsid w:val="2E965FC6"/>
    <w:rsid w:val="2EA67AE7"/>
    <w:rsid w:val="2EC038E8"/>
    <w:rsid w:val="2ED103AE"/>
    <w:rsid w:val="2EDC41E2"/>
    <w:rsid w:val="2EED2E58"/>
    <w:rsid w:val="2F144ABB"/>
    <w:rsid w:val="2F167FC8"/>
    <w:rsid w:val="2F1A3122"/>
    <w:rsid w:val="2F25596F"/>
    <w:rsid w:val="2F2C32EB"/>
    <w:rsid w:val="2F7154D0"/>
    <w:rsid w:val="2FA24FDA"/>
    <w:rsid w:val="2FE9341E"/>
    <w:rsid w:val="305D0A75"/>
    <w:rsid w:val="30700030"/>
    <w:rsid w:val="30A077C0"/>
    <w:rsid w:val="30B9611F"/>
    <w:rsid w:val="30DB4AA3"/>
    <w:rsid w:val="31C669A9"/>
    <w:rsid w:val="322B53CB"/>
    <w:rsid w:val="32756DA4"/>
    <w:rsid w:val="331154C4"/>
    <w:rsid w:val="334852FE"/>
    <w:rsid w:val="33503AE8"/>
    <w:rsid w:val="337A6C9E"/>
    <w:rsid w:val="33EA7206"/>
    <w:rsid w:val="33F3357E"/>
    <w:rsid w:val="34047FDE"/>
    <w:rsid w:val="3420500C"/>
    <w:rsid w:val="3442030B"/>
    <w:rsid w:val="34551F59"/>
    <w:rsid w:val="346D754E"/>
    <w:rsid w:val="3473171C"/>
    <w:rsid w:val="34F307B5"/>
    <w:rsid w:val="35427312"/>
    <w:rsid w:val="35481CF7"/>
    <w:rsid w:val="35734B69"/>
    <w:rsid w:val="35855B1C"/>
    <w:rsid w:val="35D633A1"/>
    <w:rsid w:val="36175B5D"/>
    <w:rsid w:val="361A4657"/>
    <w:rsid w:val="363D64A4"/>
    <w:rsid w:val="364B25E2"/>
    <w:rsid w:val="3663284A"/>
    <w:rsid w:val="36BD6B67"/>
    <w:rsid w:val="36D94EDA"/>
    <w:rsid w:val="36F54C70"/>
    <w:rsid w:val="374164F8"/>
    <w:rsid w:val="374A3FEB"/>
    <w:rsid w:val="37AB05CF"/>
    <w:rsid w:val="37C140EC"/>
    <w:rsid w:val="37D76FA4"/>
    <w:rsid w:val="380D1260"/>
    <w:rsid w:val="38316DFC"/>
    <w:rsid w:val="386E48C1"/>
    <w:rsid w:val="38A870A0"/>
    <w:rsid w:val="38B04595"/>
    <w:rsid w:val="38B467AE"/>
    <w:rsid w:val="38C74C10"/>
    <w:rsid w:val="38DC1EEF"/>
    <w:rsid w:val="38EE2187"/>
    <w:rsid w:val="38FC7ADF"/>
    <w:rsid w:val="3927429A"/>
    <w:rsid w:val="3945186D"/>
    <w:rsid w:val="396257E7"/>
    <w:rsid w:val="39643889"/>
    <w:rsid w:val="39F5320A"/>
    <w:rsid w:val="3A00434A"/>
    <w:rsid w:val="3A136B75"/>
    <w:rsid w:val="3A4076EA"/>
    <w:rsid w:val="3A504155"/>
    <w:rsid w:val="3A5D3C39"/>
    <w:rsid w:val="3B163319"/>
    <w:rsid w:val="3B4B22B9"/>
    <w:rsid w:val="3B6F7BC5"/>
    <w:rsid w:val="3B7830BA"/>
    <w:rsid w:val="3BE32154"/>
    <w:rsid w:val="3C66565B"/>
    <w:rsid w:val="3C7C37C3"/>
    <w:rsid w:val="3CEC62CC"/>
    <w:rsid w:val="3CFA7FDB"/>
    <w:rsid w:val="3D371B5F"/>
    <w:rsid w:val="3D4162D8"/>
    <w:rsid w:val="3D7D78FE"/>
    <w:rsid w:val="3D8A088B"/>
    <w:rsid w:val="3D8A66B8"/>
    <w:rsid w:val="3D911C13"/>
    <w:rsid w:val="3D961FCC"/>
    <w:rsid w:val="3DA1415F"/>
    <w:rsid w:val="3DA256A9"/>
    <w:rsid w:val="3DAD3B8B"/>
    <w:rsid w:val="3DE11E84"/>
    <w:rsid w:val="3E22297A"/>
    <w:rsid w:val="3EA943F8"/>
    <w:rsid w:val="3ED2642D"/>
    <w:rsid w:val="3EFF1F78"/>
    <w:rsid w:val="3F0315E5"/>
    <w:rsid w:val="3F1C4C8A"/>
    <w:rsid w:val="3F37769A"/>
    <w:rsid w:val="3F7E3672"/>
    <w:rsid w:val="3FCE0156"/>
    <w:rsid w:val="3FE23D36"/>
    <w:rsid w:val="3FF35973"/>
    <w:rsid w:val="40333B9D"/>
    <w:rsid w:val="408451CF"/>
    <w:rsid w:val="40907DAF"/>
    <w:rsid w:val="40A55AB1"/>
    <w:rsid w:val="411938EB"/>
    <w:rsid w:val="414D2D42"/>
    <w:rsid w:val="41626F3D"/>
    <w:rsid w:val="41927A99"/>
    <w:rsid w:val="41A26A5D"/>
    <w:rsid w:val="41B3371C"/>
    <w:rsid w:val="422D23AE"/>
    <w:rsid w:val="42853084"/>
    <w:rsid w:val="428829F9"/>
    <w:rsid w:val="42C00810"/>
    <w:rsid w:val="43135FB0"/>
    <w:rsid w:val="43562F5A"/>
    <w:rsid w:val="43565A92"/>
    <w:rsid w:val="43850E0C"/>
    <w:rsid w:val="439169E2"/>
    <w:rsid w:val="43C529C2"/>
    <w:rsid w:val="43E72596"/>
    <w:rsid w:val="441528E4"/>
    <w:rsid w:val="44574BA1"/>
    <w:rsid w:val="44842EBE"/>
    <w:rsid w:val="44A0385D"/>
    <w:rsid w:val="44FD027B"/>
    <w:rsid w:val="44FF30F5"/>
    <w:rsid w:val="45294F5A"/>
    <w:rsid w:val="453E122A"/>
    <w:rsid w:val="45AA4758"/>
    <w:rsid w:val="46540B9B"/>
    <w:rsid w:val="46D1677D"/>
    <w:rsid w:val="47090BC4"/>
    <w:rsid w:val="47AE2126"/>
    <w:rsid w:val="47D2247E"/>
    <w:rsid w:val="47E17EE6"/>
    <w:rsid w:val="47F44CA4"/>
    <w:rsid w:val="4825144D"/>
    <w:rsid w:val="483648E5"/>
    <w:rsid w:val="48430CF9"/>
    <w:rsid w:val="48601A3A"/>
    <w:rsid w:val="48DB1AC1"/>
    <w:rsid w:val="49154229"/>
    <w:rsid w:val="49584E03"/>
    <w:rsid w:val="497453AC"/>
    <w:rsid w:val="4985085C"/>
    <w:rsid w:val="49967099"/>
    <w:rsid w:val="499C1B53"/>
    <w:rsid w:val="49DA583F"/>
    <w:rsid w:val="4A570604"/>
    <w:rsid w:val="4A5E657A"/>
    <w:rsid w:val="4A7167E7"/>
    <w:rsid w:val="4A8161D7"/>
    <w:rsid w:val="4ACC0332"/>
    <w:rsid w:val="4AE4695B"/>
    <w:rsid w:val="4AF33166"/>
    <w:rsid w:val="4AF57A24"/>
    <w:rsid w:val="4B0B2936"/>
    <w:rsid w:val="4B526FCF"/>
    <w:rsid w:val="4B590E0B"/>
    <w:rsid w:val="4B9C3B90"/>
    <w:rsid w:val="4C204D83"/>
    <w:rsid w:val="4C6B29B7"/>
    <w:rsid w:val="4CB22D01"/>
    <w:rsid w:val="4CE3714B"/>
    <w:rsid w:val="4D647D99"/>
    <w:rsid w:val="4DDA704C"/>
    <w:rsid w:val="4DFB78FD"/>
    <w:rsid w:val="4DFD772E"/>
    <w:rsid w:val="4E121DDB"/>
    <w:rsid w:val="4E152757"/>
    <w:rsid w:val="4E22266D"/>
    <w:rsid w:val="4E5051CD"/>
    <w:rsid w:val="4EB25399"/>
    <w:rsid w:val="4F345E03"/>
    <w:rsid w:val="4F775996"/>
    <w:rsid w:val="4FC217ED"/>
    <w:rsid w:val="504E1544"/>
    <w:rsid w:val="50906ECF"/>
    <w:rsid w:val="509B583B"/>
    <w:rsid w:val="51240A1B"/>
    <w:rsid w:val="515B5624"/>
    <w:rsid w:val="51E1140F"/>
    <w:rsid w:val="52200672"/>
    <w:rsid w:val="52AE2AEC"/>
    <w:rsid w:val="52FE42BA"/>
    <w:rsid w:val="52FE48B5"/>
    <w:rsid w:val="530573CB"/>
    <w:rsid w:val="530F56A1"/>
    <w:rsid w:val="5381706C"/>
    <w:rsid w:val="53B963A2"/>
    <w:rsid w:val="53DD31E6"/>
    <w:rsid w:val="542E56B4"/>
    <w:rsid w:val="54430650"/>
    <w:rsid w:val="547D29FB"/>
    <w:rsid w:val="5493595C"/>
    <w:rsid w:val="54E544A2"/>
    <w:rsid w:val="550D7A71"/>
    <w:rsid w:val="55410150"/>
    <w:rsid w:val="55482DFE"/>
    <w:rsid w:val="55A30737"/>
    <w:rsid w:val="55BE3D79"/>
    <w:rsid w:val="55C563AB"/>
    <w:rsid w:val="56AF7228"/>
    <w:rsid w:val="56C01423"/>
    <w:rsid w:val="57030BD5"/>
    <w:rsid w:val="571E77BD"/>
    <w:rsid w:val="57372C85"/>
    <w:rsid w:val="573C45FE"/>
    <w:rsid w:val="578F1A69"/>
    <w:rsid w:val="58016319"/>
    <w:rsid w:val="58880587"/>
    <w:rsid w:val="58903848"/>
    <w:rsid w:val="58A25EA0"/>
    <w:rsid w:val="594A54C2"/>
    <w:rsid w:val="59B2248B"/>
    <w:rsid w:val="59C02B07"/>
    <w:rsid w:val="59C73620"/>
    <w:rsid w:val="59CC08C0"/>
    <w:rsid w:val="59DA4899"/>
    <w:rsid w:val="59E80432"/>
    <w:rsid w:val="5A581BDB"/>
    <w:rsid w:val="5AA635A1"/>
    <w:rsid w:val="5B157CE4"/>
    <w:rsid w:val="5B170575"/>
    <w:rsid w:val="5B1D5DEF"/>
    <w:rsid w:val="5B470B6C"/>
    <w:rsid w:val="5BB10BDE"/>
    <w:rsid w:val="5BB94641"/>
    <w:rsid w:val="5BBB5301"/>
    <w:rsid w:val="5C1E18BA"/>
    <w:rsid w:val="5C313755"/>
    <w:rsid w:val="5C521D11"/>
    <w:rsid w:val="5C636A95"/>
    <w:rsid w:val="5C69569F"/>
    <w:rsid w:val="5C8F0748"/>
    <w:rsid w:val="5CA703AB"/>
    <w:rsid w:val="5CEB1DC7"/>
    <w:rsid w:val="5D204952"/>
    <w:rsid w:val="5D297A71"/>
    <w:rsid w:val="5D5C7BD3"/>
    <w:rsid w:val="5D6D5ADB"/>
    <w:rsid w:val="5DFD37BA"/>
    <w:rsid w:val="5E766D9E"/>
    <w:rsid w:val="5E78061D"/>
    <w:rsid w:val="5E92028C"/>
    <w:rsid w:val="5EA754BC"/>
    <w:rsid w:val="5EE967F8"/>
    <w:rsid w:val="5F432C35"/>
    <w:rsid w:val="5F6A672F"/>
    <w:rsid w:val="5F6C5905"/>
    <w:rsid w:val="5F72597C"/>
    <w:rsid w:val="5FA94329"/>
    <w:rsid w:val="5FB37D70"/>
    <w:rsid w:val="5FBA1E87"/>
    <w:rsid w:val="5FC77F9B"/>
    <w:rsid w:val="5FDE3C53"/>
    <w:rsid w:val="60173E04"/>
    <w:rsid w:val="601D1243"/>
    <w:rsid w:val="603C7A04"/>
    <w:rsid w:val="609836C3"/>
    <w:rsid w:val="60CA2D54"/>
    <w:rsid w:val="60CF33AD"/>
    <w:rsid w:val="60DB2EBC"/>
    <w:rsid w:val="60E031FA"/>
    <w:rsid w:val="6153595D"/>
    <w:rsid w:val="616A6CAF"/>
    <w:rsid w:val="617311F1"/>
    <w:rsid w:val="61DC4688"/>
    <w:rsid w:val="62110BE3"/>
    <w:rsid w:val="623B2D96"/>
    <w:rsid w:val="6257061B"/>
    <w:rsid w:val="62A87EBD"/>
    <w:rsid w:val="62B25C35"/>
    <w:rsid w:val="62D21187"/>
    <w:rsid w:val="62DA67D8"/>
    <w:rsid w:val="62F3538F"/>
    <w:rsid w:val="630936FD"/>
    <w:rsid w:val="636408B2"/>
    <w:rsid w:val="63CD6ABB"/>
    <w:rsid w:val="63D54018"/>
    <w:rsid w:val="63E911FD"/>
    <w:rsid w:val="63FAC6B5"/>
    <w:rsid w:val="641E55C9"/>
    <w:rsid w:val="645F2BB8"/>
    <w:rsid w:val="648A0F80"/>
    <w:rsid w:val="64AF5C01"/>
    <w:rsid w:val="653F1317"/>
    <w:rsid w:val="653F1D50"/>
    <w:rsid w:val="655A01D2"/>
    <w:rsid w:val="65772D40"/>
    <w:rsid w:val="657A2594"/>
    <w:rsid w:val="658C37E6"/>
    <w:rsid w:val="65D808E1"/>
    <w:rsid w:val="65F9750D"/>
    <w:rsid w:val="66375025"/>
    <w:rsid w:val="6651540D"/>
    <w:rsid w:val="66570524"/>
    <w:rsid w:val="66CE396F"/>
    <w:rsid w:val="66D6767B"/>
    <w:rsid w:val="66E84A6E"/>
    <w:rsid w:val="670C2BE3"/>
    <w:rsid w:val="67204694"/>
    <w:rsid w:val="67212189"/>
    <w:rsid w:val="67342D50"/>
    <w:rsid w:val="673863B3"/>
    <w:rsid w:val="675272C8"/>
    <w:rsid w:val="676273A9"/>
    <w:rsid w:val="67752A3F"/>
    <w:rsid w:val="67803C0A"/>
    <w:rsid w:val="67A44D49"/>
    <w:rsid w:val="67A854AD"/>
    <w:rsid w:val="67C35F6C"/>
    <w:rsid w:val="67CC657E"/>
    <w:rsid w:val="67DC006C"/>
    <w:rsid w:val="681307DD"/>
    <w:rsid w:val="6833453E"/>
    <w:rsid w:val="68984BF8"/>
    <w:rsid w:val="689A18B1"/>
    <w:rsid w:val="69216C99"/>
    <w:rsid w:val="69645A77"/>
    <w:rsid w:val="69CF3081"/>
    <w:rsid w:val="69D63E79"/>
    <w:rsid w:val="69E76C1D"/>
    <w:rsid w:val="6A296488"/>
    <w:rsid w:val="6AA551AF"/>
    <w:rsid w:val="6AD90AC7"/>
    <w:rsid w:val="6B194DD0"/>
    <w:rsid w:val="6BF241F3"/>
    <w:rsid w:val="6C0452F9"/>
    <w:rsid w:val="6C292C93"/>
    <w:rsid w:val="6C606345"/>
    <w:rsid w:val="6C8E3A6E"/>
    <w:rsid w:val="6CA147EE"/>
    <w:rsid w:val="6CAF6FE6"/>
    <w:rsid w:val="6CEA278C"/>
    <w:rsid w:val="6D0D4104"/>
    <w:rsid w:val="6D313519"/>
    <w:rsid w:val="6D5512D4"/>
    <w:rsid w:val="6D9D3FB1"/>
    <w:rsid w:val="6DB406D9"/>
    <w:rsid w:val="6DB77AF6"/>
    <w:rsid w:val="6DDC3F06"/>
    <w:rsid w:val="6DE766D9"/>
    <w:rsid w:val="6DFC1F39"/>
    <w:rsid w:val="6E003CA6"/>
    <w:rsid w:val="6E2037E1"/>
    <w:rsid w:val="6E2A3F7D"/>
    <w:rsid w:val="6E623461"/>
    <w:rsid w:val="6E752232"/>
    <w:rsid w:val="6EC2567E"/>
    <w:rsid w:val="6ED703EE"/>
    <w:rsid w:val="6EE16435"/>
    <w:rsid w:val="6F8E01CC"/>
    <w:rsid w:val="6F955D65"/>
    <w:rsid w:val="6FA46438"/>
    <w:rsid w:val="6FB070DB"/>
    <w:rsid w:val="6FB55F72"/>
    <w:rsid w:val="6FCF0B89"/>
    <w:rsid w:val="701E5987"/>
    <w:rsid w:val="705160B5"/>
    <w:rsid w:val="70624F76"/>
    <w:rsid w:val="707225BB"/>
    <w:rsid w:val="70764DC8"/>
    <w:rsid w:val="70867CF3"/>
    <w:rsid w:val="709860F7"/>
    <w:rsid w:val="70F04904"/>
    <w:rsid w:val="71461749"/>
    <w:rsid w:val="7147728C"/>
    <w:rsid w:val="715F298C"/>
    <w:rsid w:val="71731BB8"/>
    <w:rsid w:val="71BC573C"/>
    <w:rsid w:val="71CE510C"/>
    <w:rsid w:val="71D11D91"/>
    <w:rsid w:val="71DA1818"/>
    <w:rsid w:val="71E73362"/>
    <w:rsid w:val="71FE7719"/>
    <w:rsid w:val="72251C8E"/>
    <w:rsid w:val="722A4A5D"/>
    <w:rsid w:val="724F0060"/>
    <w:rsid w:val="727C3516"/>
    <w:rsid w:val="72906C06"/>
    <w:rsid w:val="72D2167B"/>
    <w:rsid w:val="735053C7"/>
    <w:rsid w:val="7357322B"/>
    <w:rsid w:val="737A0109"/>
    <w:rsid w:val="73AD0A96"/>
    <w:rsid w:val="73BE195F"/>
    <w:rsid w:val="73BE5072"/>
    <w:rsid w:val="73D22699"/>
    <w:rsid w:val="74462EBD"/>
    <w:rsid w:val="74510FAD"/>
    <w:rsid w:val="74561E57"/>
    <w:rsid w:val="74EA4FD7"/>
    <w:rsid w:val="74F04435"/>
    <w:rsid w:val="7520433C"/>
    <w:rsid w:val="75616D9B"/>
    <w:rsid w:val="75962919"/>
    <w:rsid w:val="75E703A7"/>
    <w:rsid w:val="75FD4938"/>
    <w:rsid w:val="76716D3E"/>
    <w:rsid w:val="768C7C36"/>
    <w:rsid w:val="76B24BB7"/>
    <w:rsid w:val="76BD44A5"/>
    <w:rsid w:val="76F62CE6"/>
    <w:rsid w:val="76FC7F83"/>
    <w:rsid w:val="770C6887"/>
    <w:rsid w:val="771A3AE8"/>
    <w:rsid w:val="778E4B25"/>
    <w:rsid w:val="779B55C7"/>
    <w:rsid w:val="77A40618"/>
    <w:rsid w:val="77AA287C"/>
    <w:rsid w:val="77F51811"/>
    <w:rsid w:val="77FE1F03"/>
    <w:rsid w:val="780F5ADA"/>
    <w:rsid w:val="78307D8B"/>
    <w:rsid w:val="78543B84"/>
    <w:rsid w:val="7893617E"/>
    <w:rsid w:val="78A85D20"/>
    <w:rsid w:val="792C3FFD"/>
    <w:rsid w:val="793564C3"/>
    <w:rsid w:val="79D841BA"/>
    <w:rsid w:val="79E709F9"/>
    <w:rsid w:val="79EA6764"/>
    <w:rsid w:val="7A281362"/>
    <w:rsid w:val="7A5207A2"/>
    <w:rsid w:val="7A8A1CBA"/>
    <w:rsid w:val="7A903CCF"/>
    <w:rsid w:val="7AB4204A"/>
    <w:rsid w:val="7ACB029B"/>
    <w:rsid w:val="7AE670A9"/>
    <w:rsid w:val="7B0662F9"/>
    <w:rsid w:val="7B1A5CF9"/>
    <w:rsid w:val="7B486579"/>
    <w:rsid w:val="7B7B56F7"/>
    <w:rsid w:val="7B873CE7"/>
    <w:rsid w:val="7B8E2110"/>
    <w:rsid w:val="7BD3612F"/>
    <w:rsid w:val="7BFF61BF"/>
    <w:rsid w:val="7C0615B4"/>
    <w:rsid w:val="7C497B67"/>
    <w:rsid w:val="7C7860F3"/>
    <w:rsid w:val="7CDD1B67"/>
    <w:rsid w:val="7D1F4A1B"/>
    <w:rsid w:val="7D5867CA"/>
    <w:rsid w:val="7D5947FB"/>
    <w:rsid w:val="7D5D23BA"/>
    <w:rsid w:val="7D7F2496"/>
    <w:rsid w:val="7DD66A35"/>
    <w:rsid w:val="7DF05793"/>
    <w:rsid w:val="7E007488"/>
    <w:rsid w:val="7E0927D4"/>
    <w:rsid w:val="7E332594"/>
    <w:rsid w:val="7E8F2EB5"/>
    <w:rsid w:val="7EDF6D84"/>
    <w:rsid w:val="7EDF7BDC"/>
    <w:rsid w:val="7EE11294"/>
    <w:rsid w:val="7F6707B2"/>
    <w:rsid w:val="7F671BCC"/>
    <w:rsid w:val="7F803749"/>
    <w:rsid w:val="7FA5141B"/>
    <w:rsid w:val="7FAF7AD5"/>
    <w:rsid w:val="FEAB3F0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6"/>
    <w:qFormat/>
    <w:uiPriority w:val="0"/>
    <w:pPr>
      <w:keepNext/>
      <w:keepLines/>
      <w:spacing w:before="260" w:after="260" w:line="416" w:lineRule="auto"/>
      <w:outlineLvl w:val="1"/>
    </w:pPr>
    <w:rPr>
      <w:rFonts w:ascii="Arial" w:hAnsi="Arial" w:eastAsia="黑体" w:cs="Times New Roman"/>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3"/>
    <w:semiHidden/>
    <w:unhideWhenUsed/>
    <w:qFormat/>
    <w:uiPriority w:val="99"/>
    <w:pPr>
      <w:jc w:val="left"/>
    </w:pPr>
  </w:style>
  <w:style w:type="paragraph" w:styleId="5">
    <w:name w:val="Body Text"/>
    <w:basedOn w:val="1"/>
    <w:link w:val="21"/>
    <w:qFormat/>
    <w:uiPriority w:val="0"/>
    <w:rPr>
      <w:rFonts w:ascii="Times New Roman" w:hAnsi="Times New Roman" w:eastAsia="宋体" w:cs="Times New Roman"/>
      <w:szCs w:val="24"/>
      <w:u w:val="single"/>
    </w:rPr>
  </w:style>
  <w:style w:type="paragraph" w:styleId="6">
    <w:name w:val="Balloon Text"/>
    <w:basedOn w:val="1"/>
    <w:link w:val="17"/>
    <w:semiHidden/>
    <w:unhideWhenUsed/>
    <w:qFormat/>
    <w:uiPriority w:val="99"/>
    <w:rPr>
      <w:sz w:val="18"/>
      <w:szCs w:val="18"/>
    </w:r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qFormat/>
    <w:uiPriority w:val="99"/>
    <w:pPr>
      <w:spacing w:beforeAutospacing="1" w:afterAutospacing="1"/>
      <w:jc w:val="left"/>
    </w:pPr>
    <w:rPr>
      <w:rFonts w:cs="Times New Roman"/>
      <w:kern w:val="0"/>
      <w:sz w:val="24"/>
    </w:rPr>
  </w:style>
  <w:style w:type="paragraph" w:styleId="10">
    <w:name w:val="annotation subject"/>
    <w:basedOn w:val="4"/>
    <w:next w:val="4"/>
    <w:link w:val="24"/>
    <w:semiHidden/>
    <w:unhideWhenUsed/>
    <w:qFormat/>
    <w:uiPriority w:val="99"/>
    <w:rPr>
      <w:b/>
      <w:bCs/>
    </w:rPr>
  </w:style>
  <w:style w:type="table" w:styleId="12">
    <w:name w:val="Table Grid"/>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Strong"/>
    <w:basedOn w:val="13"/>
    <w:qFormat/>
    <w:uiPriority w:val="22"/>
    <w:rPr>
      <w:b/>
    </w:rPr>
  </w:style>
  <w:style w:type="character" w:styleId="15">
    <w:name w:val="annotation reference"/>
    <w:basedOn w:val="13"/>
    <w:semiHidden/>
    <w:unhideWhenUsed/>
    <w:qFormat/>
    <w:uiPriority w:val="99"/>
    <w:rPr>
      <w:sz w:val="21"/>
      <w:szCs w:val="21"/>
    </w:rPr>
  </w:style>
  <w:style w:type="paragraph" w:customStyle="1" w:styleId="16">
    <w:name w:val="Char Char Char Char Char"/>
    <w:basedOn w:val="1"/>
    <w:qFormat/>
    <w:uiPriority w:val="0"/>
    <w:pPr>
      <w:widowControl/>
      <w:spacing w:after="160" w:line="240" w:lineRule="exact"/>
    </w:pPr>
    <w:rPr>
      <w:rFonts w:ascii="Times New Roman" w:hAnsi="Times New Roman" w:eastAsia="宋体" w:cs="Arial"/>
      <w:kern w:val="0"/>
      <w:sz w:val="22"/>
      <w:szCs w:val="20"/>
      <w:lang w:eastAsia="en-US"/>
    </w:rPr>
  </w:style>
  <w:style w:type="character" w:customStyle="1" w:styleId="17">
    <w:name w:val="批注框文本 Char"/>
    <w:basedOn w:val="13"/>
    <w:link w:val="6"/>
    <w:semiHidden/>
    <w:qFormat/>
    <w:uiPriority w:val="99"/>
    <w:rPr>
      <w:sz w:val="18"/>
      <w:szCs w:val="18"/>
    </w:rPr>
  </w:style>
  <w:style w:type="character" w:customStyle="1" w:styleId="18">
    <w:name w:val="页眉 Char"/>
    <w:basedOn w:val="13"/>
    <w:link w:val="8"/>
    <w:qFormat/>
    <w:uiPriority w:val="99"/>
    <w:rPr>
      <w:sz w:val="18"/>
      <w:szCs w:val="18"/>
    </w:rPr>
  </w:style>
  <w:style w:type="character" w:customStyle="1" w:styleId="19">
    <w:name w:val="页脚 Char"/>
    <w:basedOn w:val="13"/>
    <w:link w:val="7"/>
    <w:qFormat/>
    <w:uiPriority w:val="99"/>
    <w:rPr>
      <w:sz w:val="18"/>
      <w:szCs w:val="18"/>
    </w:rPr>
  </w:style>
  <w:style w:type="paragraph" w:customStyle="1" w:styleId="20">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1">
    <w:name w:val="正文文本 Char"/>
    <w:basedOn w:val="13"/>
    <w:link w:val="5"/>
    <w:qFormat/>
    <w:uiPriority w:val="0"/>
    <w:rPr>
      <w:rFonts w:ascii="Times New Roman" w:hAnsi="Times New Roman" w:eastAsia="宋体" w:cs="Times New Roman"/>
      <w:szCs w:val="24"/>
      <w:u w:val="single"/>
    </w:rPr>
  </w:style>
  <w:style w:type="paragraph" w:styleId="22">
    <w:name w:val="List Paragraph"/>
    <w:basedOn w:val="1"/>
    <w:qFormat/>
    <w:uiPriority w:val="34"/>
    <w:pPr>
      <w:ind w:firstLine="420" w:firstLineChars="200"/>
    </w:pPr>
  </w:style>
  <w:style w:type="character" w:customStyle="1" w:styleId="23">
    <w:name w:val="批注文字 Char"/>
    <w:basedOn w:val="13"/>
    <w:link w:val="4"/>
    <w:semiHidden/>
    <w:qFormat/>
    <w:uiPriority w:val="99"/>
  </w:style>
  <w:style w:type="character" w:customStyle="1" w:styleId="24">
    <w:name w:val="批注主题 Char"/>
    <w:basedOn w:val="23"/>
    <w:link w:val="10"/>
    <w:semiHidden/>
    <w:qFormat/>
    <w:uiPriority w:val="99"/>
    <w:rPr>
      <w:b/>
      <w:bCs/>
    </w:rPr>
  </w:style>
  <w:style w:type="paragraph" w:customStyle="1" w:styleId="25">
    <w:name w:val="Default"/>
    <w:basedOn w:val="1"/>
    <w:qFormat/>
    <w:uiPriority w:val="0"/>
    <w:pPr>
      <w:widowControl/>
      <w:autoSpaceDE w:val="0"/>
      <w:autoSpaceDN w:val="0"/>
      <w:jc w:val="left"/>
    </w:pPr>
    <w:rPr>
      <w:rFonts w:ascii="楷体" w:hAnsi="楷体" w:eastAsia="宋体" w:cs="宋体"/>
      <w:color w:val="000000"/>
      <w:kern w:val="0"/>
      <w:sz w:val="24"/>
      <w:szCs w:val="24"/>
    </w:rPr>
  </w:style>
  <w:style w:type="character" w:customStyle="1" w:styleId="26">
    <w:name w:val="标题 2 Char"/>
    <w:basedOn w:val="13"/>
    <w:link w:val="3"/>
    <w:qFormat/>
    <w:uiPriority w:val="0"/>
    <w:rPr>
      <w:rFonts w:ascii="Arial" w:hAnsi="Arial" w:eastAsia="黑体" w:cs="Times New Roman"/>
      <w:b/>
      <w:bCs/>
      <w:sz w:val="32"/>
      <w:szCs w:val="32"/>
    </w:rPr>
  </w:style>
  <w:style w:type="paragraph" w:customStyle="1" w:styleId="27">
    <w:name w:val="列出段落1"/>
    <w:basedOn w:val="1"/>
    <w:qFormat/>
    <w:uiPriority w:val="0"/>
    <w:pPr>
      <w:ind w:firstLine="420" w:firstLineChars="200"/>
    </w:pPr>
    <w:rPr>
      <w:rFonts w:ascii="Times New Roman" w:hAnsi="Times New Roman" w:eastAsia="宋体" w:cs="Times New Roman"/>
      <w:szCs w:val="24"/>
    </w:rPr>
  </w:style>
  <w:style w:type="paragraph" w:customStyle="1" w:styleId="28">
    <w:name w:val="一、二、三"/>
    <w:basedOn w:val="1"/>
    <w:next w:val="1"/>
    <w:link w:val="39"/>
    <w:qFormat/>
    <w:uiPriority w:val="0"/>
    <w:pPr>
      <w:widowControl/>
      <w:numPr>
        <w:ilvl w:val="0"/>
        <w:numId w:val="1"/>
      </w:numPr>
      <w:adjustRightInd w:val="0"/>
      <w:snapToGrid w:val="0"/>
      <w:spacing w:line="360" w:lineRule="auto"/>
      <w:ind w:left="0" w:firstLine="200" w:firstLineChars="200"/>
      <w:jc w:val="left"/>
    </w:pPr>
    <w:rPr>
      <w:rFonts w:ascii="宋体" w:hAnsi="宋体" w:eastAsia="宋体" w:cs="宋体"/>
      <w:color w:val="000000"/>
      <w:sz w:val="22"/>
    </w:rPr>
  </w:style>
  <w:style w:type="table" w:customStyle="1" w:styleId="29">
    <w:name w:val="网格型1"/>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customStyle="1" w:styleId="30">
    <w:name w:val="TableGrid"/>
    <w:qFormat/>
    <w:uiPriority w:val="0"/>
    <w:rPr>
      <w:kern w:val="2"/>
      <w:sz w:val="21"/>
      <w:szCs w:val="22"/>
    </w:rPr>
    <w:tblPr>
      <w:tblCellMar>
        <w:top w:w="0" w:type="dxa"/>
        <w:left w:w="0" w:type="dxa"/>
        <w:bottom w:w="0" w:type="dxa"/>
        <w:right w:w="0" w:type="dxa"/>
      </w:tblCellMar>
    </w:tblPr>
  </w:style>
  <w:style w:type="paragraph" w:customStyle="1" w:styleId="31">
    <w:name w:val="第一条"/>
    <w:basedOn w:val="1"/>
    <w:link w:val="32"/>
    <w:qFormat/>
    <w:uiPriority w:val="0"/>
    <w:pPr>
      <w:widowControl/>
      <w:numPr>
        <w:ilvl w:val="0"/>
        <w:numId w:val="2"/>
      </w:numPr>
      <w:adjustRightInd w:val="0"/>
      <w:snapToGrid w:val="0"/>
      <w:spacing w:line="360" w:lineRule="auto"/>
      <w:ind w:left="0" w:firstLine="0"/>
      <w:jc w:val="left"/>
    </w:pPr>
    <w:rPr>
      <w:rFonts w:ascii="宋体" w:hAnsi="宋体" w:eastAsia="黑体" w:cs="宋体"/>
      <w:b/>
      <w:bCs/>
      <w:color w:val="000000"/>
    </w:rPr>
  </w:style>
  <w:style w:type="character" w:customStyle="1" w:styleId="32">
    <w:name w:val="第一条 字符"/>
    <w:basedOn w:val="13"/>
    <w:link w:val="31"/>
    <w:qFormat/>
    <w:uiPriority w:val="0"/>
    <w:rPr>
      <w:rFonts w:ascii="宋体" w:hAnsi="宋体" w:eastAsia="黑体" w:cs="宋体"/>
      <w:b/>
      <w:bCs/>
      <w:color w:val="000000"/>
      <w:kern w:val="2"/>
      <w:sz w:val="21"/>
      <w:szCs w:val="22"/>
    </w:rPr>
  </w:style>
  <w:style w:type="paragraph" w:customStyle="1" w:styleId="33">
    <w:name w:val="1、2、3"/>
    <w:next w:val="34"/>
    <w:link w:val="36"/>
    <w:qFormat/>
    <w:uiPriority w:val="0"/>
    <w:pPr>
      <w:numPr>
        <w:ilvl w:val="0"/>
        <w:numId w:val="3"/>
      </w:numPr>
      <w:adjustRightInd w:val="0"/>
      <w:snapToGrid w:val="0"/>
      <w:spacing w:line="276" w:lineRule="auto"/>
      <w:ind w:left="0" w:firstLine="200" w:firstLineChars="200"/>
    </w:pPr>
    <w:rPr>
      <w:rFonts w:ascii="宋体" w:hAnsi="宋体" w:eastAsia="楷体" w:cs="宋体"/>
      <w:color w:val="000000"/>
      <w:kern w:val="2"/>
      <w:sz w:val="21"/>
      <w:szCs w:val="22"/>
      <w:lang w:val="en-US" w:eastAsia="zh-CN" w:bidi="ar-SA"/>
    </w:rPr>
  </w:style>
  <w:style w:type="paragraph" w:customStyle="1" w:styleId="34">
    <w:name w:val="1)2)3)"/>
    <w:basedOn w:val="1"/>
    <w:next w:val="1"/>
    <w:link w:val="38"/>
    <w:qFormat/>
    <w:uiPriority w:val="0"/>
    <w:pPr>
      <w:widowControl/>
      <w:numPr>
        <w:ilvl w:val="0"/>
        <w:numId w:val="4"/>
      </w:numPr>
      <w:adjustRightInd w:val="0"/>
      <w:snapToGrid w:val="0"/>
      <w:spacing w:line="276" w:lineRule="auto"/>
      <w:ind w:left="200" w:leftChars="200" w:firstLine="200" w:firstLineChars="200"/>
      <w:jc w:val="left"/>
    </w:pPr>
    <w:rPr>
      <w:rFonts w:ascii="宋体" w:hAnsi="宋体" w:eastAsia="楷体" w:cs="宋体"/>
      <w:color w:val="000000"/>
    </w:rPr>
  </w:style>
  <w:style w:type="paragraph" w:customStyle="1" w:styleId="35">
    <w:name w:val="粗体一、二、三"/>
    <w:link w:val="37"/>
    <w:qFormat/>
    <w:uiPriority w:val="0"/>
    <w:pPr>
      <w:numPr>
        <w:ilvl w:val="0"/>
        <w:numId w:val="5"/>
      </w:numPr>
      <w:spacing w:before="50" w:beforeLines="50" w:after="50" w:afterLines="50"/>
      <w:outlineLvl w:val="1"/>
    </w:pPr>
    <w:rPr>
      <w:rFonts w:ascii="宋体" w:hAnsi="宋体" w:eastAsia="宋体" w:cs="宋体"/>
      <w:b/>
      <w:color w:val="000000"/>
      <w:kern w:val="2"/>
      <w:sz w:val="22"/>
      <w:szCs w:val="22"/>
      <w:lang w:val="en-US" w:eastAsia="zh-CN" w:bidi="ar-SA"/>
    </w:rPr>
  </w:style>
  <w:style w:type="character" w:customStyle="1" w:styleId="36">
    <w:name w:val="1、2、3 字符"/>
    <w:basedOn w:val="13"/>
    <w:link w:val="33"/>
    <w:qFormat/>
    <w:uiPriority w:val="0"/>
    <w:rPr>
      <w:rFonts w:ascii="宋体" w:hAnsi="宋体" w:eastAsia="楷体" w:cs="宋体"/>
      <w:color w:val="000000"/>
      <w:kern w:val="2"/>
      <w:sz w:val="21"/>
      <w:szCs w:val="22"/>
    </w:rPr>
  </w:style>
  <w:style w:type="character" w:customStyle="1" w:styleId="37">
    <w:name w:val="粗体一、二、三 字符"/>
    <w:basedOn w:val="36"/>
    <w:link w:val="35"/>
    <w:qFormat/>
    <w:uiPriority w:val="0"/>
    <w:rPr>
      <w:rFonts w:ascii="宋体" w:hAnsi="宋体" w:eastAsia="宋体" w:cs="宋体"/>
      <w:b/>
      <w:color w:val="000000"/>
      <w:kern w:val="2"/>
      <w:sz w:val="22"/>
      <w:szCs w:val="22"/>
    </w:rPr>
  </w:style>
  <w:style w:type="character" w:customStyle="1" w:styleId="38">
    <w:name w:val="1)2)3) 字符"/>
    <w:basedOn w:val="13"/>
    <w:link w:val="34"/>
    <w:qFormat/>
    <w:uiPriority w:val="0"/>
    <w:rPr>
      <w:rFonts w:ascii="宋体" w:hAnsi="宋体" w:eastAsia="楷体" w:cs="宋体"/>
      <w:color w:val="000000"/>
      <w:kern w:val="2"/>
      <w:sz w:val="21"/>
      <w:szCs w:val="22"/>
    </w:rPr>
  </w:style>
  <w:style w:type="character" w:customStyle="1" w:styleId="39">
    <w:name w:val="一、二、三 字符"/>
    <w:basedOn w:val="13"/>
    <w:link w:val="28"/>
    <w:qFormat/>
    <w:uiPriority w:val="0"/>
    <w:rPr>
      <w:rFonts w:ascii="宋体" w:hAnsi="宋体" w:eastAsia="宋体" w:cs="宋体"/>
      <w:color w:val="000000"/>
      <w:kern w:val="2"/>
      <w:sz w:val="22"/>
      <w:szCs w:val="22"/>
    </w:rPr>
  </w:style>
  <w:style w:type="paragraph" w:customStyle="1" w:styleId="40">
    <w:name w:val="A、B、C、"/>
    <w:basedOn w:val="34"/>
    <w:link w:val="42"/>
    <w:qFormat/>
    <w:uiPriority w:val="0"/>
    <w:pPr>
      <w:numPr>
        <w:numId w:val="6"/>
      </w:numPr>
      <w:ind w:left="400" w:leftChars="400"/>
    </w:pPr>
  </w:style>
  <w:style w:type="paragraph" w:customStyle="1" w:styleId="41">
    <w:name w:val="1）的正文"/>
    <w:basedOn w:val="1"/>
    <w:link w:val="43"/>
    <w:qFormat/>
    <w:uiPriority w:val="0"/>
    <w:pPr>
      <w:widowControl/>
      <w:adjustRightInd w:val="0"/>
      <w:snapToGrid w:val="0"/>
      <w:spacing w:line="276" w:lineRule="auto"/>
      <w:ind w:left="200" w:leftChars="200" w:firstLine="200" w:firstLineChars="200"/>
      <w:jc w:val="left"/>
    </w:pPr>
    <w:rPr>
      <w:rFonts w:ascii="宋体" w:hAnsi="宋体" w:eastAsia="楷体" w:cs="宋体"/>
      <w:color w:val="000000"/>
    </w:rPr>
  </w:style>
  <w:style w:type="character" w:customStyle="1" w:styleId="42">
    <w:name w:val="A、B、C、 字符"/>
    <w:basedOn w:val="38"/>
    <w:link w:val="40"/>
    <w:qFormat/>
    <w:uiPriority w:val="0"/>
    <w:rPr>
      <w:rFonts w:ascii="宋体" w:hAnsi="宋体" w:eastAsia="楷体" w:cs="宋体"/>
      <w:color w:val="000000"/>
      <w:kern w:val="2"/>
      <w:sz w:val="21"/>
      <w:szCs w:val="22"/>
    </w:rPr>
  </w:style>
  <w:style w:type="character" w:customStyle="1" w:styleId="43">
    <w:name w:val="1）的正文 字符"/>
    <w:basedOn w:val="13"/>
    <w:link w:val="41"/>
    <w:qFormat/>
    <w:uiPriority w:val="0"/>
    <w:rPr>
      <w:rFonts w:ascii="宋体" w:hAnsi="宋体" w:eastAsia="楷体" w:cs="宋体"/>
      <w:color w:val="000000"/>
      <w:kern w:val="2"/>
      <w:sz w:val="21"/>
      <w:szCs w:val="22"/>
    </w:rPr>
  </w:style>
  <w:style w:type="character" w:customStyle="1" w:styleId="44">
    <w:name w:val="标题 1 Char"/>
    <w:basedOn w:val="13"/>
    <w:link w:val="2"/>
    <w:qFormat/>
    <w:uiPriority w:val="9"/>
    <w:rPr>
      <w:b/>
      <w:bCs/>
      <w:kern w:val="44"/>
      <w:sz w:val="44"/>
      <w:szCs w:val="44"/>
    </w:rPr>
  </w:style>
  <w:style w:type="paragraph" w:customStyle="1" w:styleId="45">
    <w:name w:val="正文所"/>
    <w:basedOn w:val="1"/>
    <w:qFormat/>
    <w:uiPriority w:val="0"/>
    <w:pPr>
      <w:spacing w:line="360" w:lineRule="auto"/>
      <w:ind w:firstLine="420" w:firstLineChars="200"/>
    </w:pPr>
    <w:rPr>
      <w:rFonts w:ascii="宋体" w:hAnsi="Times New Roman" w:eastAsia="华文宋体" w:cs="Times New Roman"/>
      <w:sz w:val="24"/>
      <w:szCs w:val="20"/>
    </w:rPr>
  </w:style>
  <w:style w:type="paragraph" w:customStyle="1" w:styleId="46">
    <w:name w:val="修订2"/>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47">
    <w:name w:val="修订3"/>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2C67DC-053F-4C7D-8B5E-C9070BF1BC43}">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39</Pages>
  <Words>32520</Words>
  <Characters>33006</Characters>
  <Lines>244</Lines>
  <Paragraphs>68</Paragraphs>
  <TotalTime>0</TotalTime>
  <ScaleCrop>false</ScaleCrop>
  <LinksUpToDate>false</LinksUpToDate>
  <CharactersWithSpaces>33359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2022-04-20T16:33:00Z</dcterms:created>
  <dc:creator>微软用户</dc:creator>
  <cp:lastModifiedBy>周 翔</cp:lastModifiedBy>
  <cp:lastPrinted>2024-07-02T09:55:00Z</cp:lastPrinted>
  <dcterms:modified xsi:type="dcterms:W3CDTF">2026-06-09T07:55:18Z</dcterms:modified>
  <cp:revision>202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68DE5545861E4D528D9C44E077595658</vt:lpwstr>
  </property>
  <property fmtid="{D5CDD505-2E9C-101B-9397-08002B2CF9AE}" pid="3" name="KSOProductBuildVer">
    <vt:lpwstr>2052-11.8.2.10321</vt:lpwstr>
  </property>
</Properties>
</file>