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spacing w:before="0" w:beforeAutospacing="0" w:after="0" w:afterAutospacing="0" w:line="36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“苏银理财恒源封闭债权312期优选2年</w:t>
      </w:r>
      <w:r>
        <w:rPr>
          <w:rFonts w:hint="eastAsia" w:ascii="楷体" w:hAnsi="楷体" w:eastAsia="楷体"/>
          <w:b/>
          <w:color w:val="auto"/>
          <w:sz w:val="28"/>
          <w:szCs w:val="28"/>
          <w:highlight w:val="none"/>
        </w:rPr>
        <w:t>”理财产品说明书</w:t>
      </w:r>
    </w:p>
    <w:p>
      <w:pPr>
        <w:pStyle w:val="23"/>
        <w:pageBreakBefore w:val="0"/>
        <w:spacing w:before="0" w:beforeAutospacing="0" w:after="0" w:afterAutospacing="0" w:line="240" w:lineRule="auto"/>
        <w:jc w:val="center"/>
        <w:rPr>
          <w:rFonts w:hint="eastAsia" w:ascii="楷体" w:hAnsi="楷体" w:eastAsia="楷体" w:cs="宋体"/>
          <w:b/>
          <w:color w:val="auto"/>
          <w:sz w:val="24"/>
          <w:szCs w:val="24"/>
          <w:highlight w:val="none"/>
        </w:rPr>
      </w:pPr>
      <w:r>
        <w:rPr>
          <w:rFonts w:hint="eastAsia" w:ascii="楷体" w:hAnsi="楷体" w:eastAsia="楷体" w:cs="Times New Roman"/>
          <w:sz w:val="21"/>
          <w:szCs w:val="21"/>
          <w:highlight w:val="none"/>
          <w:lang w:val="en-US" w:eastAsia="zh-CN" w:bidi="ar-SA"/>
        </w:rPr>
        <w:t>2026年6月版</w:t>
      </w:r>
    </w:p>
    <w:p>
      <w:pPr>
        <w:jc w:val="center"/>
        <w:rPr>
          <w:rFonts w:hint="eastAsia" w:ascii="楷体" w:hAnsi="楷体" w:eastAsia="楷体"/>
          <w:b/>
          <w:color w:val="auto"/>
          <w:sz w:val="24"/>
          <w:szCs w:val="24"/>
        </w:rPr>
      </w:pPr>
      <w:r>
        <w:rPr>
          <w:rFonts w:hint="eastAsia" w:ascii="楷体" w:hAnsi="楷体" w:eastAsia="楷体" w:cs="宋体"/>
          <w:b/>
          <w:color w:val="auto"/>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hanging="42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hanging="42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苏银理财恒源封闭债权312期优选2年</w:t>
      </w:r>
      <w:r>
        <w:rPr>
          <w:rFonts w:hint="eastAsia" w:ascii="楷体" w:hAnsi="楷体" w:eastAsia="楷体"/>
          <w:sz w:val="21"/>
          <w:szCs w:val="21"/>
        </w:rPr>
        <w:t>”理财产品风险揭示书》的“风险揭示”部分。</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hanging="42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s>
        <w:bidi w:val="0"/>
        <w:ind w:left="0" w:firstLine="422"/>
        <w:outlineLvl w:val="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2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highlight w:val="none"/>
                <w:lang w:eastAsia="zh-CN"/>
              </w:rPr>
            </w:pPr>
            <w:r>
              <w:rPr>
                <w:rFonts w:hint="eastAsia" w:ascii="楷体" w:hAnsi="楷体" w:eastAsia="楷体" w:cs="宋体"/>
                <w:color w:val="auto"/>
                <w:spacing w:val="-2"/>
                <w:sz w:val="18"/>
                <w:szCs w:val="18"/>
                <w:highlight w:val="none"/>
                <w:lang w:eastAsia="zh-CN"/>
              </w:rPr>
              <w:t>苏银理财恒源封闭债权312期优选2年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 w:hRule="atLeast"/>
          <w:jc w:val="center"/>
        </w:trPr>
        <w:tc>
          <w:tcPr>
            <w:tcW w:w="1701" w:type="dxa"/>
            <w:noWrap w:val="0"/>
            <w:vAlign w:val="center"/>
          </w:tcPr>
          <w:p>
            <w:pPr>
              <w:pStyle w:val="198"/>
              <w:keepNext w:val="0"/>
              <w:keepLines w:val="0"/>
              <w:pageBreakBefore w:val="0"/>
              <w:widowControl w:val="0"/>
              <w:bidi w:val="0"/>
              <w:spacing w:line="0" w:lineRule="atLeast"/>
              <w:ind w:left="0"/>
              <w:jc w:val="both"/>
              <w:outlineLvl w:val="9"/>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noWrap w:val="0"/>
            <w:vAlign w:val="center"/>
          </w:tcPr>
          <w:p>
            <w:pPr>
              <w:pStyle w:val="198"/>
              <w:keepNext w:val="0"/>
              <w:keepLines w:val="0"/>
              <w:pageBreakBefore w:val="0"/>
              <w:widowControl w:val="0"/>
              <w:bidi w:val="0"/>
              <w:spacing w:line="0" w:lineRule="atLeast"/>
              <w:ind w:left="0" w:right="0"/>
              <w:jc w:val="both"/>
              <w:rPr>
                <w:rFonts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Z7003126000218，投资者可依据该编码在中国理财网www.chinawealth.com.cn查询产品信息。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8"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jc w:val="both"/>
              <w:outlineLvl w:val="9"/>
              <w:rPr>
                <w:rFonts w:ascii="楷体" w:hAnsi="楷体" w:eastAsia="楷体" w:cs="宋体"/>
                <w:b/>
                <w:color w:val="auto"/>
                <w:spacing w:val="-2"/>
                <w:sz w:val="18"/>
                <w:szCs w:val="18"/>
                <w:highlight w:val="none"/>
              </w:rPr>
            </w:pPr>
            <w:r>
              <w:rPr>
                <w:rFonts w:hint="eastAsia" w:ascii="楷体" w:hAnsi="楷体" w:eastAsia="楷体" w:cs="宋体"/>
                <w:b/>
                <w:spacing w:val="-2"/>
                <w:sz w:val="18"/>
                <w:szCs w:val="18"/>
                <w:lang w:val="en-US" w:eastAsia="zh-CN"/>
              </w:rPr>
              <w:t>销售名称</w:t>
            </w:r>
            <w:r>
              <w:rPr>
                <w:rFonts w:hint="eastAsia" w:ascii="楷体" w:hAnsi="楷体" w:eastAsia="楷体" w:cs="宋体"/>
                <w:b/>
                <w:spacing w:val="-2"/>
                <w:sz w:val="18"/>
                <w:szCs w:val="18"/>
              </w:rPr>
              <w:t>/销售代码</w:t>
            </w:r>
          </w:p>
        </w:tc>
        <w:tc>
          <w:tcPr>
            <w:tcW w:w="7937" w:type="dxa"/>
            <w:shd w:val="clear" w:color="auto" w:fill="auto"/>
            <w:noWrap w:val="0"/>
            <w:vAlign w:val="center"/>
          </w:tcPr>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A份额：苏银理财恒源封闭债权312期优选2年A/J21310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B份额：苏银理财恒源封闭债权312期优选2年B/J21311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C份额：苏银理财恒源封闭债权312期优选2年C/J21312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D份额：苏银理财恒源封闭债权312期优选2年D/J21313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E份额：苏银理财恒源封闭债权312期优选2年E/J21314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F份额：苏银理财恒源封闭债权312期优选2年F/J21315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H份额：苏银理财恒源封闭债权312期优选2年H/J21316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JS份额：苏银理财恒源封闭债权312期优选2年JS鑫福款/J21323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J份额：苏银理财恒源封闭债权312期优选2年J/J21317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K份额：苏银理财恒源封闭债权312期优选2年K/J21318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L份额：苏银理财恒源封闭债权312期优选2年L/J21319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N份额：苏银理财恒源封闭债权312期优选2年N/J21320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P份额：苏银理财恒源封闭债权312期优选2年P/J21321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Z份额：苏银理财恒源封闭债权312期优选2年Z/J21322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5"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rPr>
              <w:t>产品类型</w:t>
            </w:r>
          </w:p>
        </w:tc>
        <w:tc>
          <w:tcPr>
            <w:tcW w:w="7937" w:type="dxa"/>
            <w:shd w:val="clear" w:color="auto" w:fill="auto"/>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b/>
                <w:color w:val="auto"/>
                <w:spacing w:val="-2"/>
                <w:sz w:val="18"/>
                <w:szCs w:val="18"/>
                <w:u w:val="single"/>
                <w:lang w:val="en-US" w:eastAsia="zh-CN" w:bidi="ar-SA"/>
              </w:rPr>
            </w:pPr>
            <w:r>
              <w:rPr>
                <w:rFonts w:hint="eastAsia" w:ascii="楷体" w:hAnsi="楷体" w:eastAsia="楷体" w:cs="宋体"/>
                <w:b/>
                <w:color w:val="auto"/>
                <w:spacing w:val="-2"/>
                <w:sz w:val="18"/>
                <w:szCs w:val="18"/>
                <w:highlight w:val="none"/>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57"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noWrap w:val="0"/>
            <w:vAlign w:val="center"/>
          </w:tcPr>
          <w:p>
            <w:pPr>
              <w:keepNext w:val="0"/>
              <w:keepLines w:val="0"/>
              <w:pageBreakBefore w:val="0"/>
              <w:widowControl w:val="0"/>
              <w:numPr>
                <w:ilvl w:val="0"/>
                <w:numId w:val="0"/>
              </w:numPr>
              <w:bidi w:val="0"/>
              <w:spacing w:line="0" w:lineRule="atLeast"/>
              <w:ind w:left="0" w:right="0" w:firstLine="0"/>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参考。理财产品存续期间，若市场环境等因素发生变化，在符合监管政策要求的前提下管理人可对产品风险评级进行调整，并及时将调整情况向投资者披露。</w:t>
            </w:r>
          </w:p>
          <w:tbl>
            <w:tblPr>
              <w:tblStyle w:val="2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89"/>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风险星级</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风险级别</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适合的投资者类别</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一级（PR1）</w:t>
                  </w:r>
                </w:p>
              </w:tc>
              <w:tc>
                <w:tcPr>
                  <w:tcW w:w="1493"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低风险型</w:t>
                  </w:r>
                </w:p>
              </w:tc>
              <w:tc>
                <w:tcPr>
                  <w:tcW w:w="1229"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二级（PR2）</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中低风险型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三级（PR3）</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四级（PR4）</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五级（PR5）</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风险承受</w:t>
                  </w:r>
                </w:p>
              </w:tc>
            </w:tr>
          </w:tbl>
          <w:p>
            <w:pPr>
              <w:keepNext w:val="0"/>
              <w:keepLines w:val="0"/>
              <w:pageBreakBefore w:val="0"/>
              <w:widowControl w:val="0"/>
              <w:numPr>
                <w:ilvl w:val="0"/>
                <w:numId w:val="0"/>
              </w:numPr>
              <w:bidi w:val="0"/>
              <w:spacing w:line="0" w:lineRule="atLeast"/>
              <w:ind w:left="0" w:right="0" w:firstLine="0"/>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widowControl w:val="0"/>
              <w:bidi w:val="0"/>
              <w:spacing w:line="0" w:lineRule="atLeast"/>
              <w:ind w:left="0" w:right="0" w:firstLine="0"/>
              <w:jc w:val="both"/>
              <w:rPr>
                <w:rFonts w:ascii="楷体" w:hAnsi="楷体" w:eastAsia="楷体" w:cs="宋体"/>
                <w:color w:val="auto"/>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A份额：面向个人和机构投资者销售；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B份额：面向个人和机构投资者销售；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C份额：面向个人和机构投资者销售</w:t>
            </w:r>
            <w:r>
              <w:rPr>
                <w:rFonts w:hint="eastAsia" w:ascii="楷体" w:hAnsi="楷体" w:eastAsia="楷体" w:cs="楷体"/>
                <w:color w:val="auto"/>
                <w:spacing w:val="-2"/>
                <w:kern w:val="0"/>
                <w:sz w:val="18"/>
                <w:szCs w:val="18"/>
                <w:highlight w:val="none"/>
                <w:lang w:val="en-US" w:eastAsia="zh-CN" w:bidi="ar-SA"/>
              </w:rPr>
              <w:t>，销售机构江苏银行仅限新资金客户、新客户及代发工资客户，具体以销售机构系统设置为准。新资金的达标条件为“客户前一日资产时点余额”较“前一月末资产月日均余额”的新增额大于5万元；新客户是指首次购买理财产品的客户</w:t>
            </w:r>
            <w:r>
              <w:rPr>
                <w:rFonts w:hint="eastAsia" w:ascii="楷体" w:hAnsi="楷体" w:eastAsia="楷体" w:cs="宋体"/>
                <w:spacing w:val="-2"/>
                <w:sz w:val="18"/>
                <w:szCs w:val="18"/>
                <w:highlight w:val="none"/>
                <w:lang w:val="en-US" w:eastAsia="zh-CN"/>
              </w:rPr>
              <w:t>；</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E份额：面向个人和机构投资者销售</w:t>
            </w:r>
            <w:r>
              <w:rPr>
                <w:rFonts w:hint="eastAsia" w:ascii="楷体" w:hAnsi="楷体" w:eastAsia="楷体" w:cs="楷体"/>
                <w:color w:val="auto"/>
                <w:spacing w:val="-2"/>
                <w:kern w:val="0"/>
                <w:sz w:val="18"/>
                <w:szCs w:val="18"/>
                <w:highlight w:val="none"/>
                <w:lang w:val="en-US" w:eastAsia="zh-CN" w:bidi="ar-SA"/>
              </w:rPr>
              <w:t>，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r>
              <w:rPr>
                <w:rFonts w:hint="eastAsia" w:ascii="楷体" w:hAnsi="楷体" w:eastAsia="楷体" w:cs="宋体"/>
                <w:spacing w:val="-2"/>
                <w:sz w:val="18"/>
                <w:szCs w:val="18"/>
                <w:highlight w:val="none"/>
                <w:lang w:val="en-US" w:eastAsia="zh-CN"/>
              </w:rPr>
              <w:t>；</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F份额：面向个人和机构投资者销售；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H份额：面向个人投资者销售；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J份额：面向个人和机构投资者销售；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K份额：面向个人和机构投资者销售；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L份额：面向个人和机构投资者销售；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N份额：面向个人和机构投资者销售；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P份额：面向个人和机构投资者销售；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Z份额：面向个人和机构投资者销售；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rPr>
              <w:t>JS份额：面向个人和机构投资者销售。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ascii="楷体" w:hAnsi="楷体" w:eastAsia="楷体" w:cs="宋体"/>
                <w:color w:val="auto"/>
                <w:spacing w:val="-2"/>
                <w:sz w:val="18"/>
                <w:szCs w:val="18"/>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2"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lang w:val="en-US" w:eastAsia="zh-CN" w:bidi="ar-SA"/>
              </w:rPr>
            </w:pPr>
            <w:r>
              <w:rPr>
                <w:rFonts w:hint="eastAsia" w:ascii="楷体" w:hAnsi="楷体" w:eastAsia="楷体" w:cs="宋体"/>
                <w:b/>
                <w:color w:val="auto"/>
                <w:spacing w:val="-2"/>
                <w:sz w:val="18"/>
                <w:szCs w:val="18"/>
              </w:rPr>
              <w:t>份额面值</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lang w:val="en-US" w:eastAsia="zh-CN" w:bidi="ar-SA"/>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noWrap w:val="0"/>
            <w:vAlign w:val="center"/>
          </w:tcPr>
          <w:p>
            <w:pPr>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highlight w:val="none"/>
                <w:lang w:val="en-US" w:eastAsia="zh-CN"/>
              </w:rPr>
              <w:t>20亿元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highlight w:val="none"/>
                <w:lang w:val="en-US" w:eastAsia="zh-CN"/>
              </w:rPr>
              <w:t>最低发行规模</w:t>
            </w:r>
          </w:p>
        </w:tc>
        <w:tc>
          <w:tcPr>
            <w:tcW w:w="7937" w:type="dxa"/>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highlight w:val="none"/>
                <w:lang w:val="en-US" w:eastAsia="zh-CN" w:bidi="ar-SA"/>
              </w:rPr>
            </w:pPr>
            <w:r>
              <w:rPr>
                <w:rFonts w:hint="eastAsia" w:ascii="楷体" w:hAnsi="楷体" w:eastAsia="楷体" w:cs="宋体"/>
                <w:color w:val="auto"/>
                <w:spacing w:val="-2"/>
                <w:sz w:val="18"/>
                <w:szCs w:val="18"/>
                <w:highlight w:val="none"/>
                <w:lang w:val="en-US" w:eastAsia="zh-CN" w:bidi="ar-SA"/>
              </w:rPr>
              <w:t>本产品最低发行规模为3000万元。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5"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ascii="楷体" w:hAnsi="楷体" w:eastAsia="楷体" w:cs="宋体"/>
                <w:b/>
                <w:color w:val="auto"/>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A份额：1元/1元的整数倍；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B份额：1元/1元的整数倍；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C份额：10,000元/10,000元的整数倍；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D份额：1元/1元的整数倍；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E份额：300,000元/10,000元的整数倍；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F份额：1元/1元的整数倍；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H份额：10,000元/10,000元的整数倍；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J份额：1元/1元的整数倍；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K份额：1元/1元的整数倍；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L份额：1元/1元的整数倍；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N份额：1元/1元的整数倍；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P份额：1元/1元的整数倍；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Z份额：1元/1元的整数倍；</w:t>
            </w:r>
          </w:p>
          <w:p>
            <w:pPr>
              <w:keepNext w:val="0"/>
              <w:keepLines w:val="0"/>
              <w:pageBreakBefore w:val="0"/>
              <w:bidi w:val="0"/>
              <w:spacing w:line="0" w:lineRule="atLeast"/>
              <w:ind w:left="0" w:right="0"/>
              <w:rPr>
                <w:rFonts w:hint="default" w:ascii="楷体" w:hAnsi="楷体" w:eastAsia="楷体" w:cs="宋体"/>
                <w:color w:val="auto"/>
                <w:spacing w:val="-2"/>
                <w:sz w:val="18"/>
                <w:szCs w:val="18"/>
                <w:lang w:val="en-US" w:eastAsia="zh-CN"/>
              </w:rPr>
            </w:pPr>
            <w:r>
              <w:rPr>
                <w:rFonts w:hint="eastAsia" w:ascii="楷体" w:hAnsi="楷体" w:eastAsia="楷体"/>
                <w:sz w:val="18"/>
                <w:szCs w:val="18"/>
                <w:highlight w:val="none"/>
                <w:lang w:val="en-US" w:eastAsia="zh-CN"/>
              </w:rPr>
              <w:t>JS份额：1元/1元的整数倍。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募集期</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2026年6月18日</w:t>
            </w:r>
            <w:r>
              <w:rPr>
                <w:rFonts w:hint="eastAsia" w:ascii="楷体" w:hAnsi="楷体" w:eastAsia="楷体" w:cs="宋体"/>
                <w:spacing w:val="-2"/>
                <w:sz w:val="18"/>
                <w:szCs w:val="18"/>
                <w:highlight w:val="none"/>
              </w:rPr>
              <w:t>至</w:t>
            </w:r>
            <w:r>
              <w:rPr>
                <w:rFonts w:hint="eastAsia" w:ascii="楷体" w:hAnsi="楷体" w:eastAsia="楷体" w:cs="宋体"/>
                <w:spacing w:val="-2"/>
                <w:sz w:val="18"/>
                <w:szCs w:val="18"/>
                <w:highlight w:val="none"/>
                <w:lang w:val="en-US" w:eastAsia="zh-CN"/>
              </w:rPr>
              <w:t>2026年6月24日</w:t>
            </w:r>
            <w:r>
              <w:rPr>
                <w:rFonts w:hint="eastAsia" w:ascii="楷体" w:hAnsi="楷体" w:eastAsia="楷体" w:cs="宋体"/>
                <w:spacing w:val="-2"/>
                <w:sz w:val="18"/>
                <w:szCs w:val="18"/>
                <w:highlight w:val="none"/>
              </w:rPr>
              <w:t>。</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5"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2026年6月25日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3"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r>
              <w:rPr>
                <w:rFonts w:hint="eastAsia" w:ascii="楷体" w:hAnsi="楷体" w:eastAsia="楷体" w:cs="宋体"/>
                <w:b/>
                <w:color w:val="auto"/>
                <w:spacing w:val="-2"/>
                <w:sz w:val="18"/>
                <w:szCs w:val="18"/>
              </w:rPr>
              <w:t>到期日</w:t>
            </w:r>
          </w:p>
        </w:tc>
        <w:tc>
          <w:tcPr>
            <w:tcW w:w="7937" w:type="dxa"/>
            <w:noWrap w:val="0"/>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2028年7月19日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产品存续期限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755天</w:t>
            </w:r>
            <w:r>
              <w:rPr>
                <w:rFonts w:hint="eastAsia" w:ascii="楷体" w:hAnsi="楷体" w:eastAsia="楷体" w:cs="宋体"/>
                <w:color w:val="auto"/>
                <w:spacing w:val="-2"/>
                <w:sz w:val="18"/>
                <w:szCs w:val="18"/>
                <w:highlight w:val="none"/>
              </w:rPr>
              <w:t>（以理财产品实际存续天数为准）</w:t>
            </w:r>
            <w:r>
              <w:rPr>
                <w:rFonts w:hint="eastAsia" w:ascii="楷体" w:hAnsi="楷体" w:eastAsia="楷体" w:cs="宋体"/>
                <w:color w:val="auto"/>
                <w:spacing w:val="-2"/>
                <w:sz w:val="18"/>
                <w:szCs w:val="18"/>
                <w:highlight w:val="none"/>
                <w:lang w:eastAsia="zh-CN"/>
              </w:rPr>
              <w:t>。</w:t>
            </w:r>
            <w:r>
              <w:rPr>
                <w:rFonts w:hint="eastAsia" w:ascii="楷体" w:hAnsi="楷体" w:eastAsia="楷体" w:cs="宋体"/>
                <w:b/>
                <w:bCs/>
                <w:color w:val="auto"/>
                <w:spacing w:val="-2"/>
                <w:sz w:val="18"/>
                <w:szCs w:val="18"/>
                <w:highlight w:val="none"/>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w:t>
            </w:r>
            <w:r>
              <w:rPr>
                <w:rFonts w:hint="eastAsia" w:ascii="楷体" w:hAnsi="楷体" w:eastAsia="楷体" w:cs="宋体"/>
                <w:b/>
                <w:spacing w:val="-2"/>
                <w:sz w:val="18"/>
                <w:szCs w:val="18"/>
                <w:highlight w:val="none"/>
                <w:lang w:val="en-US" w:eastAsia="zh-CN"/>
              </w:rPr>
              <w:t>比例</w:t>
            </w:r>
            <w:r>
              <w:rPr>
                <w:rFonts w:hint="eastAsia" w:ascii="楷体" w:hAnsi="楷体" w:eastAsia="楷体" w:cs="宋体"/>
                <w:b/>
                <w:spacing w:val="-2"/>
                <w:sz w:val="18"/>
                <w:szCs w:val="18"/>
                <w:highlight w:val="none"/>
              </w:rPr>
              <w:t>上限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47"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业绩比较基准</w:t>
            </w:r>
          </w:p>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（年化）</w:t>
            </w:r>
          </w:p>
        </w:tc>
        <w:tc>
          <w:tcPr>
            <w:tcW w:w="7937" w:type="dxa"/>
            <w:noWrap w:val="0"/>
            <w:vAlign w:val="center"/>
          </w:tcPr>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1.管理人参考过往投资经验，依据近期货币市场工具、债券、非标准化债权资产投资收益水平，在产品说明书约定的投资范围和投资比例内，综合考虑收取的销售服务费和投资管理费等费用情况，模拟测算得出业绩比较基准。</w:t>
            </w:r>
          </w:p>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2.本产品业绩比较基准如下：</w:t>
            </w:r>
          </w:p>
          <w:p>
            <w:pPr>
              <w:keepNext w:val="0"/>
              <w:keepLines w:val="0"/>
              <w:pageBreakBefore w:val="0"/>
              <w:widowControl w:val="0"/>
              <w:bidi w:val="0"/>
              <w:spacing w:line="0" w:lineRule="atLeast"/>
              <w:ind w:left="0" w:right="0"/>
              <w:jc w:val="left"/>
              <w:rPr>
                <w:rFonts w:hint="default"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A份额：2.50%-2.90%；B份额：2.50%-2.90%；C份额：2.55%-2.95%；D份额：2.50%-2.90%；E份额：2.60%-3.00%；F份额：2.55%-2.95%；H份额：2.40%-2.80%；J份额：2.50%-2.90%；JS份额：2.50%-2.90%；K份额：2.45%-2.85%；L份额：2.50%-2.90%；N份额：2.60%-3.00%；P份额：2.45%-2.85%；Z份额：2.65%-3.05%。</w:t>
            </w:r>
          </w:p>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rPr>
              <w:t>产品费用</w:t>
            </w:r>
          </w:p>
        </w:tc>
        <w:tc>
          <w:tcPr>
            <w:tcW w:w="7937" w:type="dxa"/>
            <w:noWrap w:val="0"/>
            <w:vAlign w:val="center"/>
          </w:tcPr>
          <w:p>
            <w:pPr>
              <w:keepNext w:val="0"/>
              <w:keepLines w:val="0"/>
              <w:pageBreakBefore w:val="0"/>
              <w:bidi w:val="0"/>
              <w:spacing w:line="0" w:lineRule="atLeast"/>
              <w:ind w:right="0"/>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pStyle w:val="198"/>
              <w:keepNext w:val="0"/>
              <w:keepLines w:val="0"/>
              <w:pageBreakBefore w:val="0"/>
              <w:widowControl w:val="0"/>
              <w:bidi w:val="0"/>
              <w:spacing w:line="0" w:lineRule="atLeast"/>
              <w:ind w:right="0"/>
              <w:rPr>
                <w:rFonts w:hint="default" w:ascii="楷体" w:hAnsi="楷体" w:eastAsia="楷体" w:cs="宋体"/>
                <w:spacing w:val="-2"/>
                <w:sz w:val="18"/>
                <w:szCs w:val="18"/>
                <w:highlight w:val="none"/>
                <w:lang w:val="en-US"/>
              </w:rPr>
            </w:pPr>
            <w:r>
              <w:rPr>
                <w:rFonts w:hint="eastAsia" w:ascii="楷体" w:hAnsi="楷体" w:eastAsia="楷体" w:cs="宋体"/>
                <w:spacing w:val="-2"/>
                <w:sz w:val="18"/>
                <w:szCs w:val="18"/>
              </w:rPr>
              <w:t>1.托管费率（年化）：</w:t>
            </w:r>
            <w:r>
              <w:rPr>
                <w:rFonts w:hint="eastAsia" w:ascii="楷体" w:hAnsi="楷体" w:eastAsia="楷体" w:cs="宋体"/>
                <w:spacing w:val="-2"/>
                <w:sz w:val="18"/>
                <w:szCs w:val="18"/>
                <w:highlight w:val="none"/>
                <w:lang w:val="en-US" w:eastAsia="zh-CN"/>
              </w:rPr>
              <w:t>0.02%。</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rPr>
              <w:t>2.销售服务费率（年化）：A份额：0.20%；B份额：0.20%；C份额：0.20%；D份额：0.25%；E份额：0.20%；F份额：0.20%；H份额：0.35%；J份额：0.15%；JS份额：0.20%；K份额：0.20%；L份额：0.30%；N份额：0.05%；P份额：0.30%；Z份额：0.10%。其中D份额采用一次性提取模式，其他份额采用每日计提模式</w:t>
            </w:r>
            <w:r>
              <w:rPr>
                <w:rFonts w:hint="eastAsia" w:ascii="楷体" w:hAnsi="楷体" w:eastAsia="楷体" w:cs="宋体"/>
                <w:spacing w:val="-2"/>
                <w:sz w:val="18"/>
                <w:szCs w:val="18"/>
                <w:highlight w:val="none"/>
                <w:lang w:eastAsia="zh-CN"/>
              </w:rPr>
              <w:t>。</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3.投资管理费率（年化）：A份额：0.20%；B份额：0.20%；C份额：0.15%；D份额：0.15%；E份额：0.10%；F份额：0.15%；H份额：0.15%；J份额：0.25%；JS份额：0.20%；K份额：0.25%；L份额：0.10%；N份额：0.25%；P份额：0.15%；Z份额：0.15%。</w:t>
            </w:r>
          </w:p>
          <w:p>
            <w:pPr>
              <w:keepNext w:val="0"/>
              <w:keepLines w:val="0"/>
              <w:pageBreakBefore w:val="0"/>
              <w:bidi w:val="0"/>
              <w:spacing w:line="0" w:lineRule="atLeast"/>
              <w:ind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4.超额业绩报酬</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如有）</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rPr>
              <w:t>若产品各份额实际投资收益在扣除托管费、销售服务费、投资管理费等费用后超过各份额业绩比较基准下限，产品管理人将按照超出部分的50%收取超额业绩报酬。</w:t>
            </w:r>
          </w:p>
          <w:p>
            <w:pPr>
              <w:keepNext w:val="0"/>
              <w:keepLines w:val="0"/>
              <w:pageBreakBefore w:val="0"/>
              <w:bidi w:val="0"/>
              <w:spacing w:line="0" w:lineRule="atLeast"/>
              <w:ind w:right="0"/>
              <w:rPr>
                <w:rFonts w:ascii="楷体" w:hAnsi="楷体" w:eastAsia="楷体"/>
                <w:color w:val="auto"/>
                <w:sz w:val="18"/>
                <w:szCs w:val="18"/>
              </w:rPr>
            </w:pPr>
            <w:r>
              <w:rPr>
                <w:rFonts w:hint="eastAsia" w:ascii="楷体" w:hAnsi="楷体" w:eastAsia="楷体" w:cs="宋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lang w:val="en-US" w:eastAsia="zh-CN"/>
              </w:rPr>
              <w:t>收取</w:t>
            </w:r>
            <w:r>
              <w:rPr>
                <w:rFonts w:hint="eastAsia" w:ascii="楷体" w:hAnsi="楷体" w:eastAsia="楷体" w:cs="宋体"/>
                <w:color w:val="auto"/>
                <w:spacing w:val="-2"/>
                <w:sz w:val="18"/>
                <w:szCs w:val="18"/>
              </w:rPr>
              <w:t>的超额业绩报酬以到期日计提核算的数值为准。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收益分配</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w:t>
            </w:r>
            <w:r>
              <w:rPr>
                <w:rFonts w:hint="eastAsia" w:ascii="楷体" w:hAnsi="楷体" w:eastAsia="楷体" w:cs="宋体"/>
                <w:spacing w:val="-2"/>
                <w:sz w:val="18"/>
                <w:szCs w:val="18"/>
                <w:highlight w:val="none"/>
                <w:lang w:val="en-US" w:eastAsia="zh-CN"/>
              </w:rPr>
              <w:t>全部</w:t>
            </w:r>
            <w:r>
              <w:rPr>
                <w:rFonts w:hint="eastAsia" w:ascii="楷体" w:hAnsi="楷体" w:eastAsia="楷体" w:cs="宋体"/>
                <w:spacing w:val="-2"/>
                <w:sz w:val="18"/>
                <w:szCs w:val="18"/>
                <w:highlight w:val="none"/>
              </w:rPr>
              <w:t>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default" w:ascii="楷体" w:hAnsi="楷体" w:eastAsia="楷体" w:cs="宋体"/>
                <w:b/>
                <w:color w:val="auto"/>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color="auto"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二、</w:t>
      </w:r>
      <w:r>
        <w:rPr>
          <w:rFonts w:hint="eastAsia" w:ascii="楷体" w:hAnsi="楷体" w:eastAsia="楷体"/>
          <w:b/>
          <w:color w:val="auto"/>
          <w:sz w:val="21"/>
          <w:szCs w:val="21"/>
        </w:rPr>
        <w:t>产品管理人</w:t>
      </w:r>
    </w:p>
    <w:p>
      <w:pPr>
        <w:numPr>
          <w:ilvl w:val="0"/>
          <w:numId w:val="0"/>
        </w:numPr>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ind w:left="0" w:firstLine="42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lang w:val="en-US" w:eastAsia="zh-CN"/>
        </w:rPr>
        <w:t>三、</w:t>
      </w:r>
      <w:r>
        <w:rPr>
          <w:rFonts w:hint="eastAsia" w:ascii="楷体" w:hAnsi="楷体" w:eastAsia="楷体"/>
          <w:b/>
          <w:color w:val="auto"/>
          <w:szCs w:val="21"/>
          <w:highlight w:val="none"/>
        </w:rPr>
        <w:t>产品托管人</w:t>
      </w:r>
    </w:p>
    <w:p>
      <w:pPr>
        <w:numPr>
          <w:ilvl w:val="0"/>
          <w:numId w:val="0"/>
        </w:numPr>
        <w:ind w:firstLine="42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b/>
          <w:bCs/>
          <w:color w:val="auto"/>
          <w:sz w:val="21"/>
          <w:szCs w:val="21"/>
          <w:highlight w:val="none"/>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lang w:val="en-US" w:eastAsia="zh-CN"/>
        </w:rPr>
        <w:t>四、</w:t>
      </w:r>
      <w:r>
        <w:rPr>
          <w:rFonts w:hint="eastAsia" w:ascii="楷体" w:hAnsi="楷体" w:eastAsia="楷体" w:cs="Times New Roman"/>
          <w:b/>
          <w:color w:val="auto"/>
          <w:sz w:val="21"/>
          <w:szCs w:val="21"/>
          <w:highlight w:val="none"/>
        </w:rPr>
        <w:t>销售机构</w:t>
      </w:r>
    </w:p>
    <w:p>
      <w:pPr>
        <w:numPr>
          <w:ilvl w:val="0"/>
          <w:numId w:val="0"/>
        </w:numPr>
        <w:tabs>
          <w:tab w:val="left" w:pos="1134"/>
        </w:tabs>
        <w:ind w:left="0" w:firstLine="42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A份额：江苏银行股份有限公司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江苏姜堰农村商业银行股份有限公司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江苏高淳农村商业银行股份有限公司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江苏常熟农村商业银行股份有限公司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B份额：徽商银行股份有限公司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C份额：江苏银行股份有限公司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D份额：宁波通商银行股份有限公司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宁波东海银行股份有限公司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E份额：宁波通商银行股份有限公司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江苏常熟农村商业银行股份有限公司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F份额：威海银行股份有限公司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青岛银行股份有限公司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东营银行股份有限公司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齐鲁银行股份有限公司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宁夏银行股份有限公司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莱商银行股份有限公司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甘肃银行股份有限公司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秦皇岛银行股份有限公司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嘉兴银行股份有限公司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H份额：重庆农村商业银行股份有限公司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J份额：浙江舟山普陀农村商业银行股份有限公司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浙江舟山定海海洋农村商业银行股份有限公司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浙江永康农村商业银行股份有限公司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浙江永嘉农村商业银行股份有限公司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浙江萧山农村商业银行股份有限公司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浙江文成农村商业银行股份有限公司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浙江温州瓯海农村商业银行股份有限公司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浙江温州龙湾农村商业银行股份有限公司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浙江桐乡农村商业银行股份有限公司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浙江桐庐农村商业银行股份有限公司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浙江绍兴瑞丰农村商业银行股份有限公司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浙江上虞农村商业银行股份有限公司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浙江青田农村商业银行股份有限公司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浙江乐清农村商业银行股份有限公司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浙江兰溪农村商业银行股份有限公司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浙江江山农村商业银行股份有限公司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浙江嘉善农村商业银行股份有限公司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浙江禾城农村商业银行股份有限公司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浙江德清农村商业银行股份有限公司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浙江岱山农村商业银行股份有限公司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浙江淳安农村商业银行股份有限公司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浙江平湖农村商业银行股份有限公司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浙江杭州余杭农村商业银行股份有限公司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湖州吴兴农村商业银行股份有限公司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杭州联合农村商业银行股份有限公司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浙江台州黄岩农村商业银行股份有限公司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K份额：浙江舟山定海海洋农村商业银行股份有限公司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浙江新昌农村商业银行股份有限公司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浙江武义农村商业银行股份有限公司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浙江衢州柯城农村商业银行股份有限公司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浙江平湖农村商业银行股份有限公司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浙江龙游农村商业银行股份有限公司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浙江海盐农村商业银行股份有限公司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浙江浦江农村商业银行股份有限公司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浙江海宁农村商业银行股份有限公司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浙江绍兴瑞丰农村商业银行股份有限公司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浙江桐庐农村商业银行股份有限公司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浙江永康农村商业银行股份有限公司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浙江绍兴恒信农村商业银行股份有限公司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浙江兰溪农村商业银行股份有限公司</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L份额：湖北银行股份有限公司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晋商银行股份有限公司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东莞农村商业银行股份有限公司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江苏苏州农村商业银行股份有限公司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江苏常熟农村商业银行股份有限公司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广州农村商业银行股份有限公司</w:t>
      </w:r>
      <w:r>
        <w:rPr>
          <w:rFonts w:hint="eastAsia" w:ascii="楷体" w:hAnsi="楷体" w:eastAsia="楷体"/>
          <w:b w:val="0"/>
          <w:bCs w:val="0"/>
          <w:sz w:val="21"/>
          <w:szCs w:val="21"/>
          <w:highlight w:val="none"/>
          <w:u w:val="none"/>
          <w:lang w:val="en-US" w:eastAsia="zh-CN"/>
        </w:rPr>
        <w:t>/上海农村商业银行股份有限公司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N份额：浙江海宁农村商业银行股份有限公司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浙江瑞安农村商业银行股份有限公司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P份额：山西银行股份有限公司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广州农村商业银行股份有限公司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北京农村商业银行股份有限公司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江门农村商业银行股份有限公司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Z份额：郑州银行股份有限公司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莱商银行股份有限公司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JS份额：江苏靖江农村商业银行股份有限公司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江苏姜堰农村商业银行股份有限公司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江苏江南农村商业银行股份有限公司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江苏江都农村商业银行股份有限公司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江苏建湖农村商业银行股份有限公司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江苏海门农村商业银行股份有限公司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江苏海安农村商业银行股份有限公司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江苏灌云农村商业银行股份有限公司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江苏灌南农村商业银行股份有限公司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江苏高邮农村商业银行股份有限公司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江苏高淳农村商业银行股份有限公司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江苏赣榆农村商业银行股份有限公司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江苏阜宁农村商业银行股份有限公司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江苏丰县农村商业银行股份有限公司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江苏东台农村商业银行股份有限公司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江苏东海农村商业银行股份有限公司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江苏大丰农村商业银行股份有限公司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江苏常熟农村商业银行股份有限公司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江苏宝应农村商业银行股份有限公司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徐州农村商业银行股份有限公司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连云港东方农村商业银行股份有限公司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江苏紫金农村商业银行股份有限公司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江苏镇江农村商业银行股份有限公司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江苏张家港农村商业银行股份有限公司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江苏仪征农村商业银行股份有限公司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江苏扬州农村商业银行股份有限公司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江苏扬中农村商业银行股份有限公司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江苏盐城农村商业银行股份有限公司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江苏新沂农村商业银行股份有限公司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江苏泰兴农村商业银行股份有限公司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江苏睢宁农村商业银行股份有限公司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江苏泗阳农村商业银行股份有限公司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江苏沭阳农村商业银行股份有限公司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江苏射阳农村商业银行股份有限公司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江苏如皋农村商业银行股份有限公司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江苏如东农村商业银行股份有限公司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江苏启东农村商业银行股份有限公司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江苏邳州农村商业银行股份有限公司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江苏沛县农村商业银行股份有限公司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江苏民丰农村商业银行股份有限公司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江苏溧水农村商业银行股份有限公司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江苏句容农村商业银行股份有限公司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江苏宜兴农村商业银行股份有限公司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江苏金湖农村商业银行股份有限公司</w:t>
      </w:r>
      <w:r>
        <w:rPr>
          <w:rFonts w:hint="eastAsia" w:ascii="楷体" w:hAnsi="楷体" w:eastAsia="楷体"/>
          <w:b w:val="0"/>
          <w:bCs w:val="0"/>
          <w:sz w:val="21"/>
          <w:szCs w:val="21"/>
          <w:highlight w:val="none"/>
          <w:u w:val="none"/>
          <w:lang w:val="en-US" w:eastAsia="zh-CN"/>
        </w:rPr>
        <w:t>/江苏太仓农村商业银行股份有限公司</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五、名词释义</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设置一类或多类</w:t>
      </w:r>
      <w:r>
        <w:rPr>
          <w:rFonts w:hint="eastAsia" w:ascii="楷体" w:hAnsi="楷体" w:eastAsia="楷体" w:cs="Calibri"/>
          <w:color w:val="auto"/>
          <w:sz w:val="21"/>
          <w:szCs w:val="21"/>
        </w:rPr>
        <w:t>产品份额，管理人在理财产品销售管理过程中</w:t>
      </w:r>
      <w:r>
        <w:rPr>
          <w:rFonts w:hint="eastAsia" w:ascii="楷体" w:hAnsi="楷体" w:eastAsia="楷体" w:cs="Calibri"/>
          <w:color w:val="auto"/>
          <w:sz w:val="21"/>
          <w:szCs w:val="21"/>
          <w:lang w:val="en-US" w:eastAsia="zh-CN"/>
        </w:rPr>
        <w:t>对各类份额</w:t>
      </w:r>
      <w:r>
        <w:rPr>
          <w:rFonts w:hint="eastAsia" w:ascii="楷体" w:hAnsi="楷体" w:eastAsia="楷体" w:cs="Calibri"/>
          <w:color w:val="auto"/>
          <w:sz w:val="21"/>
          <w:szCs w:val="21"/>
        </w:rPr>
        <w:t>设置的</w:t>
      </w:r>
      <w:r>
        <w:rPr>
          <w:rFonts w:hint="eastAsia" w:ascii="楷体" w:hAnsi="楷体" w:eastAsia="楷体" w:cs="Calibri"/>
          <w:color w:val="auto"/>
          <w:sz w:val="21"/>
          <w:szCs w:val="21"/>
          <w:lang w:val="en-US" w:eastAsia="zh-CN"/>
        </w:rPr>
        <w:t>内部代</w:t>
      </w:r>
      <w:r>
        <w:rPr>
          <w:rFonts w:hint="eastAsia" w:ascii="楷体" w:hAnsi="楷体" w:eastAsia="楷体" w:cs="Calibri"/>
          <w:color w:val="auto"/>
          <w:sz w:val="21"/>
          <w:szCs w:val="21"/>
        </w:rPr>
        <w:t>码。</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rPr>
        <w:t>7个工作日可变现资产</w:t>
      </w:r>
      <w:r>
        <w:rPr>
          <w:rFonts w:hint="eastAsia" w:ascii="楷体" w:hAnsi="楷体" w:eastAsia="楷体" w:cs="Calibri"/>
          <w:sz w:val="21"/>
          <w:szCs w:val="21"/>
          <w:lang w:eastAsia="zh-CN"/>
        </w:rPr>
        <w:t>：</w:t>
      </w:r>
      <w:r>
        <w:rPr>
          <w:rFonts w:hint="eastAsia" w:ascii="楷体" w:hAnsi="楷体" w:eastAsia="楷体" w:cs="Calibri"/>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六、投资管理</w:t>
      </w:r>
    </w:p>
    <w:p>
      <w:pPr>
        <w:numPr>
          <w:ilvl w:val="0"/>
          <w:numId w:val="6"/>
        </w:numPr>
        <w:tabs>
          <w:tab w:val="left" w:pos="993"/>
        </w:tabs>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firstLine="420"/>
        <w:rPr>
          <w:rFonts w:hint="default" w:ascii="楷体" w:hAnsi="楷体" w:eastAsia="楷体" w:cs="Times New Roman"/>
          <w:bCs/>
          <w:color w:val="auto"/>
          <w:sz w:val="21"/>
          <w:szCs w:val="21"/>
          <w:highlight w:val="none"/>
          <w:u w:val="none"/>
          <w:lang w:val="en-US" w:eastAsia="zh-CN"/>
        </w:rPr>
      </w:pPr>
      <w:r>
        <w:rPr>
          <w:rFonts w:ascii="楷体" w:hAnsi="楷体" w:eastAsia="楷体" w:cs="楷体"/>
          <w:sz w:val="21"/>
          <w:szCs w:val="21"/>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3</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同业借款：融资人为中国中信金融资产管理股份有限公司。融资人经营正常，是依法成立的国有公司，主要股东为中国中信集团有限公司、财政局、中国融信私募基金有限公司，实际控制人为财政部。</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4</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东方资产管理股份有限公司。融资人经营正常，是依法成立的国有公司，主要股东为中央汇金投资有限责任公司、全国社会保障基金理事会、中国电信集团有限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5</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同业借款：融资人为中国信达资产管理股份有限公司。融资人经营正常，是依法成立的国有公司，主要股东为中央汇金投资有限责任公司，实际控制人为国务院。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6</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收益凭证：融资人为华泰证券股份有限公司。融资人经营正常，是依法设立的持牌金融机构，主要股东为江苏省国信集团有限公司、香港中央结算（代理人）有限公司、江苏交通控股有限公司，无实际控制人。</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收益凭证：融资人为申万宏源证券有限公司。融资人经营正常，是依法设立的持牌金融机构，主要股东为申万宏源集团股份有限公司，实际控制人为中央汇金投资有限责任公司。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收益凭证：融资人为浙商证券股份有限公司。融资人经营正常，是依法设立的持牌金融机构，主要股东为浙江上三高速公路有限公司、台州市金融投资集团有限公司，实际控制人为浙江省交通投资集团有限公司。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16</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收益凭证：融资人为国投证券股份有限公司。融资人经营正常，是依法设立的持牌金融机构，主要股东为国投资本股份有限公司、上海毅胜投资有限公司，实际控制人为国家开发投资集团有限公司。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兴业证券股份有限公司。融资人经营正常，是依法设立的持牌金融机构，主要股东为福建省财政厅、福建省投资开发集团有限责任公司、上海申新（集团）有限公司，实际控制人为福建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财通证券股份有限公司。融资人经营正常，是依法设立的持牌金融机构，主要股东为浙江省创新投资集团有限公司、浙江省财开集团有限公司、台州市金融投资集团有限公司，实际控制人为浙江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收益凭证：融资人为东海证券股份有限公司。融资人经营正常，是依法设立的持牌金融机构，主要股东为常州投资集团有限公司、山东金控资本管理有限公司，实际控制人为常州投资集团有限公司。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长城证券股份有限公司。融资人经营正常，是依法设立的持牌金融机构，主要股东为华能资本服务有限公司、深圳新江南投资有限公司、深圳能源集团股份有限公司，实际控制人为中央汇金投资有限责任公司。</w:t>
      </w:r>
      <w:r>
        <w:rPr>
          <w:rFonts w:hint="eastAsia" w:ascii="楷体" w:hAnsi="楷体" w:eastAsia="楷体" w:cs="楷体"/>
          <w:sz w:val="21"/>
          <w:szCs w:val="21"/>
          <w:lang w:eastAsia="zh-CN"/>
        </w:rPr>
        <w:t>收益凭证：融资人为中国中金财富证券有限公司。融资人经营正常，是依法设立的持牌金融机构，主要股东为中国国际金融股份有限公司，实际控制人为中央汇金投资有限责任公司。（</w:t>
      </w:r>
      <w:r>
        <w:rPr>
          <w:rFonts w:hint="eastAsia" w:ascii="楷体" w:hAnsi="楷体" w:eastAsia="楷体" w:cs="楷体"/>
          <w:sz w:val="21"/>
          <w:szCs w:val="21"/>
          <w:lang w:val="en-US" w:eastAsia="zh-CN"/>
        </w:rPr>
        <w:t>26</w:t>
      </w:r>
      <w:r>
        <w:rPr>
          <w:rFonts w:hint="eastAsia" w:ascii="楷体" w:hAnsi="楷体" w:eastAsia="楷体" w:cs="楷体"/>
          <w:sz w:val="21"/>
          <w:szCs w:val="21"/>
          <w:lang w:eastAsia="zh-CN"/>
        </w:rPr>
        <w:t>）收益凭证：融资人为山西证券股份有限公司。融资人经营正常，是依法设立的持牌金融机构，主要股东为山西金融投资控股集团有限公司、太原钢铁（集团）有限公司、山西国际电力集团有限公司，实际控制人为山西省财政厅。（</w:t>
      </w:r>
      <w:r>
        <w:rPr>
          <w:rFonts w:hint="eastAsia" w:ascii="楷体" w:hAnsi="楷体" w:eastAsia="楷体" w:cs="楷体"/>
          <w:sz w:val="21"/>
          <w:szCs w:val="21"/>
          <w:lang w:val="en-US" w:eastAsia="zh-CN"/>
        </w:rPr>
        <w:t>27</w:t>
      </w:r>
      <w:r>
        <w:rPr>
          <w:rFonts w:hint="eastAsia" w:ascii="楷体" w:hAnsi="楷体" w:eastAsia="楷体" w:cs="楷体"/>
          <w:sz w:val="21"/>
          <w:szCs w:val="21"/>
          <w:lang w:eastAsia="zh-CN"/>
        </w:rPr>
        <w:t>）收益凭证：融资人为国都证券股份有限公司。融资人经营正常，是依法设立的持牌金融机构，主要股东为浙商证券股份有限公司、中诚信托有限责任公司、北京国际信托有限公司，实际控制人为浙江省交通投资集团有限公司。（</w:t>
      </w:r>
      <w:r>
        <w:rPr>
          <w:rFonts w:hint="eastAsia" w:ascii="楷体" w:hAnsi="楷体" w:eastAsia="楷体" w:cs="楷体"/>
          <w:sz w:val="21"/>
          <w:szCs w:val="21"/>
          <w:lang w:val="en-US" w:eastAsia="zh-CN"/>
        </w:rPr>
        <w:t>28</w:t>
      </w:r>
      <w:r>
        <w:rPr>
          <w:rFonts w:hint="eastAsia" w:ascii="楷体" w:hAnsi="楷体" w:eastAsia="楷体" w:cs="楷体"/>
          <w:sz w:val="21"/>
          <w:szCs w:val="21"/>
          <w:lang w:eastAsia="zh-CN"/>
        </w:rPr>
        <w:t>）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w:t>
      </w:r>
      <w:r>
        <w:rPr>
          <w:rFonts w:hint="eastAsia" w:ascii="楷体" w:hAnsi="楷体" w:eastAsia="楷体" w:cs="楷体"/>
          <w:sz w:val="21"/>
          <w:szCs w:val="21"/>
          <w:lang w:val="en-US" w:eastAsia="zh-CN"/>
        </w:rPr>
        <w:t>29</w:t>
      </w:r>
      <w:r>
        <w:rPr>
          <w:rFonts w:hint="eastAsia" w:ascii="楷体" w:hAnsi="楷体" w:eastAsia="楷体" w:cs="楷体"/>
          <w:sz w:val="21"/>
          <w:szCs w:val="21"/>
          <w:lang w:eastAsia="zh-CN"/>
        </w:rPr>
        <w:t>）收益凭证：融资人为华鑫证券有限责任公司。融资人经营正常，是依法设立的持牌金融机构，主要股东为上海华鑫股份有限公司，实际控制人为上海市国有资产监督管理委员会。（</w:t>
      </w:r>
      <w:r>
        <w:rPr>
          <w:rFonts w:hint="eastAsia" w:ascii="楷体" w:hAnsi="楷体" w:eastAsia="楷体" w:cs="楷体"/>
          <w:sz w:val="21"/>
          <w:szCs w:val="21"/>
          <w:lang w:val="en-US" w:eastAsia="zh-CN"/>
        </w:rPr>
        <w:t>30</w:t>
      </w:r>
      <w:r>
        <w:rPr>
          <w:rFonts w:hint="eastAsia" w:ascii="楷体" w:hAnsi="楷体" w:eastAsia="楷体" w:cs="楷体"/>
          <w:sz w:val="21"/>
          <w:szCs w:val="21"/>
          <w:lang w:eastAsia="zh-CN"/>
        </w:rPr>
        <w:t>）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w:t>
      </w:r>
      <w:r>
        <w:rPr>
          <w:rFonts w:hint="eastAsia" w:ascii="楷体" w:hAnsi="楷体" w:eastAsia="楷体" w:cs="楷体"/>
          <w:sz w:val="21"/>
          <w:szCs w:val="21"/>
          <w:lang w:val="en-US" w:eastAsia="zh-CN"/>
        </w:rPr>
        <w:t>31</w:t>
      </w:r>
      <w:r>
        <w:rPr>
          <w:rFonts w:hint="eastAsia" w:ascii="楷体" w:hAnsi="楷体" w:eastAsia="楷体" w:cs="楷体"/>
          <w:sz w:val="21"/>
          <w:szCs w:val="21"/>
          <w:lang w:eastAsia="zh-CN"/>
        </w:rPr>
        <w:t>）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w:t>
      </w:r>
      <w:r>
        <w:rPr>
          <w:rFonts w:hint="eastAsia" w:ascii="楷体" w:hAnsi="楷体" w:eastAsia="楷体" w:cs="楷体"/>
          <w:sz w:val="21"/>
          <w:szCs w:val="21"/>
          <w:lang w:val="en-US" w:eastAsia="zh-CN"/>
        </w:rPr>
        <w:t>32</w:t>
      </w:r>
      <w:r>
        <w:rPr>
          <w:rFonts w:hint="eastAsia" w:ascii="楷体" w:hAnsi="楷体" w:eastAsia="楷体" w:cs="楷体"/>
          <w:sz w:val="21"/>
          <w:szCs w:val="21"/>
          <w:lang w:eastAsia="zh-CN"/>
        </w:rPr>
        <w:t>）收益凭证：融资人为广发证券股份有限公司。融资人经营正常，是依法设立的持牌金融机构，主要股东为香港中央结算（代理人）有限公司、吉林敖东药业集团股份有限公司、辽宁成大股份有限公司，无实际控制人。（</w:t>
      </w:r>
      <w:r>
        <w:rPr>
          <w:rFonts w:hint="eastAsia" w:ascii="楷体" w:hAnsi="楷体" w:eastAsia="楷体" w:cs="楷体"/>
          <w:sz w:val="21"/>
          <w:szCs w:val="21"/>
          <w:lang w:val="en-US" w:eastAsia="zh-CN"/>
        </w:rPr>
        <w:t>33</w:t>
      </w:r>
      <w:r>
        <w:rPr>
          <w:rFonts w:hint="eastAsia" w:ascii="楷体" w:hAnsi="楷体" w:eastAsia="楷体" w:cs="楷体"/>
          <w:sz w:val="21"/>
          <w:szCs w:val="21"/>
          <w:lang w:eastAsia="zh-CN"/>
        </w:rPr>
        <w:t>）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w:t>
      </w:r>
      <w:r>
        <w:rPr>
          <w:rFonts w:hint="eastAsia" w:ascii="楷体" w:hAnsi="楷体" w:eastAsia="楷体" w:cs="楷体"/>
          <w:sz w:val="21"/>
          <w:szCs w:val="21"/>
          <w:lang w:val="en-US" w:eastAsia="zh-CN"/>
        </w:rPr>
        <w:t>34</w:t>
      </w:r>
      <w:r>
        <w:rPr>
          <w:rFonts w:hint="eastAsia" w:ascii="楷体" w:hAnsi="楷体" w:eastAsia="楷体" w:cs="楷体"/>
          <w:sz w:val="21"/>
          <w:szCs w:val="21"/>
          <w:lang w:eastAsia="zh-CN"/>
        </w:rPr>
        <w:t>）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numPr>
          <w:ilvl w:val="0"/>
          <w:numId w:val="0"/>
        </w:numPr>
        <w:ind w:left="0" w:firstLine="420"/>
        <w:rPr>
          <w:rFonts w:hint="default" w:ascii="楷体" w:hAnsi="楷体" w:eastAsia="楷体" w:cs="楷体"/>
          <w:b/>
          <w:bCs/>
          <w:sz w:val="21"/>
          <w:szCs w:val="21"/>
          <w:highlight w:val="yellow"/>
          <w:u w:val="single"/>
          <w:lang w:val="en-US" w:eastAsia="zh-CN" w:bidi="ar-SA"/>
        </w:rPr>
      </w:pPr>
      <w:r>
        <w:rPr>
          <w:rFonts w:hint="eastAsia" w:ascii="楷体" w:hAnsi="楷体" w:eastAsia="楷体" w:cs="Times New Roman"/>
          <w:bCs/>
          <w:color w:val="auto"/>
          <w:sz w:val="21"/>
          <w:szCs w:val="21"/>
          <w:highlight w:val="none"/>
          <w:u w:val="none"/>
          <w:lang w:eastAsia="zh-CN"/>
        </w:rPr>
        <w:t>资产到期日不超过理财产品</w:t>
      </w:r>
      <w:r>
        <w:rPr>
          <w:rFonts w:hint="eastAsia" w:ascii="楷体" w:hAnsi="楷体" w:eastAsia="楷体" w:cs="Times New Roman"/>
          <w:bCs/>
          <w:color w:val="auto"/>
          <w:sz w:val="21"/>
          <w:szCs w:val="21"/>
          <w:highlight w:val="none"/>
          <w:u w:val="none"/>
          <w:lang w:val="en-US" w:eastAsia="zh-CN"/>
        </w:rPr>
        <w:t>到期</w:t>
      </w:r>
      <w:r>
        <w:rPr>
          <w:rFonts w:hint="eastAsia" w:ascii="楷体" w:hAnsi="楷体" w:eastAsia="楷体" w:cs="Times New Roman"/>
          <w:bCs/>
          <w:color w:val="auto"/>
          <w:sz w:val="21"/>
          <w:szCs w:val="21"/>
          <w:highlight w:val="none"/>
          <w:u w:val="none"/>
          <w:lang w:eastAsia="zh-CN"/>
        </w:rPr>
        <w:t>日，循环期不还本、摊还期过手摊还本息</w:t>
      </w:r>
      <w:r>
        <w:rPr>
          <w:rFonts w:hint="eastAsia" w:ascii="楷体" w:hAnsi="楷体" w:eastAsia="楷体" w:cs="Times New Roman"/>
          <w:bCs/>
          <w:color w:val="auto"/>
          <w:sz w:val="21"/>
          <w:szCs w:val="21"/>
          <w:highlight w:val="none"/>
          <w:u w:val="none"/>
          <w:lang w:val="en-US" w:eastAsia="zh-CN"/>
        </w:rPr>
        <w:t>。</w:t>
      </w:r>
    </w:p>
    <w:p>
      <w:pPr>
        <w:numPr>
          <w:ilvl w:val="0"/>
          <w:numId w:val="6"/>
        </w:numPr>
        <w:tabs>
          <w:tab w:val="left" w:pos="993"/>
        </w:tabs>
        <w:ind w:firstLine="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0"/>
          <w:numId w:val="0"/>
        </w:numPr>
        <w:ind w:firstLine="42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rPr>
          <w:rFonts w:hint="eastAsia"/>
          <w:lang w:eastAsia="zh-CN"/>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r>
        <w:rPr>
          <w:rFonts w:hint="default" w:ascii="Calibri" w:hAnsi="Calibri" w:eastAsia="楷体" w:cs="Calibri"/>
          <w:b w:val="0"/>
          <w:bCs w:val="0"/>
          <w:sz w:val="21"/>
          <w:szCs w:val="21"/>
        </w:rPr>
        <w:t>。</w:t>
      </w:r>
    </w:p>
    <w:p>
      <w:pPr>
        <w:numPr>
          <w:ilvl w:val="0"/>
          <w:numId w:val="6"/>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1.本理财产品投资于单只证券或单只公募证券投资基金的市值不超过本产品净资产的10%。</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3.管理人全部产品持有单一上市公司发行的股票，不得超过该上市公司可流通股票的30%。</w:t>
      </w:r>
    </w:p>
    <w:p>
      <w:pPr>
        <w:keepNext w:val="0"/>
        <w:keepLines w:val="0"/>
        <w:pageBreakBefore w:val="0"/>
        <w:widowControl w:val="0"/>
        <w:numPr>
          <w:ilvl w:val="0"/>
          <w:numId w:val="0"/>
        </w:numPr>
        <w:tabs>
          <w:tab w:val="left" w:pos="728"/>
        </w:tabs>
        <w:bidi w:val="0"/>
        <w:ind w:left="420"/>
        <w:rPr>
          <w:rFonts w:hint="eastAsia" w:ascii="楷体" w:hAnsi="楷体" w:eastAsia="楷体" w:cs="Calibri"/>
          <w:color w:val="auto"/>
          <w:sz w:val="21"/>
          <w:szCs w:val="21"/>
        </w:rPr>
      </w:pPr>
      <w:r>
        <w:rPr>
          <w:rFonts w:hint="eastAsia" w:ascii="楷体" w:hAnsi="楷体" w:eastAsia="楷体" w:cs="Calibri"/>
          <w:color w:val="auto"/>
          <w:sz w:val="21"/>
          <w:szCs w:val="21"/>
        </w:rPr>
        <w:t>本理财产品</w:t>
      </w:r>
      <w:r>
        <w:rPr>
          <w:rFonts w:hint="eastAsia" w:ascii="楷体" w:hAnsi="楷体" w:eastAsia="楷体" w:cs="Calibri"/>
          <w:color w:val="auto"/>
          <w:sz w:val="21"/>
          <w:szCs w:val="21"/>
          <w:lang w:val="en-US" w:eastAsia="zh-CN"/>
        </w:rPr>
        <w:t>杠杆率</w:t>
      </w:r>
      <w:r>
        <w:rPr>
          <w:rFonts w:hint="eastAsia" w:ascii="楷体" w:hAnsi="楷体" w:eastAsia="楷体" w:cs="Calibri"/>
          <w:color w:val="auto"/>
          <w:sz w:val="21"/>
          <w:szCs w:val="21"/>
        </w:rPr>
        <w:t>不超过</w:t>
      </w:r>
      <w:r>
        <w:rPr>
          <w:rFonts w:hint="eastAsia" w:ascii="楷体" w:hAnsi="楷体" w:eastAsia="楷体" w:cs="Calibri"/>
          <w:color w:val="auto"/>
          <w:sz w:val="21"/>
          <w:szCs w:val="21"/>
          <w:highlight w:val="none"/>
          <w:lang w:val="en-US" w:eastAsia="zh-CN"/>
        </w:rPr>
        <w:t>200%</w:t>
      </w:r>
      <w:r>
        <w:rPr>
          <w:rFonts w:hint="eastAsia" w:ascii="楷体" w:hAnsi="楷体" w:eastAsia="楷体" w:cs="Calibri"/>
          <w:color w:val="auto"/>
          <w:sz w:val="21"/>
          <w:szCs w:val="21"/>
        </w:rPr>
        <w:t>。</w:t>
      </w:r>
    </w:p>
    <w:p>
      <w:pPr>
        <w:keepNext w:val="0"/>
        <w:keepLines w:val="0"/>
        <w:pageBreakBefore w:val="0"/>
        <w:widowControl w:val="0"/>
        <w:numPr>
          <w:ilvl w:val="0"/>
          <w:numId w:val="0"/>
        </w:numPr>
        <w:tabs>
          <w:tab w:val="left" w:pos="993"/>
        </w:tabs>
        <w:bidi w:val="0"/>
        <w:ind w:firstLine="210"/>
        <w:outlineLvl w:val="9"/>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（五）投资管理调整</w:t>
      </w:r>
    </w:p>
    <w:p>
      <w:pPr>
        <w:keepNext w:val="0"/>
        <w:keepLines w:val="0"/>
        <w:pageBreakBefore w:val="0"/>
        <w:widowControl w:val="0"/>
        <w:bidi w:val="0"/>
        <w:spacing w:before="0"/>
        <w:ind w:left="0" w:firstLine="420"/>
        <w:jc w:val="both"/>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bidi w:val="0"/>
        <w:spacing w:before="0"/>
        <w:ind w:left="0" w:firstLine="420"/>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如监管有最新规定的，可参照监管规定执行。</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七、</w:t>
      </w:r>
      <w:r>
        <w:rPr>
          <w:rFonts w:hint="eastAsia" w:ascii="楷体" w:hAnsi="楷体" w:eastAsia="楷体"/>
          <w:b/>
          <w:color w:val="auto"/>
          <w:sz w:val="21"/>
          <w:szCs w:val="21"/>
        </w:rPr>
        <w:t>产品认购</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八、</w:t>
      </w:r>
      <w:r>
        <w:rPr>
          <w:rFonts w:hint="eastAsia" w:ascii="楷体" w:hAnsi="楷体" w:eastAsia="楷体"/>
          <w:b/>
          <w:color w:val="auto"/>
          <w:sz w:val="21"/>
          <w:szCs w:val="21"/>
        </w:rPr>
        <w:t>产品终止</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rPr>
          <w:rFonts w:hint="eastAsia" w:ascii="楷体" w:hAnsi="楷体" w:eastAsia="楷体"/>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color w:val="auto"/>
          <w:sz w:val="21"/>
          <w:szCs w:val="21"/>
        </w:rPr>
        <w:t>。</w:t>
      </w:r>
    </w:p>
    <w:p>
      <w:pPr>
        <w:numPr>
          <w:ilvl w:val="0"/>
          <w:numId w:val="8"/>
        </w:numPr>
        <w:tabs>
          <w:tab w:val="left" w:pos="993"/>
        </w:tabs>
        <w:ind w:left="0" w:firstLine="42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因不可抗力、法律法规规定或监管部门认定的其他情形</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九、情景示例</w:t>
      </w:r>
    </w:p>
    <w:p>
      <w:pPr>
        <w:ind w:firstLine="422"/>
        <w:rPr>
          <w:rFonts w:hint="eastAsia" w:ascii="楷体" w:hAnsi="楷体" w:eastAsia="楷体"/>
          <w:b/>
          <w:color w:val="auto"/>
          <w:sz w:val="24"/>
          <w:szCs w:val="24"/>
          <w:u w:val="single"/>
        </w:rPr>
      </w:pPr>
      <w:r>
        <w:rPr>
          <w:rFonts w:hint="eastAsia" w:ascii="楷体" w:hAnsi="楷体" w:eastAsia="楷体"/>
          <w:b/>
          <w:color w:val="auto"/>
          <w:sz w:val="21"/>
          <w:szCs w:val="21"/>
          <w:u w:val="single"/>
        </w:rPr>
        <w:t>以下示例均为假设情况，不代表本产品实际投资业绩。</w:t>
      </w:r>
    </w:p>
    <w:p>
      <w:pPr>
        <w:ind w:firstLine="42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00.00-10,000.00=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投资者可得资金=10,000.00×0.9975=9,975.00（元）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投资者投资收益=9,975.00-10,000.00=-</w:t>
      </w:r>
      <w:r>
        <w:rPr>
          <w:rFonts w:ascii="楷体" w:hAnsi="楷体" w:eastAsia="楷体"/>
          <w:color w:val="auto"/>
          <w:sz w:val="21"/>
          <w:szCs w:val="21"/>
        </w:rPr>
        <w:t>25</w:t>
      </w:r>
      <w:r>
        <w:rPr>
          <w:rFonts w:hint="eastAsia" w:ascii="楷体" w:hAnsi="楷体" w:eastAsia="楷体"/>
          <w:color w:val="auto"/>
          <w:sz w:val="21"/>
          <w:szCs w:val="21"/>
        </w:rPr>
        <w:t>.</w:t>
      </w:r>
      <w:r>
        <w:rPr>
          <w:rFonts w:ascii="楷体" w:hAnsi="楷体" w:eastAsia="楷体"/>
          <w:color w:val="auto"/>
          <w:sz w:val="21"/>
          <w:szCs w:val="21"/>
        </w:rPr>
        <w:t>00</w:t>
      </w:r>
      <w:r>
        <w:rPr>
          <w:rFonts w:hint="eastAsia" w:ascii="楷体" w:hAnsi="楷体" w:eastAsia="楷体"/>
          <w:color w:val="auto"/>
          <w:sz w:val="21"/>
          <w:szCs w:val="21"/>
        </w:rPr>
        <w:t>（元）</w:t>
      </w:r>
    </w:p>
    <w:p>
      <w:pPr>
        <w:ind w:firstLine="422"/>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firstLine="422"/>
        <w:rPr>
          <w:rFonts w:hint="eastAsia" w:ascii="楷体" w:hAnsi="楷体" w:eastAsia="楷体"/>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十、产品费用</w:t>
      </w:r>
    </w:p>
    <w:p>
      <w:pPr>
        <w:numPr>
          <w:ilvl w:val="0"/>
          <w:numId w:val="0"/>
        </w:numPr>
        <w:ind w:left="0" w:firstLine="42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托管费：每日计提，每日应计提的托管费＝前一日的产品资产净值×托管费率÷365</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0"/>
          <w:numId w:val="0"/>
        </w:numPr>
        <w:ind w:left="0" w:firstLine="420"/>
        <w:rPr>
          <w:rFonts w:hint="eastAsia" w:ascii="楷体" w:hAnsi="楷体" w:eastAsia="楷体"/>
          <w:color w:val="auto"/>
          <w:sz w:val="21"/>
          <w:szCs w:val="21"/>
          <w:lang w:eastAsia="zh-CN"/>
        </w:rPr>
      </w:pPr>
      <w:r>
        <w:rPr>
          <w:rFonts w:hint="eastAsia" w:ascii="楷体" w:hAnsi="楷体" w:eastAsia="楷体"/>
          <w:color w:val="auto"/>
          <w:sz w:val="21"/>
          <w:szCs w:val="21"/>
        </w:rPr>
        <w:t>①</w:t>
      </w:r>
      <w:r>
        <w:rPr>
          <w:rFonts w:hint="eastAsia" w:ascii="楷体" w:hAnsi="楷体" w:eastAsia="楷体"/>
          <w:color w:val="auto"/>
          <w:sz w:val="21"/>
          <w:szCs w:val="21"/>
          <w:lang w:val="en-US" w:eastAsia="zh-CN"/>
        </w:rPr>
        <w:t>每日计提模式：</w:t>
      </w:r>
      <w:r>
        <w:rPr>
          <w:rFonts w:hint="eastAsia" w:ascii="楷体" w:hAnsi="楷体" w:eastAsia="楷体"/>
          <w:color w:val="auto"/>
          <w:sz w:val="21"/>
          <w:szCs w:val="21"/>
        </w:rPr>
        <w:t>每日计提</w:t>
      </w:r>
      <w:r>
        <w:rPr>
          <w:rFonts w:hint="eastAsia" w:ascii="楷体" w:hAnsi="楷体" w:eastAsia="楷体"/>
          <w:color w:val="auto"/>
          <w:sz w:val="21"/>
          <w:szCs w:val="21"/>
          <w:lang w:eastAsia="zh-CN"/>
        </w:rPr>
        <w:t>，</w:t>
      </w:r>
      <w:r>
        <w:rPr>
          <w:rFonts w:hint="eastAsia" w:ascii="楷体" w:hAnsi="楷体" w:eastAsia="楷体"/>
          <w:color w:val="auto"/>
          <w:sz w:val="21"/>
          <w:szCs w:val="21"/>
        </w:rPr>
        <w:t>每日应计提的销售服务费＝前一日的产品资产净值×销售服务费率÷365</w:t>
      </w:r>
      <w:r>
        <w:rPr>
          <w:rFonts w:hint="eastAsia" w:ascii="楷体" w:hAnsi="楷体" w:eastAsia="楷体"/>
          <w:color w:val="auto"/>
          <w:sz w:val="21"/>
          <w:szCs w:val="21"/>
          <w:lang w:eastAsia="zh-CN"/>
        </w:rPr>
        <w:t>。</w:t>
      </w:r>
    </w:p>
    <w:p>
      <w:pPr>
        <w:numPr>
          <w:ilvl w:val="0"/>
          <w:numId w:val="0"/>
        </w:numPr>
        <w:ind w:left="0" w:firstLine="420"/>
        <w:rPr>
          <w:rFonts w:hint="eastAsia" w:ascii="楷体" w:hAnsi="楷体" w:eastAsia="楷体"/>
          <w:color w:val="auto"/>
          <w:sz w:val="21"/>
          <w:szCs w:val="21"/>
        </w:rPr>
      </w:pPr>
      <w:r>
        <w:rPr>
          <w:rFonts w:hint="eastAsia" w:ascii="楷体" w:hAnsi="楷体" w:eastAsia="楷体"/>
          <w:color w:val="auto"/>
          <w:sz w:val="21"/>
          <w:szCs w:val="21"/>
        </w:rPr>
        <w:t>②</w:t>
      </w:r>
      <w:r>
        <w:rPr>
          <w:rFonts w:hint="eastAsia" w:ascii="楷体" w:hAnsi="楷体" w:eastAsia="楷体"/>
          <w:color w:val="auto"/>
          <w:sz w:val="21"/>
          <w:szCs w:val="21"/>
          <w:lang w:val="en-US" w:eastAsia="zh-CN"/>
        </w:rPr>
        <w:t>一次性提取模式：</w:t>
      </w:r>
      <w:r>
        <w:rPr>
          <w:rFonts w:hint="eastAsia" w:ascii="楷体" w:hAnsi="楷体" w:eastAsia="楷体"/>
          <w:color w:val="auto"/>
          <w:sz w:val="21"/>
          <w:szCs w:val="21"/>
        </w:rPr>
        <w:t>成立日一次性提取，每日摊销</w:t>
      </w:r>
      <w:r>
        <w:rPr>
          <w:rFonts w:hint="eastAsia" w:ascii="楷体" w:hAnsi="楷体" w:eastAsia="楷体"/>
          <w:color w:val="auto"/>
          <w:sz w:val="21"/>
          <w:szCs w:val="21"/>
          <w:lang w:eastAsia="zh-CN"/>
        </w:rPr>
        <w:t>，</w:t>
      </w:r>
      <w:r>
        <w:rPr>
          <w:rFonts w:hint="eastAsia" w:ascii="楷体" w:hAnsi="楷体" w:eastAsia="楷体"/>
          <w:color w:val="auto"/>
          <w:sz w:val="21"/>
          <w:szCs w:val="21"/>
        </w:rPr>
        <w:t>销售服务费＝产品成立日的产品份额</w:t>
      </w:r>
      <w:r>
        <w:rPr>
          <w:rFonts w:hint="eastAsia" w:ascii="楷体" w:hAnsi="楷体" w:eastAsia="楷体"/>
          <w:color w:val="auto"/>
          <w:sz w:val="21"/>
          <w:szCs w:val="21"/>
          <w:lang w:val="en-US" w:eastAsia="zh-CN"/>
        </w:rPr>
        <w:t>数</w:t>
      </w:r>
      <w:r>
        <w:rPr>
          <w:rFonts w:hint="eastAsia" w:ascii="楷体" w:hAnsi="楷体" w:eastAsia="楷体"/>
          <w:color w:val="auto"/>
          <w:sz w:val="21"/>
          <w:szCs w:val="21"/>
        </w:rPr>
        <w:t>×销售服务费率×产品投资期限天数÷365</w:t>
      </w:r>
      <w:r>
        <w:rPr>
          <w:rFonts w:hint="eastAsia" w:ascii="楷体" w:hAnsi="楷体" w:eastAsia="楷体"/>
          <w:color w:val="auto"/>
          <w:sz w:val="21"/>
          <w:szCs w:val="21"/>
          <w:lang w:eastAsia="zh-CN"/>
        </w:rPr>
        <w:t>。</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keepNext w:val="0"/>
        <w:keepLines w:val="0"/>
        <w:pageBreakBefore w:val="0"/>
        <w:widowControl w:val="0"/>
        <w:numPr>
          <w:ilvl w:val="0"/>
          <w:numId w:val="9"/>
        </w:numPr>
        <w:tabs>
          <w:tab w:val="left" w:pos="728"/>
          <w:tab w:val="clear" w:pos="420"/>
        </w:tabs>
        <w:bidi w:val="0"/>
        <w:ind w:left="0" w:firstLine="42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本产品不收取认购费用、申购费用、赎回费用。</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十一、</w:t>
      </w:r>
      <w:r>
        <w:rPr>
          <w:rFonts w:hint="eastAsia" w:ascii="楷体" w:hAnsi="楷体" w:eastAsia="楷体"/>
          <w:b/>
          <w:color w:val="auto"/>
          <w:sz w:val="21"/>
          <w:szCs w:val="21"/>
        </w:rPr>
        <w:t>产品估值</w:t>
      </w:r>
    </w:p>
    <w:p>
      <w:pPr>
        <w:numPr>
          <w:ilvl w:val="0"/>
          <w:numId w:val="10"/>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估值要求</w:t>
      </w:r>
    </w:p>
    <w:p>
      <w:pPr>
        <w:keepNext w:val="0"/>
        <w:keepLines w:val="0"/>
        <w:pageBreakBefore w:val="0"/>
        <w:widowControl w:val="0"/>
        <w:numPr>
          <w:ilvl w:val="0"/>
          <w:numId w:val="11"/>
        </w:numPr>
        <w:tabs>
          <w:tab w:val="left" w:pos="728"/>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pStyle w:val="2"/>
        <w:keepNext w:val="0"/>
        <w:keepLines w:val="0"/>
        <w:pageBreakBefore w:val="0"/>
        <w:widowControl w:val="0"/>
        <w:bidi w:val="0"/>
        <w:spacing w:before="0"/>
        <w:ind w:left="0" w:firstLine="420"/>
        <w:rPr>
          <w:rFonts w:hint="eastAsia"/>
          <w:lang w:eastAsia="zh-CN"/>
        </w:rPr>
      </w:pPr>
      <w:r>
        <w:rPr>
          <w:rFonts w:hint="eastAsia" w:ascii="楷体" w:hAnsi="楷体" w:eastAsia="楷体" w:cs="Calibri"/>
          <w:color w:val="auto"/>
          <w:sz w:val="21"/>
          <w:szCs w:val="21"/>
          <w:lang w:val="en-US" w:eastAsia="zh-CN"/>
        </w:rPr>
        <w:t>2.</w:t>
      </w:r>
      <w:r>
        <w:rPr>
          <w:rFonts w:hint="eastAsia" w:ascii="楷体" w:hAnsi="楷体" w:eastAsia="楷体" w:cs="Calibri"/>
          <w:color w:val="auto"/>
          <w:sz w:val="21"/>
          <w:szCs w:val="21"/>
        </w:rPr>
        <w:t>本产品单位净值精确到小</w:t>
      </w:r>
      <w:r>
        <w:rPr>
          <w:rFonts w:hint="eastAsia" w:ascii="楷体" w:hAnsi="楷体" w:eastAsia="楷体" w:cs="Calibri"/>
          <w:color w:val="auto"/>
          <w:sz w:val="21"/>
          <w:szCs w:val="21"/>
          <w:highlight w:val="none"/>
        </w:rPr>
        <w:t>数点后</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highlight w:val="none"/>
        </w:rPr>
        <w:t>位，小数点</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rPr>
        <w:t>位后截位。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十二、</w:t>
      </w:r>
      <w:r>
        <w:rPr>
          <w:rFonts w:hint="eastAsia" w:ascii="楷体" w:hAnsi="楷体" w:eastAsia="楷体"/>
          <w:b/>
          <w:color w:val="auto"/>
          <w:sz w:val="21"/>
          <w:szCs w:val="21"/>
        </w:rPr>
        <w:t>信息披露</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0"/>
          <w:numId w:val="0"/>
        </w:numPr>
        <w:ind w:left="0" w:firstLine="42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十三、</w:t>
      </w:r>
      <w:r>
        <w:rPr>
          <w:rFonts w:hint="eastAsia" w:ascii="楷体" w:hAnsi="楷体" w:eastAsia="楷体"/>
          <w:b/>
          <w:color w:val="auto"/>
          <w:sz w:val="21"/>
          <w:szCs w:val="21"/>
        </w:rPr>
        <w:t>其他</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firstLineChars="200"/>
      </w:pPr>
      <w:bookmarkStart w:id="0" w:name="_GoBack"/>
      <w:bookmarkEnd w:id="0"/>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Times New Roman"/>
    <w:panose1 w:val="020206030504050203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134"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WordPictureWatermark367128483"/>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3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133"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136"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5E306ED"/>
    <w:multiLevelType w:val="multilevel"/>
    <w:tmpl w:val="B5E306E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BF205925"/>
    <w:multiLevelType w:val="multilevel"/>
    <w:tmpl w:val="BF205925"/>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8879AEF"/>
    <w:multiLevelType w:val="multilevel"/>
    <w:tmpl w:val="C8879AE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CF092B84"/>
    <w:multiLevelType w:val="multilevel"/>
    <w:tmpl w:val="CF092B84"/>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F4B5D9F5"/>
    <w:multiLevelType w:val="multilevel"/>
    <w:tmpl w:val="F4B5D9F5"/>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53208E"/>
    <w:multiLevelType w:val="multilevel"/>
    <w:tmpl w:val="0053208E"/>
    <w:lvl w:ilvl="0" w:tentative="0">
      <w:start w:val="1"/>
      <w:numFmt w:val="decimalEnclosedCircleChinese"/>
      <w:suff w:val="nothing"/>
      <w:lvlText w:val="%1　"/>
      <w:lvlJc w:val="left"/>
      <w:pPr>
        <w:ind w:left="0" w:firstLine="400"/>
      </w:pPr>
      <w:rPr>
        <w:rFonts w:hint="eastAsia"/>
      </w:r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7">
    <w:nsid w:val="0248C179"/>
    <w:multiLevelType w:val="multilevel"/>
    <w:tmpl w:val="0248C17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3D62ECE"/>
    <w:multiLevelType w:val="multilevel"/>
    <w:tmpl w:val="03D62EC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5B654F3"/>
    <w:multiLevelType w:val="multilevel"/>
    <w:tmpl w:val="25B654F3"/>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A8F537B"/>
    <w:multiLevelType w:val="multilevel"/>
    <w:tmpl w:val="2A8F537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D4DC07F"/>
    <w:multiLevelType w:val="multilevel"/>
    <w:tmpl w:val="4D4DC07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9ADCABA"/>
    <w:multiLevelType w:val="multilevel"/>
    <w:tmpl w:val="59ADCAB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A241D34"/>
    <w:multiLevelType w:val="multilevel"/>
    <w:tmpl w:val="5A241D3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2183CF9"/>
    <w:multiLevelType w:val="multilevel"/>
    <w:tmpl w:val="72183CF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4"/>
  </w:num>
  <w:num w:numId="3">
    <w:abstractNumId w:val="12"/>
  </w:num>
  <w:num w:numId="4">
    <w:abstractNumId w:val="2"/>
  </w:num>
  <w:num w:numId="5">
    <w:abstractNumId w:val="1"/>
  </w:num>
  <w:num w:numId="6">
    <w:abstractNumId w:val="8"/>
  </w:num>
  <w:num w:numId="7">
    <w:abstractNumId w:val="9"/>
  </w:num>
  <w:num w:numId="8">
    <w:abstractNumId w:val="14"/>
  </w:num>
  <w:num w:numId="9">
    <w:abstractNumId w:val="7"/>
  </w:num>
  <w:num w:numId="10">
    <w:abstractNumId w:val="0"/>
  </w:num>
  <w:num w:numId="11">
    <w:abstractNumId w:val="10"/>
  </w:num>
  <w:num w:numId="12">
    <w:abstractNumId w:val="13"/>
  </w:num>
  <w:num w:numId="13">
    <w:abstractNumId w:val="3"/>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characterSpacingControl w:val="doNotCompress"/>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BB9285F"/>
    <w:rsid w:val="75AF1A9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宋体" w:hAnsi="宋体" w:eastAsia="宋体" w:cs="宋体"/>
      <w:sz w:val="28"/>
      <w:szCs w:val="22"/>
      <w:lang w:val="en-US" w:eastAsia="zh-CN" w:bidi="ar-SA"/>
    </w:rPr>
  </w:style>
  <w:style w:type="paragraph" w:styleId="3">
    <w:name w:val="heading 1"/>
    <w:basedOn w:val="1"/>
    <w:next w:val="1"/>
    <w:link w:val="187"/>
    <w:qFormat/>
    <w:uiPriority w:val="1"/>
    <w:pPr>
      <w:spacing w:before="17"/>
      <w:ind w:left="1144"/>
      <w:jc w:val="left"/>
      <w:outlineLvl w:val="0"/>
    </w:pPr>
    <w:rPr>
      <w:rFonts w:ascii="黑体" w:hAnsi="Times New Roman" w:eastAsia="黑体"/>
      <w:b/>
      <w:bCs/>
      <w:sz w:val="36"/>
      <w:szCs w:val="36"/>
    </w:rPr>
  </w:style>
  <w:style w:type="paragraph" w:styleId="4">
    <w:name w:val="heading 2"/>
    <w:basedOn w:val="1"/>
    <w:next w:val="1"/>
    <w:link w:val="188"/>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1"/>
    <w:link w:val="189"/>
    <w:qFormat/>
    <w:uiPriority w:val="1"/>
    <w:pPr>
      <w:spacing w:before="34"/>
      <w:ind w:left="120"/>
      <w:jc w:val="left"/>
      <w:outlineLvl w:val="2"/>
    </w:pPr>
    <w:rPr>
      <w:rFonts w:ascii="宋体" w:hAnsi="Times New Roman"/>
      <w:b/>
      <w:bCs/>
      <w:sz w:val="20"/>
      <w:szCs w:val="21"/>
    </w:rPr>
  </w:style>
  <w:style w:type="paragraph" w:styleId="6">
    <w:name w:val="heading 4"/>
    <w:basedOn w:val="1"/>
    <w:next w:val="1"/>
    <w:link w:val="164"/>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7">
    <w:name w:val="heading 5"/>
    <w:basedOn w:val="1"/>
    <w:next w:val="1"/>
    <w:link w:val="165"/>
    <w:unhideWhenUsed/>
    <w:qFormat/>
    <w:uiPriority w:val="9"/>
    <w:pPr>
      <w:keepNext/>
      <w:keepLines/>
      <w:spacing w:before="80" w:after="40"/>
      <w:outlineLvl w:val="4"/>
    </w:pPr>
    <w:rPr>
      <w:rFonts w:ascii="Arial" w:hAnsi="Arial" w:eastAsia="Arial" w:cs="Arial"/>
      <w:color w:val="2E75B6" w:themeColor="accent1" w:themeShade="BF"/>
    </w:rPr>
  </w:style>
  <w:style w:type="paragraph" w:styleId="8">
    <w:name w:val="heading 6"/>
    <w:basedOn w:val="1"/>
    <w:next w:val="1"/>
    <w:link w:val="166"/>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9">
    <w:name w:val="heading 7"/>
    <w:basedOn w:val="1"/>
    <w:next w:val="1"/>
    <w:link w:val="167"/>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168"/>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1">
    <w:name w:val="heading 9"/>
    <w:basedOn w:val="1"/>
    <w:next w:val="1"/>
    <w:link w:val="169"/>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2">
    <w:name w:val="Body Text"/>
    <w:basedOn w:val="1"/>
    <w:next w:val="1"/>
    <w:qFormat/>
    <w:uiPriority w:val="1"/>
    <w:pPr>
      <w:spacing w:before="162"/>
      <w:ind w:left="120"/>
      <w:jc w:val="left"/>
    </w:pPr>
    <w:rPr>
      <w:rFonts w:ascii="宋体" w:hAnsi="Times New Roman"/>
      <w:sz w:val="20"/>
      <w:szCs w:val="21"/>
    </w:rPr>
  </w:style>
  <w:style w:type="paragraph" w:styleId="12">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annotation text"/>
    <w:basedOn w:val="1"/>
    <w:unhideWhenUsed/>
    <w:qFormat/>
    <w:uiPriority w:val="99"/>
    <w:pPr>
      <w:jc w:val="left"/>
    </w:pPr>
  </w:style>
  <w:style w:type="paragraph" w:styleId="14">
    <w:name w:val="Date"/>
    <w:basedOn w:val="1"/>
    <w:next w:val="1"/>
    <w:unhideWhenUsed/>
    <w:qFormat/>
    <w:uiPriority w:val="99"/>
    <w:pPr>
      <w:ind w:left="100"/>
    </w:pPr>
  </w:style>
  <w:style w:type="paragraph" w:styleId="15">
    <w:name w:val="endnote text"/>
    <w:basedOn w:val="1"/>
    <w:semiHidden/>
    <w:unhideWhenUsed/>
    <w:qFormat/>
    <w:uiPriority w:val="99"/>
    <w:pPr>
      <w:spacing w:after="0" w:line="240" w:lineRule="auto"/>
    </w:pPr>
    <w:rPr>
      <w:sz w:val="20"/>
      <w:szCs w:val="20"/>
    </w:rPr>
  </w:style>
  <w:style w:type="paragraph" w:styleId="16">
    <w:name w:val="Balloon Text"/>
    <w:basedOn w:val="1"/>
    <w:unhideWhenUsed/>
    <w:qFormat/>
    <w:uiPriority w:val="99"/>
    <w:rPr>
      <w:sz w:val="18"/>
      <w:szCs w:val="18"/>
    </w:rPr>
  </w:style>
  <w:style w:type="paragraph" w:styleId="17">
    <w:name w:val="footer"/>
    <w:basedOn w:val="1"/>
    <w:unhideWhenUsed/>
    <w:qFormat/>
    <w:uiPriority w:val="99"/>
    <w:pPr>
      <w:tabs>
        <w:tab w:val="center" w:pos="4153"/>
        <w:tab w:val="right" w:pos="8306"/>
      </w:tabs>
      <w:jc w:val="left"/>
    </w:pPr>
    <w:rPr>
      <w:sz w:val="18"/>
      <w:szCs w:val="18"/>
    </w:rPr>
  </w:style>
  <w:style w:type="paragraph" w:styleId="18">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19">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0">
    <w:name w:val="footnote text"/>
    <w:basedOn w:val="1"/>
    <w:semiHidden/>
    <w:unhideWhenUsed/>
    <w:qFormat/>
    <w:uiPriority w:val="99"/>
    <w:pPr>
      <w:jc w:val="left"/>
    </w:pPr>
    <w:rPr>
      <w:sz w:val="18"/>
      <w:szCs w:val="18"/>
    </w:rPr>
  </w:style>
  <w:style w:type="paragraph" w:styleId="21">
    <w:name w:val="table of figures"/>
    <w:basedOn w:val="1"/>
    <w:next w:val="1"/>
    <w:unhideWhenUsed/>
    <w:qFormat/>
    <w:uiPriority w:val="99"/>
    <w:pPr>
      <w:spacing w:after="0" w:afterAutospacing="0"/>
    </w:p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sz w:val="24"/>
      <w:szCs w:val="24"/>
      <w:lang w:val="en-US" w:eastAsia="zh-CN"/>
    </w:rPr>
  </w:style>
  <w:style w:type="paragraph" w:styleId="23">
    <w:name w:val="Normal (Web)"/>
    <w:basedOn w:val="1"/>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24">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5">
    <w:name w:val="annotation subject"/>
    <w:basedOn w:val="13"/>
    <w:next w:val="13"/>
    <w:link w:val="196"/>
    <w:unhideWhenUsed/>
    <w:qFormat/>
    <w:uiPriority w:val="99"/>
    <w:rPr>
      <w:b/>
      <w:bCs/>
    </w:r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9">
    <w:name w:val="Strong"/>
    <w:qFormat/>
    <w:uiPriority w:val="22"/>
    <w:rPr>
      <w:rFonts w:ascii="Times New Roman" w:hAnsi="Times New Roman" w:eastAsia="宋体" w:cs="Times New Roman"/>
      <w:b/>
      <w:bCs/>
    </w:rPr>
  </w:style>
  <w:style w:type="character" w:styleId="30">
    <w:name w:val="endnote reference"/>
    <w:basedOn w:val="28"/>
    <w:semiHidden/>
    <w:unhideWhenUsed/>
    <w:qFormat/>
    <w:uiPriority w:val="99"/>
    <w:rPr>
      <w:vertAlign w:val="superscript"/>
    </w:rPr>
  </w:style>
  <w:style w:type="character" w:styleId="31">
    <w:name w:val="FollowedHyperlink"/>
    <w:basedOn w:val="28"/>
    <w:semiHidden/>
    <w:unhideWhenUsed/>
    <w:qFormat/>
    <w:uiPriority w:val="99"/>
    <w:rPr>
      <w:color w:val="954F72" w:themeColor="followedHyperlink"/>
      <w:u w:val="single"/>
      <w14:textFill>
        <w14:solidFill>
          <w14:schemeClr w14:val="folHlink"/>
        </w14:solidFill>
      </w14:textFill>
    </w:rPr>
  </w:style>
  <w:style w:type="character" w:styleId="32">
    <w:name w:val="Emphasis"/>
    <w:basedOn w:val="28"/>
    <w:qFormat/>
    <w:uiPriority w:val="20"/>
    <w:rPr>
      <w:i/>
      <w:iCs/>
    </w:rPr>
  </w:style>
  <w:style w:type="character" w:styleId="33">
    <w:name w:val="Hyperlink"/>
    <w:unhideWhenUsed/>
    <w:qFormat/>
    <w:uiPriority w:val="99"/>
    <w:rPr>
      <w:rFonts w:ascii="Times New Roman" w:hAnsi="Times New Roman" w:eastAsia="宋体" w:cs="Times New Roman"/>
      <w:color w:val="0000FF"/>
      <w:u w:val="single"/>
    </w:rPr>
  </w:style>
  <w:style w:type="character" w:styleId="34">
    <w:name w:val="annotation reference"/>
    <w:unhideWhenUsed/>
    <w:qFormat/>
    <w:uiPriority w:val="99"/>
    <w:rPr>
      <w:rFonts w:ascii="Times New Roman" w:hAnsi="Times New Roman" w:eastAsia="宋体" w:cs="Times New Roman"/>
      <w:sz w:val="21"/>
      <w:szCs w:val="21"/>
    </w:rPr>
  </w:style>
  <w:style w:type="character" w:styleId="35">
    <w:name w:val="footnote reference"/>
    <w:semiHidden/>
    <w:unhideWhenUsed/>
    <w:qFormat/>
    <w:uiPriority w:val="99"/>
    <w:rPr>
      <w:rFonts w:ascii="Times New Roman" w:hAnsi="Times New Roman" w:eastAsia="宋体" w:cs="Times New Roman"/>
      <w:vertAlign w:val="superscript"/>
    </w:rPr>
  </w:style>
  <w:style w:type="table" w:customStyle="1" w:styleId="36">
    <w:name w:val="Table Grid Light"/>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7">
    <w:name w:val="Plain Table 1"/>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fill="F1F1F1"/>
      </w:tcPr>
    </w:tblStylePr>
    <w:tblStylePr w:type="band2Vert"/>
    <w:tblStylePr w:type="band1Horz">
      <w:tcPr>
        <w:shd w:val="clear" w:color="F1F1F1" w:fill="F1F1F1"/>
      </w:tcPr>
    </w:tblStylePr>
    <w:tblStylePr w:type="band2Horz"/>
    <w:tblStylePr w:type="neCell"/>
    <w:tblStylePr w:type="nwCell"/>
    <w:tblStylePr w:type="seCell"/>
    <w:tblStylePr w:type="swCell"/>
  </w:style>
  <w:style w:type="table" w:customStyle="1" w:styleId="38">
    <w:name w:val="Plain Table 2"/>
    <w:basedOn w:val="26"/>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9">
    <w:name w:val="Plain Table 3"/>
    <w:basedOn w:val="26"/>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0">
    <w:name w:val="Plain Table 4"/>
    <w:basedOn w:val="26"/>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1">
    <w:name w:val="Plain Table 5"/>
    <w:basedOn w:val="26"/>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2">
    <w:name w:val="Grid Table 1 Light"/>
    <w:basedOn w:val="26"/>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3">
    <w:name w:val="Grid Table 1 Light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4">
    <w:name w:val="Grid Table 1 Light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5">
    <w:name w:val="Grid Table 1 Light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6">
    <w:name w:val="Grid Table 1 Light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7">
    <w:name w:val="Grid Table 1 Light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8">
    <w:name w:val="Grid Table 1 Light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9">
    <w:name w:val="Grid Table 2"/>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0">
    <w:name w:val="Grid Table 2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1">
    <w:name w:val="Grid Table 2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2">
    <w:name w:val="Grid Table 2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53">
    <w:name w:val="Grid Table 2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54">
    <w:name w:val="Grid Table 2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55">
    <w:name w:val="Grid Table 2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56">
    <w:name w:val="Grid Table 3"/>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7">
    <w:name w:val="Grid Table 3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8">
    <w:name w:val="Grid Table 3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9">
    <w:name w:val="Grid Table 3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0">
    <w:name w:val="Grid Table 3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1">
    <w:name w:val="Grid Table 3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2">
    <w:name w:val="Grid Table 3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63">
    <w:name w:val="Grid Table 4"/>
    <w:basedOn w:val="26"/>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64">
    <w:name w:val="Grid Table 4 - Accent 1"/>
    <w:basedOn w:val="26"/>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fill="68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fill="DEEBF6"/>
      </w:tcPr>
    </w:tblStylePr>
    <w:tblStylePr w:type="band2Vert"/>
    <w:tblStylePr w:type="band1Horz">
      <w:rPr>
        <w:rFonts w:ascii="Arial" w:hAnsi="Arial"/>
        <w:color w:val="404040"/>
        <w:sz w:val="22"/>
      </w:rPr>
      <w:tcPr>
        <w:shd w:val="clear" w:color="DEEBF6" w:fill="DEEBF6"/>
      </w:tcPr>
    </w:tblStylePr>
    <w:tblStylePr w:type="band2Horz"/>
    <w:tblStylePr w:type="neCell"/>
    <w:tblStylePr w:type="nwCell"/>
    <w:tblStylePr w:type="seCell"/>
    <w:tblStylePr w:type="swCell"/>
  </w:style>
  <w:style w:type="table" w:customStyle="1" w:styleId="65">
    <w:name w:val="Grid Table 4 - Accent 2"/>
    <w:basedOn w:val="26"/>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6">
    <w:name w:val="Grid Table 4 - Accent 3"/>
    <w:basedOn w:val="26"/>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7">
    <w:name w:val="Grid Table 4 - Accent 4"/>
    <w:basedOn w:val="26"/>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fill="FFD864"/>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8">
    <w:name w:val="Grid Table 4 - Accent 5"/>
    <w:basedOn w:val="26"/>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9">
    <w:name w:val="Grid Table 4 - Accent 6"/>
    <w:basedOn w:val="26"/>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70">
    <w:name w:val="Grid Table 5 Dark"/>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fill="000000"/>
      </w:tcPr>
    </w:tblStylePr>
    <w:tblStylePr w:type="lastRow">
      <w:rPr>
        <w:rFonts w:ascii="Arial" w:hAnsi="Arial"/>
        <w:b/>
        <w:color w:val="FFFFFF"/>
        <w:sz w:val="22"/>
      </w:rPr>
      <w:tcPr>
        <w:tcBorders>
          <w:top w:val="single" w:color="FFFFFF" w:themeColor="light1" w:sz="4" w:space="0"/>
        </w:tcBorders>
        <w:shd w:val="clear" w:color="000000" w:fill="000000"/>
      </w:tcPr>
    </w:tblStylePr>
    <w:tblStylePr w:type="firstCol">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band1Vert">
      <w:tcPr>
        <w:shd w:val="clear" w:color="898989" w:fill="898989"/>
      </w:tcPr>
    </w:tblStylePr>
    <w:tblStylePr w:type="band2Vert"/>
    <w:tblStylePr w:type="band1Horz">
      <w:tcPr>
        <w:shd w:val="clear" w:color="898989" w:fill="898989"/>
      </w:tcPr>
    </w:tblStylePr>
    <w:tblStylePr w:type="band2Horz"/>
    <w:tblStylePr w:type="neCell"/>
    <w:tblStylePr w:type="nwCell"/>
    <w:tblStylePr w:type="seCell"/>
    <w:tblStylePr w:type="swCell"/>
  </w:style>
  <w:style w:type="table" w:customStyle="1" w:styleId="71">
    <w:name w:val="Grid Table 5 Dark- Accent 1"/>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fill="5B9BD5"/>
      </w:tcPr>
    </w:tblStylePr>
    <w:tblStylePr w:type="lastRow">
      <w:rPr>
        <w:rFonts w:ascii="Arial" w:hAnsi="Arial"/>
        <w:b/>
        <w:color w:val="FFFFFF"/>
        <w:sz w:val="22"/>
      </w:rPr>
      <w:tcPr>
        <w:tcBorders>
          <w:top w:val="single" w:color="FFFFFF" w:themeColor="light1" w:sz="4" w:space="0"/>
        </w:tcBorders>
        <w:shd w:val="clear" w:color="5B9BD5" w:fill="5B9BD5"/>
      </w:tcPr>
    </w:tblStylePr>
    <w:tblStylePr w:type="firstCol">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band1Vert">
      <w:tcPr>
        <w:shd w:val="clear" w:color="B3D1EB" w:fill="B3D1EB"/>
      </w:tcPr>
    </w:tblStylePr>
    <w:tblStylePr w:type="band2Vert"/>
    <w:tblStylePr w:type="band1Horz">
      <w:tcPr>
        <w:shd w:val="clear" w:color="B3D1EB" w:fill="B3D1EB"/>
      </w:tcPr>
    </w:tblStylePr>
    <w:tblStylePr w:type="band2Horz"/>
    <w:tblStylePr w:type="neCell"/>
    <w:tblStylePr w:type="nwCell"/>
    <w:tblStylePr w:type="seCell"/>
    <w:tblStylePr w:type="swCell"/>
  </w:style>
  <w:style w:type="table" w:customStyle="1" w:styleId="72">
    <w:name w:val="Grid Table 5 Dark - Accent 2"/>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fill="ED7D31"/>
      </w:tcPr>
    </w:tblStylePr>
    <w:tblStylePr w:type="lastRow">
      <w:rPr>
        <w:rFonts w:ascii="Arial" w:hAnsi="Arial"/>
        <w:b/>
        <w:color w:val="FFFFFF"/>
        <w:sz w:val="22"/>
      </w:rPr>
      <w:tcPr>
        <w:tcBorders>
          <w:top w:val="single" w:color="FFFFFF" w:themeColor="light1" w:sz="4" w:space="0"/>
        </w:tcBorders>
        <w:shd w:val="clear" w:color="ED7D31" w:fill="ED7D31"/>
      </w:tcPr>
    </w:tblStylePr>
    <w:tblStylePr w:type="firstCol">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band1Vert">
      <w:tcPr>
        <w:shd w:val="clear" w:color="F6C3A0" w:fill="F6C3A0"/>
      </w:tcPr>
    </w:tblStylePr>
    <w:tblStylePr w:type="band2Vert"/>
    <w:tblStylePr w:type="band1Horz">
      <w:tcPr>
        <w:shd w:val="clear" w:color="F6C3A0" w:fill="F6C3A0"/>
      </w:tcPr>
    </w:tblStylePr>
    <w:tblStylePr w:type="band2Horz"/>
    <w:tblStylePr w:type="neCell"/>
    <w:tblStylePr w:type="nwCell"/>
    <w:tblStylePr w:type="seCell"/>
    <w:tblStylePr w:type="swCell"/>
  </w:style>
  <w:style w:type="table" w:customStyle="1" w:styleId="73">
    <w:name w:val="Grid Table 5 Dark - Accent 3"/>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fill="A5A5A5"/>
      </w:tcPr>
    </w:tblStylePr>
    <w:tblStylePr w:type="lastRow">
      <w:rPr>
        <w:rFonts w:ascii="Arial" w:hAnsi="Arial"/>
        <w:b/>
        <w:color w:val="FFFFFF"/>
        <w:sz w:val="22"/>
      </w:rPr>
      <w:tcPr>
        <w:tcBorders>
          <w:top w:val="single" w:color="FFFFFF" w:themeColor="light1" w:sz="4" w:space="0"/>
        </w:tcBorders>
        <w:shd w:val="clear" w:color="A5A5A5" w:fill="A5A5A5"/>
      </w:tcPr>
    </w:tblStylePr>
    <w:tblStylePr w:type="firstCol">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band1Vert">
      <w:tcPr>
        <w:shd w:val="clear" w:color="D5D5D5" w:fill="D5D5D5"/>
      </w:tcPr>
    </w:tblStylePr>
    <w:tblStylePr w:type="band2Vert"/>
    <w:tblStylePr w:type="band1Horz">
      <w:tcPr>
        <w:shd w:val="clear" w:color="D5D5D5" w:fill="D5D5D5"/>
      </w:tcPr>
    </w:tblStylePr>
    <w:tblStylePr w:type="band2Horz"/>
    <w:tblStylePr w:type="neCell"/>
    <w:tblStylePr w:type="nwCell"/>
    <w:tblStylePr w:type="seCell"/>
    <w:tblStylePr w:type="swCell"/>
  </w:style>
  <w:style w:type="table" w:customStyle="1" w:styleId="74">
    <w:name w:val="Grid Table 5 Dark- Accent 4"/>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fill="FFC000"/>
      </w:tcPr>
    </w:tblStylePr>
    <w:tblStylePr w:type="lastRow">
      <w:rPr>
        <w:rFonts w:ascii="Arial" w:hAnsi="Arial"/>
        <w:b/>
        <w:color w:val="FFFFFF"/>
        <w:sz w:val="22"/>
      </w:rPr>
      <w:tcPr>
        <w:tcBorders>
          <w:top w:val="single" w:color="FFFFFF" w:themeColor="light1" w:sz="4" w:space="0"/>
        </w:tcBorders>
        <w:shd w:val="clear" w:color="FFC000" w:fill="FFC000"/>
      </w:tcPr>
    </w:tblStylePr>
    <w:tblStylePr w:type="firstCol">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band1Vert">
      <w:tcPr>
        <w:shd w:val="clear" w:color="FEE289" w:fill="FEE289"/>
      </w:tcPr>
    </w:tblStylePr>
    <w:tblStylePr w:type="band2Vert"/>
    <w:tblStylePr w:type="band1Horz">
      <w:tcPr>
        <w:shd w:val="clear" w:color="FEE289" w:fill="FEE289"/>
      </w:tcPr>
    </w:tblStylePr>
    <w:tblStylePr w:type="band2Horz"/>
    <w:tblStylePr w:type="neCell"/>
    <w:tblStylePr w:type="nwCell"/>
    <w:tblStylePr w:type="seCell"/>
    <w:tblStylePr w:type="swCell"/>
  </w:style>
  <w:style w:type="table" w:customStyle="1" w:styleId="75">
    <w:name w:val="Grid Table 5 Dark - Accent 5"/>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fill="4472C4"/>
      </w:tcPr>
    </w:tblStylePr>
    <w:tblStylePr w:type="lastRow">
      <w:rPr>
        <w:rFonts w:ascii="Arial" w:hAnsi="Arial"/>
        <w:b/>
        <w:color w:val="FFFFFF"/>
        <w:sz w:val="22"/>
      </w:rPr>
      <w:tcPr>
        <w:tcBorders>
          <w:top w:val="single" w:color="FFFFFF" w:themeColor="light1" w:sz="4" w:space="0"/>
        </w:tcBorders>
        <w:shd w:val="clear" w:color="4472C4" w:fill="4472C4"/>
      </w:tcPr>
    </w:tblStylePr>
    <w:tblStylePr w:type="firstCol">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band1Vert">
      <w:tcPr>
        <w:shd w:val="clear" w:color="A9BEE3" w:fill="A9BEE3"/>
      </w:tcPr>
    </w:tblStylePr>
    <w:tblStylePr w:type="band2Vert"/>
    <w:tblStylePr w:type="band1Horz">
      <w:tcPr>
        <w:shd w:val="clear" w:color="A9BEE3" w:fill="A9BEE3"/>
      </w:tcPr>
    </w:tblStylePr>
    <w:tblStylePr w:type="band2Horz"/>
    <w:tblStylePr w:type="neCell"/>
    <w:tblStylePr w:type="nwCell"/>
    <w:tblStylePr w:type="seCell"/>
    <w:tblStylePr w:type="swCell"/>
  </w:style>
  <w:style w:type="table" w:customStyle="1" w:styleId="76">
    <w:name w:val="Grid Table 5 Dark - Accent 6"/>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fill="70AD47"/>
      </w:tcPr>
    </w:tblStylePr>
    <w:tblStylePr w:type="lastRow">
      <w:rPr>
        <w:rFonts w:ascii="Arial" w:hAnsi="Arial"/>
        <w:b/>
        <w:color w:val="FFFFFF"/>
        <w:sz w:val="22"/>
      </w:rPr>
      <w:tcPr>
        <w:tcBorders>
          <w:top w:val="single" w:color="FFFFFF" w:themeColor="light1" w:sz="4" w:space="0"/>
        </w:tcBorders>
        <w:shd w:val="clear" w:color="70AD47" w:fill="70AD47"/>
      </w:tcPr>
    </w:tblStylePr>
    <w:tblStylePr w:type="firstCol">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band1Vert">
      <w:tcPr>
        <w:shd w:val="clear" w:color="BCDBA8" w:fill="BCDBA8"/>
      </w:tcPr>
    </w:tblStylePr>
    <w:tblStylePr w:type="band2Vert"/>
    <w:tblStylePr w:type="band1Horz">
      <w:tcPr>
        <w:shd w:val="clear" w:color="BCDBA8" w:fill="BCDBA8"/>
      </w:tcPr>
    </w:tblStylePr>
    <w:tblStylePr w:type="band2Horz"/>
    <w:tblStylePr w:type="neCell"/>
    <w:tblStylePr w:type="nwCell"/>
    <w:tblStylePr w:type="seCell"/>
    <w:tblStylePr w:type="swCell"/>
  </w:style>
  <w:style w:type="table" w:customStyle="1" w:styleId="77">
    <w:name w:val="Grid Table 6 Colorful"/>
    <w:basedOn w:val="26"/>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fill="CACACA"/>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fill="CACACA"/>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6 Colorful - Accent 1"/>
    <w:basedOn w:val="26"/>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6 Colorful - Accent 3"/>
    <w:basedOn w:val="26"/>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6 Colorful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6 Colorful - Accent 5"/>
    <w:basedOn w:val="26"/>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6 Colorful - Accent 6"/>
    <w:basedOn w:val="26"/>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fill="E1EFD8"/>
      </w:tcPr>
    </w:tblStylePr>
    <w:tblStylePr w:type="band2Vert"/>
    <w:tblStylePr w:type="band1Horz">
      <w:rPr>
        <w:rFonts w:ascii="Arial" w:hAnsi="Arial"/>
        <w:color w:val="254174" w:themeColor="accent5" w:themeShade="94"/>
        <w:sz w:val="22"/>
      </w:rPr>
      <w:tcPr>
        <w:shd w:val="clear" w:color="E1EFD8" w:fill="E1EFD8"/>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7 Colorful"/>
    <w:basedOn w:val="26"/>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fill="F1F1F1"/>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fill="F1F1F1"/>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5">
    <w:name w:val="Grid Table 7 Colorful - Accent 1"/>
    <w:basedOn w:val="26"/>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2"/>
    <w:basedOn w:val="26"/>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7">
    <w:name w:val="Grid Table 7 Colorful - Accent 3"/>
    <w:basedOn w:val="26"/>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8">
    <w:name w:val="Grid Table 7 Colorful - Accent 4"/>
    <w:basedOn w:val="26"/>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9">
    <w:name w:val="Grid Table 7 Colorful - Accent 5"/>
    <w:basedOn w:val="26"/>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0">
    <w:name w:val="Grid Table 7 Colorful - Accent 6"/>
    <w:basedOn w:val="26"/>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fill="E1EFD8"/>
      </w:tcPr>
    </w:tblStylePr>
    <w:tblStylePr w:type="band2Vert"/>
    <w:tblStylePr w:type="band1Horz">
      <w:rPr>
        <w:rFonts w:ascii="Arial" w:hAnsi="Arial"/>
        <w:color w:val="416429" w:themeColor="accent6" w:themeShade="94"/>
        <w:sz w:val="22"/>
      </w:rPr>
      <w:tcPr>
        <w:shd w:val="clear" w:color="E1EFD8" w:fill="E1EFD8"/>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1">
    <w:name w:val="List Table 1 Light"/>
    <w:basedOn w:val="26"/>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fill="BEBEBE"/>
      </w:tcPr>
    </w:tblStylePr>
    <w:tblStylePr w:type="band2Vert"/>
    <w:tblStylePr w:type="band1Horz">
      <w:tcPr>
        <w:shd w:val="clear" w:color="BEBEBE" w:fill="BEBEBE"/>
      </w:tcPr>
    </w:tblStylePr>
    <w:tblStylePr w:type="band2Horz"/>
    <w:tblStylePr w:type="neCell"/>
    <w:tblStylePr w:type="nwCell"/>
    <w:tblStylePr w:type="seCell"/>
    <w:tblStylePr w:type="swCell"/>
  </w:style>
  <w:style w:type="table" w:customStyle="1" w:styleId="92">
    <w:name w:val="List Table 1 Light - Accent 1"/>
    <w:basedOn w:val="26"/>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fill="D5E5F4"/>
      </w:tcPr>
    </w:tblStylePr>
    <w:tblStylePr w:type="band2Vert"/>
    <w:tblStylePr w:type="band1Horz">
      <w:tcPr>
        <w:shd w:val="clear" w:color="D5E5F4" w:fill="D5E5F4"/>
      </w:tcPr>
    </w:tblStylePr>
    <w:tblStylePr w:type="band2Horz"/>
    <w:tblStylePr w:type="neCell"/>
    <w:tblStylePr w:type="nwCell"/>
    <w:tblStylePr w:type="seCell"/>
    <w:tblStylePr w:type="swCell"/>
  </w:style>
  <w:style w:type="table" w:customStyle="1" w:styleId="93">
    <w:name w:val="List Table 1 Light - Accent 2"/>
    <w:basedOn w:val="26"/>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fill="FADECB"/>
      </w:tcPr>
    </w:tblStylePr>
    <w:tblStylePr w:type="band2Vert"/>
    <w:tblStylePr w:type="band1Horz">
      <w:tcPr>
        <w:shd w:val="clear" w:color="FADECB" w:fill="FADECB"/>
      </w:tcPr>
    </w:tblStylePr>
    <w:tblStylePr w:type="band2Horz"/>
    <w:tblStylePr w:type="neCell"/>
    <w:tblStylePr w:type="nwCell"/>
    <w:tblStylePr w:type="seCell"/>
    <w:tblStylePr w:type="swCell"/>
  </w:style>
  <w:style w:type="table" w:customStyle="1" w:styleId="94">
    <w:name w:val="List Table 1 Light - Accent 3"/>
    <w:basedOn w:val="26"/>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fill="E8E8E8"/>
      </w:tcPr>
    </w:tblStylePr>
    <w:tblStylePr w:type="band2Vert"/>
    <w:tblStylePr w:type="band1Horz">
      <w:tcPr>
        <w:shd w:val="clear" w:color="E8E8E8" w:fill="E8E8E8"/>
      </w:tcPr>
    </w:tblStylePr>
    <w:tblStylePr w:type="band2Horz"/>
    <w:tblStylePr w:type="neCell"/>
    <w:tblStylePr w:type="nwCell"/>
    <w:tblStylePr w:type="seCell"/>
    <w:tblStylePr w:type="swCell"/>
  </w:style>
  <w:style w:type="table" w:customStyle="1" w:styleId="95">
    <w:name w:val="List Table 1 Light - Accent 4"/>
    <w:basedOn w:val="26"/>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fill="FFEFBE"/>
      </w:tcPr>
    </w:tblStylePr>
    <w:tblStylePr w:type="band2Vert"/>
    <w:tblStylePr w:type="band1Horz">
      <w:tcPr>
        <w:shd w:val="clear" w:color="FFEFBE" w:fill="FFEFBE"/>
      </w:tcPr>
    </w:tblStylePr>
    <w:tblStylePr w:type="band2Horz"/>
    <w:tblStylePr w:type="neCell"/>
    <w:tblStylePr w:type="nwCell"/>
    <w:tblStylePr w:type="seCell"/>
    <w:tblStylePr w:type="swCell"/>
  </w:style>
  <w:style w:type="table" w:customStyle="1" w:styleId="96">
    <w:name w:val="List Table 1 Light - Accent 5"/>
    <w:basedOn w:val="26"/>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fill="D0DBF0"/>
      </w:tcPr>
    </w:tblStylePr>
    <w:tblStylePr w:type="band2Vert"/>
    <w:tblStylePr w:type="band1Horz">
      <w:tcPr>
        <w:shd w:val="clear" w:color="D0DBF0" w:fill="D0DBF0"/>
      </w:tcPr>
    </w:tblStylePr>
    <w:tblStylePr w:type="band2Horz"/>
    <w:tblStylePr w:type="neCell"/>
    <w:tblStylePr w:type="nwCell"/>
    <w:tblStylePr w:type="seCell"/>
    <w:tblStylePr w:type="swCell"/>
  </w:style>
  <w:style w:type="table" w:customStyle="1" w:styleId="97">
    <w:name w:val="List Table 1 Light - Accent 6"/>
    <w:basedOn w:val="26"/>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fill="DAEBCF"/>
      </w:tcPr>
    </w:tblStylePr>
    <w:tblStylePr w:type="band2Vert"/>
    <w:tblStylePr w:type="band1Horz">
      <w:tcPr>
        <w:shd w:val="clear" w:color="DAEBCF" w:fill="DAEBCF"/>
      </w:tcPr>
    </w:tblStylePr>
    <w:tblStylePr w:type="band2Horz"/>
    <w:tblStylePr w:type="neCell"/>
    <w:tblStylePr w:type="nwCell"/>
    <w:tblStylePr w:type="seCell"/>
    <w:tblStylePr w:type="swCell"/>
  </w:style>
  <w:style w:type="table" w:customStyle="1" w:styleId="98">
    <w:name w:val="List Table 2"/>
    <w:basedOn w:val="26"/>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99">
    <w:name w:val="List Table 2 - Accent 1"/>
    <w:basedOn w:val="26"/>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00">
    <w:name w:val="List Table 2 - Accent 2"/>
    <w:basedOn w:val="26"/>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01">
    <w:name w:val="List Table 2 - Accent 3"/>
    <w:basedOn w:val="26"/>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02">
    <w:name w:val="List Table 2 - Accent 4"/>
    <w:basedOn w:val="26"/>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03">
    <w:name w:val="List Table 2 - Accent 5"/>
    <w:basedOn w:val="26"/>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04">
    <w:name w:val="List Table 2 - Accent 6"/>
    <w:basedOn w:val="26"/>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05">
    <w:name w:val="List Table 3"/>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6">
    <w:name w:val="List Table 3 - Accent 1"/>
    <w:basedOn w:val="26"/>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7">
    <w:name w:val="List Table 3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8">
    <w:name w:val="List Table 3 - Accent 3"/>
    <w:basedOn w:val="26"/>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9">
    <w:name w:val="List Table 3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fill="FFD86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0">
    <w:name w:val="List Table 3 - Accent 5"/>
    <w:basedOn w:val="26"/>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fill="8E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1">
    <w:name w:val="List Table 3 - Accent 6"/>
    <w:basedOn w:val="26"/>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2">
    <w:name w:val="List Table 4"/>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13">
    <w:name w:val="List Table 4 - Accent 1"/>
    <w:basedOn w:val="26"/>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14">
    <w:name w:val="List Table 4 - Accent 2"/>
    <w:basedOn w:val="26"/>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15">
    <w:name w:val="List Table 4 - Accent 3"/>
    <w:basedOn w:val="26"/>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16">
    <w:name w:val="List Table 4 - Accent 4"/>
    <w:basedOn w:val="26"/>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17">
    <w:name w:val="List Table 4 - Accent 5"/>
    <w:basedOn w:val="26"/>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18">
    <w:name w:val="List Table 4 - Accent 6"/>
    <w:basedOn w:val="26"/>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19">
    <w:name w:val="List Table 5 Dark"/>
    <w:basedOn w:val="26"/>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fill="7E7E7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fill="7E7E7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fill="7E7E7E"/>
      </w:tcPr>
    </w:tblStylePr>
    <w:tblStylePr w:type="band2Horz">
      <w:tcPr>
        <w:tcBorders>
          <w:top w:val="single" w:color="FFFFFF" w:themeColor="light1" w:sz="4" w:space="0"/>
          <w:bottom w:val="single" w:color="FFFFFF" w:themeColor="light1" w:sz="4" w:space="0"/>
        </w:tcBorders>
        <w:shd w:val="clear" w:color="7E7E7E" w:fill="7E7E7E"/>
      </w:tcPr>
    </w:tblStylePr>
    <w:tblStylePr w:type="neCell"/>
    <w:tblStylePr w:type="nwCell"/>
    <w:tblStylePr w:type="seCell"/>
    <w:tblStylePr w:type="swCell"/>
  </w:style>
  <w:style w:type="table" w:customStyle="1" w:styleId="120">
    <w:name w:val="List Table 5 Dark - Accent 1"/>
    <w:basedOn w:val="26"/>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fill="5B9BD5"/>
      </w:tcPr>
    </w:tblStylePr>
    <w:tblStylePr w:type="band2Horz">
      <w:tcPr>
        <w:tcBorders>
          <w:top w:val="single" w:color="FFFFFF" w:themeColor="light1" w:sz="4" w:space="0"/>
          <w:bottom w:val="single" w:color="FFFFFF" w:themeColor="light1" w:sz="4" w:space="0"/>
        </w:tcBorders>
        <w:shd w:val="clear" w:color="5B9BD5" w:fill="5B9BD5"/>
      </w:tcPr>
    </w:tblStylePr>
    <w:tblStylePr w:type="neCell"/>
    <w:tblStylePr w:type="nwCell"/>
    <w:tblStylePr w:type="seCell"/>
    <w:tblStylePr w:type="swCell"/>
  </w:style>
  <w:style w:type="table" w:customStyle="1" w:styleId="121">
    <w:name w:val="List Table 5 Dark - Accent 2"/>
    <w:basedOn w:val="26"/>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fill="F4B285"/>
      </w:tcPr>
    </w:tblStylePr>
    <w:tblStylePr w:type="band2Horz">
      <w:tcPr>
        <w:tcBorders>
          <w:top w:val="single" w:color="FFFFFF" w:themeColor="light1" w:sz="4" w:space="0"/>
          <w:bottom w:val="single" w:color="FFFFFF" w:themeColor="light1" w:sz="4" w:space="0"/>
        </w:tcBorders>
        <w:shd w:val="clear" w:color="F4B285" w:fill="F4B285"/>
      </w:tcPr>
    </w:tblStylePr>
    <w:tblStylePr w:type="neCell"/>
    <w:tblStylePr w:type="nwCell"/>
    <w:tblStylePr w:type="seCell"/>
    <w:tblStylePr w:type="swCell"/>
  </w:style>
  <w:style w:type="table" w:customStyle="1" w:styleId="122">
    <w:name w:val="List Table 5 Dark - Accent 3"/>
    <w:basedOn w:val="26"/>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fill="C9C9C9"/>
      </w:tcPr>
    </w:tblStylePr>
    <w:tblStylePr w:type="band2Horz">
      <w:tcPr>
        <w:tcBorders>
          <w:top w:val="single" w:color="FFFFFF" w:themeColor="light1" w:sz="4" w:space="0"/>
          <w:bottom w:val="single" w:color="FFFFFF" w:themeColor="light1" w:sz="4" w:space="0"/>
        </w:tcBorders>
        <w:shd w:val="clear" w:color="C9C9C9" w:fill="C9C9C9"/>
      </w:tcPr>
    </w:tblStylePr>
    <w:tblStylePr w:type="neCell"/>
    <w:tblStylePr w:type="nwCell"/>
    <w:tblStylePr w:type="seCell"/>
    <w:tblStylePr w:type="swCell"/>
  </w:style>
  <w:style w:type="table" w:customStyle="1" w:styleId="123">
    <w:name w:val="List Table 5 Dark - Accent 4"/>
    <w:basedOn w:val="26"/>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fill="FFD864"/>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fill="FFD864"/>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fill="FFD864"/>
      </w:tcPr>
    </w:tblStylePr>
    <w:tblStylePr w:type="band2Horz">
      <w:tcPr>
        <w:tcBorders>
          <w:top w:val="single" w:color="FFFFFF" w:themeColor="light1" w:sz="4" w:space="0"/>
          <w:bottom w:val="single" w:color="FFFFFF" w:themeColor="light1" w:sz="4" w:space="0"/>
        </w:tcBorders>
        <w:shd w:val="clear" w:color="FFD864" w:fill="FFD864"/>
      </w:tcPr>
    </w:tblStylePr>
    <w:tblStylePr w:type="neCell"/>
    <w:tblStylePr w:type="nwCell"/>
    <w:tblStylePr w:type="seCell"/>
    <w:tblStylePr w:type="swCell"/>
  </w:style>
  <w:style w:type="table" w:customStyle="1" w:styleId="124">
    <w:name w:val="List Table 5 Dark - Accent 5"/>
    <w:basedOn w:val="26"/>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fill="8EA9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fill="8EA9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fill="8EA9DB"/>
      </w:tcPr>
    </w:tblStylePr>
    <w:tblStylePr w:type="band2Horz">
      <w:tcPr>
        <w:tcBorders>
          <w:top w:val="single" w:color="FFFFFF" w:themeColor="light1" w:sz="4" w:space="0"/>
          <w:bottom w:val="single" w:color="FFFFFF" w:themeColor="light1" w:sz="4" w:space="0"/>
        </w:tcBorders>
        <w:shd w:val="clear" w:color="8EA9DB" w:fill="8EA9DB"/>
      </w:tcPr>
    </w:tblStylePr>
    <w:tblStylePr w:type="neCell"/>
    <w:tblStylePr w:type="nwCell"/>
    <w:tblStylePr w:type="seCell"/>
    <w:tblStylePr w:type="swCell"/>
  </w:style>
  <w:style w:type="table" w:customStyle="1" w:styleId="125">
    <w:name w:val="List Table 5 Dark - Accent 6"/>
    <w:basedOn w:val="26"/>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fill="A9D08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fill="A9D08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fill="A9D08E"/>
      </w:tcPr>
    </w:tblStylePr>
    <w:tblStylePr w:type="band2Horz">
      <w:tcPr>
        <w:tcBorders>
          <w:top w:val="single" w:color="FFFFFF" w:themeColor="light1" w:sz="4" w:space="0"/>
          <w:bottom w:val="single" w:color="FFFFFF" w:themeColor="light1" w:sz="4" w:space="0"/>
        </w:tcBorders>
        <w:shd w:val="clear" w:color="A9D08E" w:fill="A9D08E"/>
      </w:tcPr>
    </w:tblStylePr>
    <w:tblStylePr w:type="neCell"/>
    <w:tblStylePr w:type="nwCell"/>
    <w:tblStylePr w:type="seCell"/>
    <w:tblStylePr w:type="swCell"/>
  </w:style>
  <w:style w:type="table" w:customStyle="1" w:styleId="126">
    <w:name w:val="List Table 6 Colorful"/>
    <w:basedOn w:val="26"/>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fill="BEBEBE"/>
      </w:tcPr>
    </w:tblStylePr>
    <w:tblStylePr w:type="band2Vert"/>
    <w:tblStylePr w:type="band1Horz">
      <w:rPr>
        <w:rFonts w:ascii="Arial" w:hAnsi="Arial"/>
        <w:color w:val="000000" w:themeColor="text1"/>
        <w:sz w:val="22"/>
        <w14:textFill>
          <w14:solidFill>
            <w14:schemeClr w14:val="tx1"/>
          </w14:solidFill>
        </w14:textFill>
      </w:rPr>
      <w:tcPr>
        <w:shd w:val="clear" w:color="BEBEBE" w:fill="BEBEBE"/>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7">
    <w:name w:val="List Table 6 Colorful - Accent 1"/>
    <w:basedOn w:val="26"/>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6 Colorful - Accent 2"/>
    <w:basedOn w:val="26"/>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6 Colorful - Accent 3"/>
    <w:basedOn w:val="26"/>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4"/>
    <w:basedOn w:val="26"/>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5"/>
    <w:basedOn w:val="26"/>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6"/>
    <w:basedOn w:val="26"/>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st Table 7 Colorful"/>
    <w:basedOn w:val="26"/>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fill="BEBEBE"/>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fill="BEBEBE"/>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4">
    <w:name w:val="List Table 7 Colorful - Accent 1"/>
    <w:basedOn w:val="26"/>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5">
    <w:name w:val="List Table 7 Colorful - Accent 2"/>
    <w:basedOn w:val="26"/>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6">
    <w:name w:val="List Table 7 Colorful - Accent 3"/>
    <w:basedOn w:val="26"/>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4"/>
    <w:basedOn w:val="26"/>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5"/>
    <w:basedOn w:val="26"/>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6"/>
    <w:basedOn w:val="26"/>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0">
    <w:name w:val="Lined - Accent"/>
    <w:basedOn w:val="26"/>
    <w:qFormat/>
    <w:uiPriority w:val="99"/>
    <w:pPr>
      <w:spacing w:after="0" w:line="240" w:lineRule="auto"/>
    </w:pPr>
    <w:rPr>
      <w:color w:val="404040"/>
    </w:r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1">
    <w:name w:val="Lined - Accent 1"/>
    <w:basedOn w:val="26"/>
    <w:qFormat/>
    <w:uiPriority w:val="99"/>
    <w:pPr>
      <w:spacing w:after="0" w:line="240" w:lineRule="auto"/>
    </w:pPr>
    <w:rPr>
      <w:color w:val="404040"/>
    </w:r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2">
    <w:name w:val="Lined - Accent 2"/>
    <w:basedOn w:val="26"/>
    <w:qFormat/>
    <w:uiPriority w:val="99"/>
    <w:pPr>
      <w:spacing w:after="0" w:line="240" w:lineRule="auto"/>
    </w:pPr>
    <w:rPr>
      <w:color w:val="404040"/>
    </w:r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43">
    <w:name w:val="Lined - Accent 3"/>
    <w:basedOn w:val="26"/>
    <w:qFormat/>
    <w:uiPriority w:val="99"/>
    <w:pPr>
      <w:spacing w:after="0" w:line="240" w:lineRule="auto"/>
    </w:pPr>
    <w:rPr>
      <w:color w:val="404040"/>
    </w:r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44">
    <w:name w:val="Lined - Accent 4"/>
    <w:basedOn w:val="26"/>
    <w:qFormat/>
    <w:uiPriority w:val="99"/>
    <w:pPr>
      <w:spacing w:after="0" w:line="240" w:lineRule="auto"/>
    </w:pPr>
    <w:rPr>
      <w:color w:val="404040"/>
    </w:r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45">
    <w:name w:val="Lined - Accent 5"/>
    <w:basedOn w:val="26"/>
    <w:qFormat/>
    <w:uiPriority w:val="99"/>
    <w:pPr>
      <w:spacing w:after="0" w:line="240" w:lineRule="auto"/>
    </w:pPr>
    <w:rPr>
      <w:color w:val="404040"/>
    </w:r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46">
    <w:name w:val="Lined - Accent 6"/>
    <w:basedOn w:val="26"/>
    <w:qFormat/>
    <w:uiPriority w:val="99"/>
    <w:pPr>
      <w:spacing w:after="0" w:line="240" w:lineRule="auto"/>
    </w:pPr>
    <w:rPr>
      <w:color w:val="404040"/>
    </w:r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47">
    <w:name w:val="Bordered &amp; Lined - Accent"/>
    <w:basedOn w:val="26"/>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8">
    <w:name w:val="Bordered &amp; Lined - Accent 1"/>
    <w:basedOn w:val="26"/>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9">
    <w:name w:val="Bordered &amp; Lined - Accent 2"/>
    <w:basedOn w:val="26"/>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50">
    <w:name w:val="Bordered &amp; Lined - Accent 3"/>
    <w:basedOn w:val="26"/>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51">
    <w:name w:val="Bordered &amp; Lined - Accent 4"/>
    <w:basedOn w:val="26"/>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52">
    <w:name w:val="Bordered &amp; Lined - Accent 5"/>
    <w:basedOn w:val="26"/>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53">
    <w:name w:val="Bordered &amp; Lined - Accent 6"/>
    <w:basedOn w:val="26"/>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54">
    <w:name w:val="Bordered"/>
    <w:basedOn w:val="26"/>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5">
    <w:name w:val="Bordered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6">
    <w:name w:val="Bordered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7">
    <w:name w:val="Bordered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8">
    <w:name w:val="Bordered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9">
    <w:name w:val="Bordered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0">
    <w:name w:val="Bordered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1">
    <w:name w:val="Heading 1 Char"/>
    <w:basedOn w:val="28"/>
    <w:qFormat/>
    <w:uiPriority w:val="9"/>
    <w:rPr>
      <w:rFonts w:ascii="Arial" w:hAnsi="Arial" w:eastAsia="Arial" w:cs="Arial"/>
      <w:color w:val="2E75B6" w:themeColor="accent1" w:themeShade="BF"/>
      <w:sz w:val="40"/>
      <w:szCs w:val="40"/>
    </w:rPr>
  </w:style>
  <w:style w:type="character" w:customStyle="1" w:styleId="162">
    <w:name w:val="Heading 2 Char"/>
    <w:basedOn w:val="28"/>
    <w:qFormat/>
    <w:uiPriority w:val="9"/>
    <w:rPr>
      <w:rFonts w:ascii="Arial" w:hAnsi="Arial" w:eastAsia="Arial" w:cs="Arial"/>
      <w:color w:val="2E75B6" w:themeColor="accent1" w:themeShade="BF"/>
      <w:sz w:val="32"/>
      <w:szCs w:val="32"/>
    </w:rPr>
  </w:style>
  <w:style w:type="character" w:customStyle="1" w:styleId="163">
    <w:name w:val="Heading 3 Char"/>
    <w:basedOn w:val="28"/>
    <w:qFormat/>
    <w:uiPriority w:val="9"/>
    <w:rPr>
      <w:rFonts w:ascii="Arial" w:hAnsi="Arial" w:eastAsia="Arial" w:cs="Arial"/>
      <w:color w:val="2E75B6" w:themeColor="accent1" w:themeShade="BF"/>
      <w:sz w:val="28"/>
      <w:szCs w:val="28"/>
    </w:rPr>
  </w:style>
  <w:style w:type="character" w:customStyle="1" w:styleId="164">
    <w:name w:val="Heading 4 Char"/>
    <w:basedOn w:val="28"/>
    <w:link w:val="6"/>
    <w:qFormat/>
    <w:uiPriority w:val="9"/>
    <w:rPr>
      <w:rFonts w:ascii="Arial" w:hAnsi="Arial" w:eastAsia="Arial" w:cs="Arial"/>
      <w:i/>
      <w:iCs/>
      <w:color w:val="2E75B6" w:themeColor="accent1" w:themeShade="BF"/>
    </w:rPr>
  </w:style>
  <w:style w:type="character" w:customStyle="1" w:styleId="165">
    <w:name w:val="Heading 5 Char"/>
    <w:basedOn w:val="28"/>
    <w:link w:val="7"/>
    <w:qFormat/>
    <w:uiPriority w:val="9"/>
    <w:rPr>
      <w:rFonts w:ascii="Arial" w:hAnsi="Arial" w:eastAsia="Arial" w:cs="Arial"/>
      <w:color w:val="2E75B6" w:themeColor="accent1" w:themeShade="BF"/>
    </w:rPr>
  </w:style>
  <w:style w:type="character" w:customStyle="1" w:styleId="166">
    <w:name w:val="Heading 6 Char"/>
    <w:basedOn w:val="28"/>
    <w:link w:val="8"/>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7">
    <w:name w:val="Heading 7 Char"/>
    <w:basedOn w:val="28"/>
    <w:link w:val="9"/>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8">
    <w:name w:val="Heading 8 Char"/>
    <w:basedOn w:val="28"/>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9">
    <w:name w:val="Heading 9 Char"/>
    <w:basedOn w:val="28"/>
    <w:link w:val="11"/>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Title Char"/>
    <w:basedOn w:val="28"/>
    <w:qFormat/>
    <w:uiPriority w:val="10"/>
    <w:rPr>
      <w:rFonts w:ascii="Arial" w:hAnsi="Arial" w:eastAsia="Arial" w:cs="Arial"/>
      <w:spacing w:val="-10"/>
      <w:sz w:val="56"/>
      <w:szCs w:val="56"/>
    </w:rPr>
  </w:style>
  <w:style w:type="character" w:customStyle="1" w:styleId="171">
    <w:name w:val="Subtitle Char"/>
    <w:basedOn w:val="28"/>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2">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28"/>
    <w:qFormat/>
    <w:uiPriority w:val="29"/>
    <w:rPr>
      <w:i/>
      <w:iCs/>
      <w:color w:val="404040" w:themeColor="text1" w:themeTint="BF"/>
      <w14:textFill>
        <w14:solidFill>
          <w14:schemeClr w14:val="tx1">
            <w14:lumMod w14:val="75000"/>
            <w14:lumOff w14:val="25000"/>
          </w14:schemeClr>
        </w14:solidFill>
      </w14:textFill>
    </w:rPr>
  </w:style>
  <w:style w:type="character" w:customStyle="1" w:styleId="174">
    <w:name w:val="Intense Emphasis"/>
    <w:basedOn w:val="28"/>
    <w:qFormat/>
    <w:uiPriority w:val="21"/>
    <w:rPr>
      <w:i/>
      <w:iCs/>
      <w:color w:val="2E75B6" w:themeColor="accent1" w:themeShade="BF"/>
    </w:rPr>
  </w:style>
  <w:style w:type="paragraph" w:styleId="175">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6">
    <w:name w:val="Intense Quote Char"/>
    <w:basedOn w:val="28"/>
    <w:qFormat/>
    <w:uiPriority w:val="30"/>
    <w:rPr>
      <w:i/>
      <w:iCs/>
      <w:color w:val="2E75B6" w:themeColor="accent1" w:themeShade="BF"/>
    </w:rPr>
  </w:style>
  <w:style w:type="character" w:customStyle="1" w:styleId="177">
    <w:name w:val="Intense Reference"/>
    <w:basedOn w:val="28"/>
    <w:qFormat/>
    <w:uiPriority w:val="32"/>
    <w:rPr>
      <w:b/>
      <w:bCs/>
      <w:smallCaps/>
      <w:color w:val="2E75B6" w:themeColor="accent1" w:themeShade="BF"/>
      <w:spacing w:val="5"/>
    </w:rPr>
  </w:style>
  <w:style w:type="paragraph" w:styleId="178">
    <w:name w:val="No Spacing"/>
    <w:basedOn w:val="1"/>
    <w:qFormat/>
    <w:uiPriority w:val="1"/>
    <w:pPr>
      <w:spacing w:after="0" w:line="240" w:lineRule="auto"/>
    </w:pPr>
  </w:style>
  <w:style w:type="character" w:customStyle="1" w:styleId="179">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180">
    <w:name w:val="Subtle Reference"/>
    <w:basedOn w:val="28"/>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1">
    <w:name w:val="Book Title"/>
    <w:basedOn w:val="28"/>
    <w:qFormat/>
    <w:uiPriority w:val="33"/>
    <w:rPr>
      <w:b/>
      <w:bCs/>
      <w:i/>
      <w:iCs/>
      <w:spacing w:val="5"/>
    </w:rPr>
  </w:style>
  <w:style w:type="character" w:customStyle="1" w:styleId="182">
    <w:name w:val="Header Char"/>
    <w:basedOn w:val="28"/>
    <w:qFormat/>
    <w:uiPriority w:val="99"/>
  </w:style>
  <w:style w:type="character" w:customStyle="1" w:styleId="183">
    <w:name w:val="Footer Char"/>
    <w:basedOn w:val="28"/>
    <w:qFormat/>
    <w:uiPriority w:val="99"/>
  </w:style>
  <w:style w:type="character" w:customStyle="1" w:styleId="184">
    <w:name w:val="Footnote Text Char"/>
    <w:basedOn w:val="28"/>
    <w:semiHidden/>
    <w:qFormat/>
    <w:uiPriority w:val="99"/>
    <w:rPr>
      <w:sz w:val="20"/>
      <w:szCs w:val="20"/>
    </w:rPr>
  </w:style>
  <w:style w:type="character" w:customStyle="1" w:styleId="185">
    <w:name w:val="Endnote Text Char"/>
    <w:basedOn w:val="28"/>
    <w:semiHidden/>
    <w:qFormat/>
    <w:uiPriority w:val="99"/>
    <w:rPr>
      <w:sz w:val="20"/>
      <w:szCs w:val="20"/>
    </w:rPr>
  </w:style>
  <w:style w:type="paragraph" w:customStyle="1" w:styleId="186">
    <w:name w:val="TOC Heading"/>
    <w:unhideWhenUsed/>
    <w:qFormat/>
    <w:uiPriority w:val="39"/>
    <w:rPr>
      <w:rFonts w:hint="default" w:ascii="Times New Roman" w:hAnsi="Times New Roman" w:eastAsia="宋体" w:cs="Times New Roman"/>
    </w:rPr>
  </w:style>
  <w:style w:type="character" w:customStyle="1" w:styleId="187">
    <w:name w:val="标题 1 Char"/>
    <w:link w:val="3"/>
    <w:qFormat/>
    <w:uiPriority w:val="1"/>
    <w:rPr>
      <w:rFonts w:ascii="黑体" w:hAnsi="Times New Roman" w:eastAsia="黑体" w:cs="Times New Roman"/>
      <w:b/>
      <w:bCs/>
      <w:sz w:val="36"/>
      <w:szCs w:val="36"/>
    </w:rPr>
  </w:style>
  <w:style w:type="character" w:customStyle="1" w:styleId="188">
    <w:name w:val="标题 2 Char"/>
    <w:link w:val="4"/>
    <w:qFormat/>
    <w:uiPriority w:val="9"/>
    <w:rPr>
      <w:rFonts w:ascii="Cambria" w:hAnsi="Cambria" w:eastAsia="宋体" w:cs="Times New Roman"/>
      <w:b/>
      <w:bCs/>
      <w:sz w:val="32"/>
      <w:szCs w:val="32"/>
    </w:rPr>
  </w:style>
  <w:style w:type="character" w:customStyle="1" w:styleId="189">
    <w:name w:val="标题 3 Char"/>
    <w:link w:val="5"/>
    <w:qFormat/>
    <w:uiPriority w:val="1"/>
    <w:rPr>
      <w:rFonts w:ascii="宋体" w:hAnsi="Times New Roman" w:eastAsia="宋体" w:cs="Times New Roman"/>
      <w:b/>
      <w:bCs/>
      <w:sz w:val="20"/>
      <w:szCs w:val="21"/>
    </w:rPr>
  </w:style>
  <w:style w:type="character" w:customStyle="1" w:styleId="190">
    <w:name w:val="批注文字 Char"/>
    <w:qFormat/>
    <w:uiPriority w:val="99"/>
    <w:rPr>
      <w:rFonts w:ascii="Times New Roman" w:hAnsi="Times New Roman" w:eastAsia="宋体" w:cs="Times New Roman"/>
    </w:rPr>
  </w:style>
  <w:style w:type="character" w:customStyle="1" w:styleId="191">
    <w:name w:val="正文文本 Char"/>
    <w:qFormat/>
    <w:uiPriority w:val="1"/>
    <w:rPr>
      <w:rFonts w:ascii="宋体" w:hAnsi="Times New Roman" w:eastAsia="宋体" w:cs="Times New Roman"/>
      <w:sz w:val="20"/>
      <w:szCs w:val="21"/>
    </w:rPr>
  </w:style>
  <w:style w:type="character" w:customStyle="1" w:styleId="192">
    <w:name w:val="日期 Char"/>
    <w:basedOn w:val="28"/>
    <w:semiHidden/>
    <w:qFormat/>
    <w:uiPriority w:val="99"/>
    <w:rPr>
      <w:rFonts w:ascii="Times New Roman" w:hAnsi="Times New Roman" w:eastAsia="宋体" w:cs="Times New Roman"/>
    </w:rPr>
  </w:style>
  <w:style w:type="character" w:customStyle="1" w:styleId="193">
    <w:name w:val="批注框文本 Char"/>
    <w:semiHidden/>
    <w:qFormat/>
    <w:uiPriority w:val="99"/>
    <w:rPr>
      <w:rFonts w:ascii="Times New Roman" w:hAnsi="Times New Roman" w:eastAsia="宋体" w:cs="Times New Roman"/>
      <w:sz w:val="18"/>
      <w:szCs w:val="18"/>
    </w:rPr>
  </w:style>
  <w:style w:type="character" w:customStyle="1" w:styleId="194">
    <w:name w:val="页脚 Char"/>
    <w:qFormat/>
    <w:uiPriority w:val="99"/>
    <w:rPr>
      <w:rFonts w:ascii="Times New Roman" w:hAnsi="Times New Roman" w:eastAsia="宋体" w:cs="Times New Roman"/>
      <w:sz w:val="18"/>
      <w:szCs w:val="18"/>
    </w:rPr>
  </w:style>
  <w:style w:type="character" w:customStyle="1" w:styleId="195">
    <w:name w:val="页眉 Char"/>
    <w:qFormat/>
    <w:uiPriority w:val="99"/>
    <w:rPr>
      <w:rFonts w:ascii="Times New Roman" w:hAnsi="Times New Roman" w:eastAsia="宋体" w:cs="Times New Roman"/>
      <w:sz w:val="18"/>
      <w:szCs w:val="18"/>
    </w:rPr>
  </w:style>
  <w:style w:type="character" w:customStyle="1" w:styleId="196">
    <w:name w:val="脚注文本 Char"/>
    <w:link w:val="25"/>
    <w:semiHidden/>
    <w:qFormat/>
    <w:uiPriority w:val="99"/>
    <w:rPr>
      <w:rFonts w:ascii="Times New Roman" w:hAnsi="Times New Roman" w:eastAsia="宋体" w:cs="Times New Roman"/>
      <w:sz w:val="18"/>
      <w:szCs w:val="18"/>
    </w:rPr>
  </w:style>
  <w:style w:type="character" w:customStyle="1" w:styleId="197">
    <w:name w:val="批注主题 Char"/>
    <w:semiHidden/>
    <w:qFormat/>
    <w:uiPriority w:val="99"/>
    <w:rPr>
      <w:rFonts w:ascii="Times New Roman" w:hAnsi="Times New Roman" w:eastAsia="宋体" w:cs="Times New Roman"/>
      <w:b/>
      <w:bCs/>
    </w:rPr>
  </w:style>
  <w:style w:type="paragraph" w:customStyle="1" w:styleId="198">
    <w:name w:val="Table Paragraph"/>
    <w:basedOn w:val="1"/>
    <w:qFormat/>
    <w:uiPriority w:val="1"/>
    <w:pPr>
      <w:jc w:val="left"/>
    </w:pPr>
    <w:rPr>
      <w:rFonts w:ascii="Times New Roman" w:hAnsi="Times New Roman" w:cs="Times New Roman"/>
      <w:sz w:val="24"/>
      <w:szCs w:val="24"/>
    </w:rPr>
  </w:style>
  <w:style w:type="paragraph" w:customStyle="1" w:styleId="199">
    <w:name w:val="Default"/>
    <w:qFormat/>
    <w:uiPriority w:val="0"/>
    <w:pPr>
      <w:widowControl w:val="0"/>
    </w:pPr>
    <w:rPr>
      <w:rFonts w:hint="default" w:ascii="宋体" w:hAnsi="宋体" w:eastAsia="宋体" w:cs="宋体"/>
      <w:color w:val="000000"/>
      <w:sz w:val="24"/>
      <w:szCs w:val="24"/>
      <w:lang w:val="en-US" w:eastAsia="zh-CN" w:bidi="ar-SA"/>
    </w:rPr>
  </w:style>
  <w:style w:type="paragraph" w:customStyle="1" w:styleId="200">
    <w:name w:val="_Style 34"/>
    <w:semiHidden/>
    <w:qFormat/>
    <w:uiPriority w:val="99"/>
    <w:rPr>
      <w:rFonts w:hint="default" w:ascii="Times New Roman" w:hAnsi="Times New Roman" w:eastAsia="宋体" w:cs="Times New Roman"/>
      <w:sz w:val="21"/>
      <w:szCs w:val="22"/>
      <w:lang w:val="en-US" w:eastAsia="zh-CN" w:bidi="ar-SA"/>
    </w:rPr>
  </w:style>
  <w:style w:type="paragraph" w:styleId="201">
    <w:name w:val="List Paragraph"/>
    <w:basedOn w:val="1"/>
    <w:qFormat/>
    <w:uiPriority w:val="72"/>
    <w:pPr>
      <w:ind w:firstLine="420"/>
    </w:pPr>
  </w:style>
  <w:style w:type="character" w:customStyle="1" w:styleId="202">
    <w:name w:val="脚注文本 字符"/>
    <w:semiHidden/>
    <w:qFormat/>
    <w:uiPriority w:val="99"/>
    <w:rPr>
      <w:rFonts w:ascii="Times New Roman" w:hAnsi="Times New Roman" w:eastAsia="宋体" w:cs="Times New Roman"/>
      <w:sz w:val="18"/>
      <w:szCs w:val="18"/>
    </w:rPr>
  </w:style>
  <w:style w:type="paragraph" w:customStyle="1" w:styleId="203">
    <w:name w:val="_Style 37"/>
    <w:semiHidden/>
    <w:qFormat/>
    <w:uiPriority w:val="99"/>
    <w:rPr>
      <w:rFonts w:hint="default"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5C677E69E4DC455CAAF988C1F54A5156</vt:lpwstr>
  </property>
</Properties>
</file>

<file path=customXml/item2.xml><?xml version="1.0" encoding="utf-8"?>
<cp:coreProperties xmlns:cp="http://schemas.openxmlformats.org/package/2006/metadata/core-properties" xmlns:dc="http://purl.org/dc/elements/1.1/" xmlns:dcterms="http://purl.org/dc/terms/" xmlns:xsi="http://www.w3.org/2001/XMLSchema-instance">
  <dcterms:created xsi:type="dcterms:W3CDTF">2023-08-18T03:19:00Z</dcterms:created>
  <dc:creator>孙伯略</dc:creator>
  <cp:lastModifiedBy>匿名用户</cp:lastModifiedBy>
  <dcterms:modified xsi:type="dcterms:W3CDTF">2026-06-05T02:30:19Z</dcterms:modified>
  <cp:revision>7</cp:revision>
</cp:coreProperties>
</file>

<file path=customXml/item3.xml><?xml version="1.0" encoding="utf-8"?>
<Properties xmlns="http://schemas.openxmlformats.org/officeDocument/2006/extended-properties" xmlns:vt="http://schemas.openxmlformats.org/officeDocument/2006/docPropsVTypes">
  <Application>onlyoffice/8.1.3.4</Application>
  <DocSecurity>0</DocSecurity>
  <LinksUpToDate>false</LinksUpToDate>
  <ScaleCrop>false</ScaleCrop>
  <Template>Normal.dotm</Template>
</Properties>
</file>

<file path=customXml/itemProps1.xml><?xml version="1.0" encoding="utf-8"?>
<ds:datastoreItem xmlns:ds="http://schemas.openxmlformats.org/officeDocument/2006/customXml" ds:itemID="{a53505fe-62fa-4caf-a933-a1ab1fe09dbb}">
  <ds:schemaRefs/>
</ds:datastoreItem>
</file>

<file path=customXml/itemProps2.xml><?xml version="1.0" encoding="utf-8"?>
<ds:datastoreItem xmlns:ds="http://schemas.openxmlformats.org/officeDocument/2006/customXml" ds:itemID="{dbb931a5-832f-4e4b-afe8-55969ed68a91}">
  <ds:schemaRefs/>
</ds:datastoreItem>
</file>

<file path=customXml/itemProps3.xml><?xml version="1.0" encoding="utf-8"?>
<ds:datastoreItem xmlns:ds="http://schemas.openxmlformats.org/officeDocument/2006/customXml" ds:itemID="{299da6f6-e21c-40d2-a1a8-c649e581bed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2023-08-18T03:19:00Z</dcterms:created>
  <dc:creator>孙伯略</dc:creator>
  <cp:lastModifiedBy>sylc</cp:lastModifiedBy>
  <dcterms:modified xsi:type="dcterms:W3CDTF">2026-06-11T06:40:06Z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6E083D9DA9D140E09A237CC20E4A26E2</vt:lpwstr>
  </property>
</Properties>
</file>