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“苏银理财恒源</w:t>
      </w:r>
      <w:r>
        <w:rPr>
          <w:rFonts w:hint="eastAsia" w:ascii="楷体" w:hAnsi="楷体" w:eastAsia="楷体"/>
          <w:b/>
          <w:color w:val="auto"/>
          <w:sz w:val="28"/>
          <w:szCs w:val="28"/>
          <w:lang w:eastAsia="zh-CN"/>
        </w:rPr>
        <w:t>封闭债权314期</w:t>
      </w:r>
      <w:r>
        <w:rPr>
          <w:rFonts w:hint="eastAsia" w:ascii="楷体" w:hAnsi="楷体" w:eastAsia="楷体"/>
          <w:b/>
          <w:color w:val="auto"/>
          <w:sz w:val="28"/>
          <w:szCs w:val="28"/>
        </w:rPr>
        <w:t>优选2年</w:t>
      </w:r>
      <w:r>
        <w:rPr>
          <w:rFonts w:hint="eastAsia" w:ascii="楷体" w:hAnsi="楷体" w:eastAsia="楷体"/>
          <w:b/>
          <w:color w:val="auto"/>
          <w:sz w:val="28"/>
          <w:szCs w:val="28"/>
          <w:highlight w:val="none"/>
        </w:rPr>
        <w:t>”理财产品说明书</w:t>
      </w:r>
    </w:p>
    <w:p>
      <w:pPr>
        <w:pStyle w:val="23"/>
        <w:pageBreakBefore w:val="0"/>
        <w:spacing w:before="0" w:beforeAutospacing="0" w:after="0" w:afterAutospacing="0" w:line="240" w:lineRule="auto"/>
        <w:jc w:val="center"/>
        <w:rPr>
          <w:rFonts w:hint="eastAsia" w:ascii="楷体" w:hAnsi="楷体" w:eastAsia="楷体" w:cs="宋体"/>
          <w:b/>
          <w:color w:val="auto"/>
          <w:sz w:val="24"/>
          <w:szCs w:val="24"/>
          <w:highlight w:val="none"/>
        </w:rPr>
      </w:pPr>
      <w:r>
        <w:rPr>
          <w:rFonts w:hint="eastAsia" w:ascii="楷体" w:hAnsi="楷体" w:eastAsia="楷体" w:cs="Times New Roman"/>
          <w:sz w:val="21"/>
          <w:szCs w:val="21"/>
          <w:highlight w:val="none"/>
          <w:lang w:val="en-US" w:eastAsia="zh-CN" w:bidi="ar-SA"/>
        </w:rPr>
        <w:t>2026年7月版</w:t>
      </w:r>
    </w:p>
    <w:p>
      <w:pPr>
        <w:jc w:val="center"/>
        <w:rPr>
          <w:rFonts w:hint="eastAsia" w:ascii="楷体" w:hAnsi="楷体" w:eastAsia="楷体"/>
          <w:b/>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苏银理财恒源封闭债权314期优选2年</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2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1701" w:type="dxa"/>
            <w:noWrap w:val="0"/>
            <w:vAlign w:val="center"/>
          </w:tcPr>
          <w:p>
            <w:pPr>
              <w:pStyle w:val="198"/>
              <w:keepNext w:val="0"/>
              <w:keepLines w:val="0"/>
              <w:pageBreakBefore w:val="0"/>
              <w:widowControl w:val="0"/>
              <w:bidi w:val="0"/>
              <w:spacing w:before="0" w:line="0" w:lineRule="atLeast"/>
              <w:ind w:left="0" w:leftChars="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leftChars="0" w:right="0" w:rightChars="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苏银理财恒源封闭债权314期优选2年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 w:hRule="atLeast"/>
          <w:jc w:val="center"/>
        </w:trPr>
        <w:tc>
          <w:tcPr>
            <w:tcW w:w="1701" w:type="dxa"/>
            <w:noWrap w:val="0"/>
            <w:vAlign w:val="center"/>
          </w:tcPr>
          <w:p>
            <w:pPr>
              <w:pStyle w:val="198"/>
              <w:keepNext w:val="0"/>
              <w:keepLines w:val="0"/>
              <w:pageBreakBefore w:val="0"/>
              <w:widowControl w:val="0"/>
              <w:bidi w:val="0"/>
              <w:spacing w:line="0" w:lineRule="atLeast"/>
              <w:ind w:left="0" w:leftChars="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leftChars="0" w:right="0" w:rightChars="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Z7003126000248，投资者可依据该编码在中国理财网www.chinawealth.com.cn查询产品信息。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leftChars="0" w:right="0" w:rightChars="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A份额：苏银理财恒源封闭债权314期优选2年A/J22485</w:t>
            </w:r>
          </w:p>
          <w:p>
            <w:pPr>
              <w:pStyle w:val="198"/>
              <w:keepNext w:val="0"/>
              <w:keepLines w:val="0"/>
              <w:pageBreakBefore w:val="0"/>
              <w:bidi w:val="0"/>
              <w:spacing w:line="0" w:lineRule="atLeast"/>
              <w:ind w:left="0" w:leftChars="0" w:right="0" w:rightChars="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B份额：苏银理财恒源封闭债权314期优选2年B/J22486</w:t>
            </w:r>
          </w:p>
          <w:p>
            <w:pPr>
              <w:pStyle w:val="198"/>
              <w:keepNext w:val="0"/>
              <w:keepLines w:val="0"/>
              <w:pageBreakBefore w:val="0"/>
              <w:bidi w:val="0"/>
              <w:spacing w:line="0" w:lineRule="atLeast"/>
              <w:ind w:left="0" w:leftChars="0" w:right="0" w:rightChars="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C份额：苏银理财恒源封闭债权314期优选2年C/J22487</w:t>
            </w:r>
          </w:p>
          <w:p>
            <w:pPr>
              <w:pStyle w:val="198"/>
              <w:keepNext w:val="0"/>
              <w:keepLines w:val="0"/>
              <w:pageBreakBefore w:val="0"/>
              <w:bidi w:val="0"/>
              <w:spacing w:line="0" w:lineRule="atLeast"/>
              <w:ind w:left="0" w:leftChars="0" w:right="0" w:rightChars="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D份额：苏银理财恒源封闭债权314期优选2年D/J22488</w:t>
            </w:r>
          </w:p>
          <w:p>
            <w:pPr>
              <w:pStyle w:val="198"/>
              <w:keepNext w:val="0"/>
              <w:keepLines w:val="0"/>
              <w:pageBreakBefore w:val="0"/>
              <w:bidi w:val="0"/>
              <w:spacing w:line="0" w:lineRule="atLeast"/>
              <w:ind w:left="0" w:leftChars="0" w:right="0" w:rightChars="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E份额：苏银理财恒源封闭债权314期优选2年E/J22489</w:t>
            </w:r>
          </w:p>
          <w:p>
            <w:pPr>
              <w:pStyle w:val="198"/>
              <w:keepNext w:val="0"/>
              <w:keepLines w:val="0"/>
              <w:pageBreakBefore w:val="0"/>
              <w:bidi w:val="0"/>
              <w:spacing w:line="0" w:lineRule="atLeast"/>
              <w:ind w:left="0" w:leftChars="0" w:right="0" w:rightChars="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F份额：苏银理财恒源封闭债权314期优选2年F/J22490</w:t>
            </w:r>
          </w:p>
          <w:p>
            <w:pPr>
              <w:pStyle w:val="198"/>
              <w:keepNext w:val="0"/>
              <w:keepLines w:val="0"/>
              <w:pageBreakBefore w:val="0"/>
              <w:bidi w:val="0"/>
              <w:spacing w:line="0" w:lineRule="atLeast"/>
              <w:ind w:left="0" w:leftChars="0" w:right="0" w:rightChars="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H份额：苏银理财恒源封闭债权314期优选2年H/J22491</w:t>
            </w:r>
          </w:p>
          <w:p>
            <w:pPr>
              <w:pStyle w:val="198"/>
              <w:keepNext w:val="0"/>
              <w:keepLines w:val="0"/>
              <w:pageBreakBefore w:val="0"/>
              <w:bidi w:val="0"/>
              <w:spacing w:line="0" w:lineRule="atLeast"/>
              <w:ind w:left="0" w:leftChars="0" w:right="0" w:rightChars="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J份额：苏银理财恒源封闭债权314期优选2年J/J22492</w:t>
            </w:r>
          </w:p>
          <w:p>
            <w:pPr>
              <w:pStyle w:val="198"/>
              <w:keepNext w:val="0"/>
              <w:keepLines w:val="0"/>
              <w:pageBreakBefore w:val="0"/>
              <w:bidi w:val="0"/>
              <w:spacing w:line="0" w:lineRule="atLeast"/>
              <w:ind w:left="0" w:leftChars="0" w:right="0" w:rightChars="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K份额：苏银理财恒源封闭债权314期优选2年K/J22493</w:t>
            </w:r>
          </w:p>
          <w:p>
            <w:pPr>
              <w:pStyle w:val="198"/>
              <w:keepNext w:val="0"/>
              <w:keepLines w:val="0"/>
              <w:pageBreakBefore w:val="0"/>
              <w:bidi w:val="0"/>
              <w:spacing w:line="0" w:lineRule="atLeast"/>
              <w:ind w:left="0" w:leftChars="0" w:right="0" w:rightChars="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L份额：苏银理财恒源封闭债权314期优选2年L/J22494</w:t>
            </w:r>
          </w:p>
          <w:p>
            <w:pPr>
              <w:pStyle w:val="198"/>
              <w:keepNext w:val="0"/>
              <w:keepLines w:val="0"/>
              <w:pageBreakBefore w:val="0"/>
              <w:bidi w:val="0"/>
              <w:spacing w:line="0" w:lineRule="atLeast"/>
              <w:ind w:left="0" w:leftChars="0" w:right="0" w:rightChars="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N份额：苏银理财恒源封闭债权314期优选2年N/J22495</w:t>
            </w:r>
          </w:p>
          <w:p>
            <w:pPr>
              <w:pStyle w:val="198"/>
              <w:keepNext w:val="0"/>
              <w:keepLines w:val="0"/>
              <w:pageBreakBefore w:val="0"/>
              <w:bidi w:val="0"/>
              <w:spacing w:line="0" w:lineRule="atLeast"/>
              <w:ind w:left="0" w:leftChars="0" w:right="0" w:rightChars="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P份额：苏银理财恒源封闭债权314期优选2年P/J22496</w:t>
            </w:r>
          </w:p>
          <w:p>
            <w:pPr>
              <w:pStyle w:val="198"/>
              <w:keepNext w:val="0"/>
              <w:keepLines w:val="0"/>
              <w:pageBreakBefore w:val="0"/>
              <w:bidi w:val="0"/>
              <w:spacing w:line="0" w:lineRule="atLeast"/>
              <w:ind w:left="0" w:leftChars="0" w:right="0" w:rightChars="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Z份额：苏银理财恒源封闭债权314期优选2年Z/J22497</w:t>
            </w:r>
          </w:p>
          <w:p>
            <w:pPr>
              <w:pStyle w:val="198"/>
              <w:keepNext w:val="0"/>
              <w:keepLines w:val="0"/>
              <w:pageBreakBefore w:val="0"/>
              <w:bidi w:val="0"/>
              <w:spacing w:line="0" w:lineRule="atLeast"/>
              <w:ind w:left="0" w:leftChars="0" w:right="0" w:rightChars="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JS份额：苏银理财恒源封闭债权314期优选2年JS鑫福款/J22498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5"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leftChars="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leftChars="0" w:right="0" w:rightChars="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7" w:hRule="atLeast"/>
          <w:jc w:val="center"/>
        </w:trPr>
        <w:tc>
          <w:tcPr>
            <w:tcW w:w="1701" w:type="dxa"/>
            <w:noWrap w:val="0"/>
            <w:vAlign w:val="center"/>
          </w:tcPr>
          <w:p>
            <w:pPr>
              <w:pStyle w:val="198"/>
              <w:keepNext w:val="0"/>
              <w:keepLines w:val="0"/>
              <w:pageBreakBefore w:val="0"/>
              <w:widowControl w:val="0"/>
              <w:bidi w:val="0"/>
              <w:spacing w:before="0" w:line="0" w:lineRule="atLeast"/>
              <w:ind w:left="0" w:leftChars="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2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leftChars="0" w:right="0" w:rightChars="0" w:firstLine="0" w:firstLineChars="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 w:hRule="atLeast"/>
          <w:jc w:val="center"/>
        </w:trPr>
        <w:tc>
          <w:tcPr>
            <w:tcW w:w="1701" w:type="dxa"/>
            <w:noWrap w:val="0"/>
            <w:vAlign w:val="center"/>
          </w:tcPr>
          <w:p>
            <w:pPr>
              <w:pStyle w:val="198"/>
              <w:keepNext w:val="0"/>
              <w:keepLines w:val="0"/>
              <w:pageBreakBefore w:val="0"/>
              <w:widowControl w:val="0"/>
              <w:bidi w:val="0"/>
              <w:spacing w:before="0" w:line="0" w:lineRule="atLeast"/>
              <w:ind w:left="0" w:leftChars="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C份额：面向个人和机构投资者销售</w:t>
            </w:r>
            <w:r>
              <w:rPr>
                <w:rFonts w:hint="eastAsia" w:ascii="楷体" w:hAnsi="楷体" w:eastAsia="楷体" w:cs="楷体"/>
                <w:color w:val="auto"/>
                <w:spacing w:val="-2"/>
                <w:kern w:val="0"/>
                <w:sz w:val="18"/>
                <w:szCs w:val="18"/>
                <w:highlight w:val="none"/>
                <w:lang w:val="en-US" w:eastAsia="zh-CN" w:bidi="ar-SA"/>
              </w:rPr>
              <w:t>，销售机构江苏银行仅限新资金客户、新客户及代发工资客户，具体以销售机构系统设置为准。新资金的达标条件为“客户前一日资产时点余额”较“前一月末资产月日均余额”的新增额大于5万元；新客户是指首次购买理财产品的客户</w:t>
            </w:r>
            <w:r>
              <w:rPr>
                <w:rFonts w:hint="eastAsia" w:ascii="楷体" w:hAnsi="楷体" w:eastAsia="楷体" w:cs="宋体"/>
                <w:spacing w:val="-2"/>
                <w:sz w:val="18"/>
                <w:szCs w:val="18"/>
                <w:highlight w:val="none"/>
                <w:lang w:val="en-US" w:eastAsia="zh-CN"/>
              </w:rPr>
              <w:t>；</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E份额：面向个人和机构投资者销售</w:t>
            </w:r>
            <w:r>
              <w:rPr>
                <w:rFonts w:hint="eastAsia" w:ascii="楷体" w:hAnsi="楷体" w:eastAsia="楷体" w:cs="楷体"/>
                <w:color w:val="auto"/>
                <w:spacing w:val="-2"/>
                <w:kern w:val="0"/>
                <w:sz w:val="18"/>
                <w:szCs w:val="18"/>
                <w:highlight w:val="none"/>
                <w:lang w:val="en-US" w:eastAsia="zh-CN" w:bidi="ar-SA"/>
              </w:rPr>
              <w:t>，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r>
              <w:rPr>
                <w:rFonts w:hint="eastAsia" w:ascii="楷体" w:hAnsi="楷体" w:eastAsia="楷体" w:cs="宋体"/>
                <w:spacing w:val="-2"/>
                <w:sz w:val="18"/>
                <w:szCs w:val="18"/>
                <w:highlight w:val="none"/>
                <w:lang w:val="en-US" w:eastAsia="zh-CN"/>
              </w:rPr>
              <w:t>；</w:t>
            </w:r>
          </w:p>
          <w:p>
            <w:pPr>
              <w:pStyle w:val="198"/>
              <w:keepNext w:val="0"/>
              <w:keepLines w:val="0"/>
              <w:pageBreakBefore w:val="0"/>
              <w:widowControl w:val="0"/>
              <w:bidi w:val="0"/>
              <w:spacing w:before="0" w:line="0" w:lineRule="atLeast"/>
              <w:ind w:left="0" w:leftChars="0" w:right="0" w:rightChars="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F份额：面向个人和机构投资者销售；</w:t>
            </w:r>
          </w:p>
          <w:p>
            <w:pPr>
              <w:pStyle w:val="198"/>
              <w:keepNext w:val="0"/>
              <w:keepLines w:val="0"/>
              <w:pageBreakBefore w:val="0"/>
              <w:widowControl w:val="0"/>
              <w:bidi w:val="0"/>
              <w:spacing w:before="0" w:line="0" w:lineRule="atLeast"/>
              <w:ind w:left="0" w:leftChars="0" w:right="0" w:rightChars="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H份额：面向个人投资者销售；</w:t>
            </w:r>
          </w:p>
          <w:p>
            <w:pPr>
              <w:pStyle w:val="198"/>
              <w:keepNext w:val="0"/>
              <w:keepLines w:val="0"/>
              <w:pageBreakBefore w:val="0"/>
              <w:widowControl w:val="0"/>
              <w:bidi w:val="0"/>
              <w:spacing w:before="0" w:line="0" w:lineRule="atLeast"/>
              <w:ind w:left="0" w:leftChars="0" w:right="0" w:rightChars="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J份额：面向个人和机构投资者销售；</w:t>
            </w:r>
          </w:p>
          <w:p>
            <w:pPr>
              <w:pStyle w:val="198"/>
              <w:keepNext w:val="0"/>
              <w:keepLines w:val="0"/>
              <w:pageBreakBefore w:val="0"/>
              <w:widowControl w:val="0"/>
              <w:bidi w:val="0"/>
              <w:spacing w:before="0" w:line="0" w:lineRule="atLeast"/>
              <w:ind w:left="0" w:leftChars="0" w:right="0" w:rightChars="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K份额：面向个人和机构投资者销售；</w:t>
            </w:r>
          </w:p>
          <w:p>
            <w:pPr>
              <w:pStyle w:val="198"/>
              <w:keepNext w:val="0"/>
              <w:keepLines w:val="0"/>
              <w:pageBreakBefore w:val="0"/>
              <w:widowControl w:val="0"/>
              <w:bidi w:val="0"/>
              <w:spacing w:before="0" w:line="0" w:lineRule="atLeast"/>
              <w:ind w:left="0" w:leftChars="0" w:right="0" w:rightChars="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L份额：面向个人和机构投资者销售；</w:t>
            </w:r>
          </w:p>
          <w:p>
            <w:pPr>
              <w:pStyle w:val="198"/>
              <w:keepNext w:val="0"/>
              <w:keepLines w:val="0"/>
              <w:pageBreakBefore w:val="0"/>
              <w:widowControl w:val="0"/>
              <w:bidi w:val="0"/>
              <w:spacing w:before="0" w:line="0" w:lineRule="atLeast"/>
              <w:ind w:left="0" w:leftChars="0" w:right="0" w:rightChars="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N份额：面向个人和机构投资者销售；</w:t>
            </w:r>
          </w:p>
          <w:p>
            <w:pPr>
              <w:pStyle w:val="198"/>
              <w:keepNext w:val="0"/>
              <w:keepLines w:val="0"/>
              <w:pageBreakBefore w:val="0"/>
              <w:widowControl w:val="0"/>
              <w:bidi w:val="0"/>
              <w:spacing w:before="0" w:line="0" w:lineRule="atLeast"/>
              <w:ind w:left="0" w:leftChars="0" w:right="0" w:rightChars="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P份额：面向个人和机构投资者销售；</w:t>
            </w:r>
          </w:p>
          <w:p>
            <w:pPr>
              <w:pStyle w:val="198"/>
              <w:keepNext w:val="0"/>
              <w:keepLines w:val="0"/>
              <w:pageBreakBefore w:val="0"/>
              <w:widowControl w:val="0"/>
              <w:bidi w:val="0"/>
              <w:spacing w:before="0" w:line="0" w:lineRule="atLeast"/>
              <w:ind w:left="0" w:leftChars="0" w:right="0" w:rightChars="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Z份额：面向个人和机构投资者销售；</w:t>
            </w:r>
          </w:p>
          <w:p>
            <w:pPr>
              <w:pStyle w:val="198"/>
              <w:keepNext w:val="0"/>
              <w:keepLines w:val="0"/>
              <w:pageBreakBefore w:val="0"/>
              <w:widowControl w:val="0"/>
              <w:bidi w:val="0"/>
              <w:spacing w:before="0" w:line="0" w:lineRule="atLeast"/>
              <w:ind w:left="0" w:leftChars="0" w:right="0" w:rightChars="0"/>
              <w:jc w:val="both"/>
              <w:rPr>
                <w:rFonts w:hint="default"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rPr>
              <w:t>JS份额：面向个人和机构投资者销售。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198"/>
              <w:keepNext w:val="0"/>
              <w:keepLines w:val="0"/>
              <w:pageBreakBefore w:val="0"/>
              <w:widowControl w:val="0"/>
              <w:bidi w:val="0"/>
              <w:spacing w:before="0" w:line="0" w:lineRule="atLeast"/>
              <w:ind w:left="0" w:leftChars="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leftChars="0" w:right="0" w:rightChars="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 w:hRule="atLeast"/>
          <w:jc w:val="center"/>
        </w:trPr>
        <w:tc>
          <w:tcPr>
            <w:tcW w:w="1701" w:type="dxa"/>
            <w:noWrap w:val="0"/>
            <w:vAlign w:val="center"/>
          </w:tcPr>
          <w:p>
            <w:pPr>
              <w:pStyle w:val="198"/>
              <w:keepNext w:val="0"/>
              <w:keepLines w:val="0"/>
              <w:pageBreakBefore w:val="0"/>
              <w:widowControl w:val="0"/>
              <w:bidi w:val="0"/>
              <w:spacing w:before="0" w:line="0" w:lineRule="atLeast"/>
              <w:ind w:left="0" w:leftChars="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leftChars="0" w:right="0" w:rightChars="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198"/>
              <w:keepNext w:val="0"/>
              <w:keepLines w:val="0"/>
              <w:pageBreakBefore w:val="0"/>
              <w:widowControl w:val="0"/>
              <w:bidi w:val="0"/>
              <w:spacing w:before="0" w:line="0" w:lineRule="atLeast"/>
              <w:ind w:left="0" w:leftChars="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leftChars="0" w:right="0" w:rightChars="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jc w:val="center"/>
        </w:trPr>
        <w:tc>
          <w:tcPr>
            <w:tcW w:w="1701" w:type="dxa"/>
            <w:noWrap w:val="0"/>
            <w:vAlign w:val="center"/>
          </w:tcPr>
          <w:p>
            <w:pPr>
              <w:pStyle w:val="198"/>
              <w:keepNext w:val="0"/>
              <w:keepLines w:val="0"/>
              <w:pageBreakBefore w:val="0"/>
              <w:widowControl w:val="0"/>
              <w:bidi w:val="0"/>
              <w:spacing w:before="0" w:line="0" w:lineRule="atLeast"/>
              <w:ind w:left="0" w:leftChars="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leftChars="0" w:right="0" w:rightChars="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leftChars="0" w:right="0" w:rightChars="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A份额：1元/1元的整数倍；</w:t>
            </w:r>
          </w:p>
          <w:p>
            <w:pPr>
              <w:keepNext w:val="0"/>
              <w:keepLines w:val="0"/>
              <w:pageBreakBefore w:val="0"/>
              <w:bidi w:val="0"/>
              <w:spacing w:line="0" w:lineRule="atLeast"/>
              <w:ind w:left="0" w:leftChars="0" w:right="0" w:rightChars="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B份额：1元/1元的整数倍；</w:t>
            </w:r>
          </w:p>
          <w:p>
            <w:pPr>
              <w:keepNext w:val="0"/>
              <w:keepLines w:val="0"/>
              <w:pageBreakBefore w:val="0"/>
              <w:bidi w:val="0"/>
              <w:spacing w:line="0" w:lineRule="atLeast"/>
              <w:ind w:left="0" w:leftChars="0" w:right="0" w:rightChars="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C份额：10,000元/10,000元的整数倍；</w:t>
            </w:r>
          </w:p>
          <w:p>
            <w:pPr>
              <w:keepNext w:val="0"/>
              <w:keepLines w:val="0"/>
              <w:pageBreakBefore w:val="0"/>
              <w:bidi w:val="0"/>
              <w:spacing w:line="0" w:lineRule="atLeast"/>
              <w:ind w:left="0" w:leftChars="0" w:right="0" w:rightChars="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D份额：1元/1元的整数倍；</w:t>
            </w:r>
          </w:p>
          <w:p>
            <w:pPr>
              <w:keepNext w:val="0"/>
              <w:keepLines w:val="0"/>
              <w:pageBreakBefore w:val="0"/>
              <w:bidi w:val="0"/>
              <w:spacing w:line="0" w:lineRule="atLeast"/>
              <w:ind w:left="0" w:leftChars="0" w:right="0" w:rightChars="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E份额：300,000元/10,000元的整数倍；</w:t>
            </w:r>
          </w:p>
          <w:p>
            <w:pPr>
              <w:keepNext w:val="0"/>
              <w:keepLines w:val="0"/>
              <w:pageBreakBefore w:val="0"/>
              <w:bidi w:val="0"/>
              <w:spacing w:line="0" w:lineRule="atLeast"/>
              <w:ind w:left="0" w:leftChars="0" w:right="0" w:rightChars="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F份额：1元/1元的整数倍；</w:t>
            </w:r>
          </w:p>
          <w:p>
            <w:pPr>
              <w:keepNext w:val="0"/>
              <w:keepLines w:val="0"/>
              <w:pageBreakBefore w:val="0"/>
              <w:bidi w:val="0"/>
              <w:spacing w:line="0" w:lineRule="atLeast"/>
              <w:ind w:left="0" w:leftChars="0" w:right="0" w:rightChars="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H份额：10,000元/10,000元的整数倍；</w:t>
            </w:r>
          </w:p>
          <w:p>
            <w:pPr>
              <w:keepNext w:val="0"/>
              <w:keepLines w:val="0"/>
              <w:pageBreakBefore w:val="0"/>
              <w:bidi w:val="0"/>
              <w:spacing w:line="0" w:lineRule="atLeast"/>
              <w:ind w:left="0" w:leftChars="0" w:right="0" w:rightChars="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J份额：1元/1元的整数倍；</w:t>
            </w:r>
          </w:p>
          <w:p>
            <w:pPr>
              <w:keepNext w:val="0"/>
              <w:keepLines w:val="0"/>
              <w:pageBreakBefore w:val="0"/>
              <w:bidi w:val="0"/>
              <w:spacing w:line="0" w:lineRule="atLeast"/>
              <w:ind w:left="0" w:leftChars="0" w:right="0" w:rightChars="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K份额：1元/1元的整数倍；</w:t>
            </w:r>
          </w:p>
          <w:p>
            <w:pPr>
              <w:keepNext w:val="0"/>
              <w:keepLines w:val="0"/>
              <w:pageBreakBefore w:val="0"/>
              <w:bidi w:val="0"/>
              <w:spacing w:line="0" w:lineRule="atLeast"/>
              <w:ind w:left="0" w:leftChars="0" w:right="0" w:rightChars="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L份额：1元/1元的整数倍；</w:t>
            </w:r>
          </w:p>
          <w:p>
            <w:pPr>
              <w:keepNext w:val="0"/>
              <w:keepLines w:val="0"/>
              <w:pageBreakBefore w:val="0"/>
              <w:bidi w:val="0"/>
              <w:spacing w:line="0" w:lineRule="atLeast"/>
              <w:ind w:left="0" w:leftChars="0" w:right="0" w:rightChars="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N份额：1元/1元的整数倍；</w:t>
            </w:r>
          </w:p>
          <w:p>
            <w:pPr>
              <w:keepNext w:val="0"/>
              <w:keepLines w:val="0"/>
              <w:pageBreakBefore w:val="0"/>
              <w:bidi w:val="0"/>
              <w:spacing w:line="0" w:lineRule="atLeast"/>
              <w:ind w:left="0" w:leftChars="0" w:right="0" w:rightChars="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P份额：1元/1元的整数倍；</w:t>
            </w:r>
          </w:p>
          <w:p>
            <w:pPr>
              <w:keepNext w:val="0"/>
              <w:keepLines w:val="0"/>
              <w:pageBreakBefore w:val="0"/>
              <w:bidi w:val="0"/>
              <w:spacing w:line="0" w:lineRule="atLeast"/>
              <w:ind w:left="0" w:leftChars="0" w:right="0" w:rightChars="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Z份额：1元/1元的整数倍；</w:t>
            </w:r>
          </w:p>
          <w:p>
            <w:pPr>
              <w:keepNext w:val="0"/>
              <w:keepLines w:val="0"/>
              <w:pageBreakBefore w:val="0"/>
              <w:bidi w:val="0"/>
              <w:spacing w:line="0" w:lineRule="atLeast"/>
              <w:ind w:left="0" w:leftChars="0" w:right="0" w:rightChars="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JS份额：1元/1元的整数倍。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2026年7月2日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2026年7月8日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leftChars="0" w:right="0" w:rightChars="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leftChars="0" w:right="0" w:rightChars="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2026年7月9日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vAlign w:val="top"/>
          </w:tcPr>
          <w:p>
            <w:pPr>
              <w:pStyle w:val="198"/>
              <w:keepNext w:val="0"/>
              <w:keepLines w:val="0"/>
              <w:pageBreakBefore w:val="0"/>
              <w:widowControl w:val="0"/>
              <w:bidi w:val="0"/>
              <w:spacing w:line="0" w:lineRule="atLeast"/>
              <w:ind w:left="0" w:leftChars="0" w:right="0" w:rightChars="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2028年8月2日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 w:hRule="atLeast"/>
          <w:jc w:val="center"/>
        </w:trPr>
        <w:tc>
          <w:tcPr>
            <w:tcW w:w="1701" w:type="dxa"/>
            <w:noWrap w:val="0"/>
            <w:vAlign w:val="center"/>
          </w:tcPr>
          <w:p>
            <w:pPr>
              <w:pStyle w:val="198"/>
              <w:keepNext w:val="0"/>
              <w:keepLines w:val="0"/>
              <w:pageBreakBefore w:val="0"/>
              <w:widowControl w:val="0"/>
              <w:bidi w:val="0"/>
              <w:spacing w:before="0" w:line="0" w:lineRule="atLeast"/>
              <w:ind w:left="0" w:leftChars="0" w:right="0" w:rightChars="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leftChars="0" w:right="0" w:rightChars="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755天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701" w:type="dxa"/>
            <w:noWrap w:val="0"/>
            <w:vAlign w:val="center"/>
          </w:tcPr>
          <w:p>
            <w:pPr>
              <w:pStyle w:val="198"/>
              <w:keepNext w:val="0"/>
              <w:keepLines w:val="0"/>
              <w:pageBreakBefore w:val="0"/>
              <w:widowControl w:val="0"/>
              <w:bidi w:val="0"/>
              <w:spacing w:before="0" w:line="0" w:lineRule="atLeast"/>
              <w:ind w:left="0" w:leftChars="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leftChars="0" w:right="0" w:rightChars="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47"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leftChars="0" w:right="0" w:rightChars="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2.50%-2.90%；B份额：2.50%-2.90%；C份额：2.55%-2.95%；D份额：2.50%-2.90%；E份额：2.60%-3.00%；F份额：2.55%-2.95%；H份额：2.40%-2.80%；J份额：2.50%-2.90%；K份额：2.45%-2.85%；L份额：2.50%-2.90%；N份额：2.65%-3.05%；P份额：2.45%-2.85%；Z份额：2.65%-3.05%；JS份额：2.50%-2.90%。</w:t>
            </w:r>
          </w:p>
          <w:p>
            <w:pPr>
              <w:keepNext w:val="0"/>
              <w:keepLines w:val="0"/>
              <w:pageBreakBefore w:val="0"/>
              <w:widowControl w:val="0"/>
              <w:bidi w:val="0"/>
              <w:spacing w:line="0" w:lineRule="atLeast"/>
              <w:ind w:left="0" w:leftChars="0" w:right="0" w:rightChars="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198"/>
              <w:keepNext w:val="0"/>
              <w:keepLines w:val="0"/>
              <w:pageBreakBefore w:val="0"/>
              <w:widowControl w:val="0"/>
              <w:bidi w:val="0"/>
              <w:spacing w:before="0" w:line="0" w:lineRule="atLeast"/>
              <w:ind w:left="0" w:leftChars="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2.销售服务费率（年化）：A份额：0.20%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B份额：0.20%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C份额：0.20%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D份额：0.25%</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E份额：0.20%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F份额：0.20%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H份额：0.35%</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J份额：0.15%</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K份额：0.20%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L份额：0.30%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N份额：0.05%</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P份额：0.30%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Z份额：0.10%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JS份额：0.20%。其中D/H份额采用一次性提取模式，其他份额采用每日计提模式</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3.投资管理费率（年化）：A份额：0.20%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B份额：0.20%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C份额：0.15%</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D份额：0.15%</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E份额：0.10%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F份额：0.15%</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H份额：0.15%</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J份额：0.25%</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K份额：0.25%</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L份额：0.10%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N份额：0.20%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P份额：0.15%</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Z份额：0.15%</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JS份额：0.20%。</w:t>
            </w:r>
          </w:p>
          <w:p>
            <w:pPr>
              <w:keepNext w:val="0"/>
              <w:keepLines w:val="0"/>
              <w:pageBreakBefore w:val="0"/>
              <w:bidi w:val="0"/>
              <w:spacing w:line="0" w:lineRule="atLeast"/>
              <w:ind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4.超额业绩报酬</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如有）</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rPr>
              <w:t>若产品各份额实际投资收益在扣除托管费、销售服务费、投资管理费等费用后超过各份额业绩比较基准下限，产品管理人将按照超出部分的50%收取超额业绩报酬。</w:t>
            </w:r>
          </w:p>
          <w:p>
            <w:pPr>
              <w:keepNext w:val="0"/>
              <w:keepLines w:val="0"/>
              <w:pageBreakBefore w:val="0"/>
              <w:bidi w:val="0"/>
              <w:spacing w:line="0" w:lineRule="atLeast"/>
              <w:ind w:right="0" w:rightChars="0"/>
              <w:rPr>
                <w:rFonts w:ascii="楷体" w:hAnsi="楷体" w:eastAsia="楷体"/>
                <w:color w:val="auto"/>
                <w:sz w:val="18"/>
                <w:szCs w:val="18"/>
              </w:rPr>
            </w:pPr>
            <w:r>
              <w:rPr>
                <w:rFonts w:hint="eastAsia" w:ascii="楷体" w:hAnsi="楷体" w:eastAsia="楷体" w:cs="宋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lang w:val="en-US" w:eastAsia="zh-CN"/>
              </w:rPr>
              <w:t>收取</w:t>
            </w:r>
            <w:r>
              <w:rPr>
                <w:rFonts w:hint="eastAsia" w:ascii="楷体" w:hAnsi="楷体" w:eastAsia="楷体" w:cs="宋体"/>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leftChars="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leftChars="0" w:right="0" w:rightChars="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leftChars="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leftChars="0" w:right="0" w:rightChars="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lang w:val="en-US" w:eastAsia="zh-CN"/>
        </w:rPr>
        <w:t>三、</w:t>
      </w:r>
      <w:r>
        <w:rPr>
          <w:rFonts w:hint="eastAsia" w:ascii="楷体" w:hAnsi="楷体" w:eastAsia="楷体"/>
          <w:b/>
          <w:color w:val="auto"/>
          <w:szCs w:val="21"/>
          <w:highlight w:val="none"/>
        </w:rPr>
        <w:t>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A份额：江苏常熟农村商业银行股份有限公司/江苏高淳农村商业银行股份有限公司/江苏姜堰农村商业银行股份有限公司/江苏银行股份有限公司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B份额：徽商银行股份有限公司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D份额：宁波东海银行股份有限公司/宁波通商银行股份有限公司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E份额：江苏常熟农村商业银行股份有限公司/江苏银行股份有限公司/宁波通商银行股份有限公司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东营银行股份有限公司/甘肃银行股份有限公司/嘉兴银行股份有限公司/莱商银行股份有限公司/宁夏银行股份有限公司/齐鲁银行股份有限公司/秦皇岛银行股份有限公司/青岛银行股份有限公司/威海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杭州联合农村商业银行股份有限公司/湖州吴兴农村商业银行股份有限公司/浙江淳安农村商业银行股份有限公司/浙江德清农村商业银行股份有限公司/浙江杭州余杭农村商业银行股份有限公司/浙江禾城农村商业银行股份有限公司/浙江嘉善农村商业银行股份有限公司/浙江江山农村商业银行股份有限公司/浙江兰溪农村商业银行股份有限公司/浙江乐清农村商业银行股份有限公司/浙江平湖农村商业银行股份有限公司/浙江青田农村商业银行股份有限公司/浙江上虞农村商业银行股份有限公司/浙江绍兴瑞丰农村商业银行股份有限公司/浙江台州黄岩农村商业银行股份有限公司/浙江桐庐农村商业银行股份有限公司/浙江桐乡农村商业银行股份有限公司/浙江温州龙湾农村商业银行股份有限公司/浙江温州瓯海农村商业银行股份有限公司/浙江文成农村商业银行股份有限公司/浙江萧山农村商业银行股份有限公司/浙江永嘉农村商业银行股份有限公司/浙江永康农村商业银行股份有限公司/浙江舟山定海海洋农村商业银行股份有限公司/浙江舟山普陀农村商业银行股份有限公司/浙江岱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海宁农村商业银行股份有限公司/浙江海盐农村商业银行股份有限公司/浙江兰溪农村商业银行股份有限公司/浙江龙游农村商业银行股份有限公司/浙江平湖农村商业银行股份有限公司/浙江浦江农村商业银行股份有限公司/浙江绍兴恒信农村商业银行股份有限公司/浙江绍兴瑞丰农村商业银行股份有限公司/浙江桐庐农村商业银行股份有限公司/浙江武义农村商业银行股份有限公司/浙江新昌农村商业银行股份有限公司/浙江永康农村商业银行股份有限公司/浙江舟山定海海洋农村商业银行股份有限公司/浙江衢州柯城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东莞农村商业银行股份有限公司/广州农村商业银行股份有限公司/湖北银行股份有限公司/江苏常熟农村商业银行股份有限公司/江苏苏州农村商业银行股份有限公司/晋商银行股份有限公司/上海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N份额：浙江海宁农村商业银行股份有限公司/浙江瑞安农村商业银行股份有限公司/浙江舟山定海海洋农村商业银行股份有限公司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P份额：北京农村商业银行股份有限公司/广州农村商业银行股份有限公司/江门农村商业银行股份有限公司/山西银行股份有限公司</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宝应农村商业银行股份有限公司/江苏常熟农村商业银行股份有限公司/江苏大丰农村商业银行股份有限公司/江苏东海农村商业银行股份有限公司/江苏东台农村商业银行股份有限公司/江苏丰县农村商业银行股份有限公司/江苏阜宁农村商业银行股份有限公司/江苏赣榆农村商业银行股份有限公司/江苏高淳农村商业银行股份有限公司/江苏高邮农村商业银行股份有限公司/江苏灌南农村商业银行股份有限公司/江苏灌云农村商业银行股份有限公司/江苏海安农村商业银行股份有限公司/江苏海门农村商业银行股份有限公司/江苏建湖农村商业银行股份有限公司/江苏姜堰农村商业银行股份有限公司/江苏江都农村商业银行股份有限公司/江苏江南农村商业银行股份有限公司/江苏金湖农村商业银行股份有限公司/江苏靖江农村商业银行股份有限公司/江苏句容农村商业银行股份有限公司/江苏民丰农村商业银行股份有限公司/江苏沛县农村商业银行股份有限公司/江苏启东农村商业银行股份有限公司/江苏如东农村商业银行股份有限公司/江苏如皋农村商业银行股份有限公司/江苏射阳农村商业银行股份有限公司/江苏泰兴农村商业银行股份有限公司/江苏新沂农村商业银行股份有限公司/江苏盐城农村商业银行股份有限公司/江苏扬中农村商业银行股份有限公司/江苏扬州农村商业银行股份有限公司/江苏仪征农村商业银行股份有限公司/江苏宜兴农村商业银行股份有限公司/江苏张家港农村商业银行股份有限公司/江苏镇江农村商业银行股份有限公司/江苏紫金农村商业银行股份有限公司/江苏邳州农村商业银行股份有限公司/江苏沭阳农村商业银行股份有限公司/江苏泗洪农村商业银行股份有限公司/江苏泗阳农村商业银行股份有限公司/江苏溧水农村商业银行股份有限公司/江苏睢宁农村商业银行股份有限公司/连云港东方农村商业银行股份有限公司/徐州农村商业银行股份有限公司/江苏太仓农村商业银行股份有限公司</w:t>
      </w:r>
    </w:p>
    <w:p>
      <w:pPr>
        <w:numPr>
          <w:ilvl w:val="0"/>
          <w:numId w:val="0"/>
        </w:numPr>
        <w:tabs>
          <w:tab w:val="left" w:pos="1134"/>
        </w:tabs>
        <w:ind w:left="420"/>
        <w:outlineLvl w:val="0"/>
        <w:rPr>
          <w:rFonts w:hint="eastAsia" w:ascii="楷体" w:hAnsi="楷体" w:eastAsia="楷体"/>
          <w:b/>
          <w:color w:val="auto"/>
          <w:sz w:val="21"/>
          <w:szCs w:val="21"/>
        </w:rPr>
      </w:pPr>
      <w:bookmarkStart w:id="0" w:name="_GoBack"/>
      <w:bookmarkEnd w:id="0"/>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firstLine="420"/>
        <w:rPr>
          <w:rFonts w:hint="default" w:ascii="楷体" w:hAnsi="楷体" w:eastAsia="楷体" w:cs="Times New Roman"/>
          <w:bCs/>
          <w:color w:val="auto"/>
          <w:sz w:val="21"/>
          <w:szCs w:val="21"/>
          <w:highlight w:val="none"/>
          <w:u w:val="none"/>
          <w:lang w:val="en-US" w:eastAsia="zh-CN"/>
        </w:rPr>
      </w:pPr>
      <w:r>
        <w:rPr>
          <w:rFonts w:ascii="楷体" w:hAnsi="楷体" w:eastAsia="楷体" w:cs="楷体"/>
          <w:sz w:val="21"/>
          <w:szCs w:val="21"/>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3</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同业借款：融资人为中国中信金融资产管理股份有限公司。融资人经营正常，是依法成立的国有公司，主要股东为中国中信集团有限公司、财政局、中国融信私募基金有限公司，实际控制人为财政部。</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4</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东方资产管理股份有限公司。融资人经营正常，是依法成立的国有公司，主要股东为中央汇金投资有限责任公司、全国社会保障基金理事会、中国电信集团有限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5</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同业借款：融资人为中国信达资产管理股份有限公司。融资人经营正常，是依法成立的国有公司，主要股东为中央汇金投资有限责任公司，实际控制人为国务院。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6</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收益凭证：融资人为华泰证券股份有限公司。融资人经营正常，是依法设立的持牌金融机构，主要股东为江苏省国信集团有限公司、香港中央结算（代理人）有限公司、江苏交通控股有限公司，无实际控制人。</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收益凭证：融资人为申万宏源证券有限公司。融资人经营正常，是依法设立的持牌金融机构，主要股东为申万宏源集团股份有限公司，实际控制人为中央汇金投资有限责任公司。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收益凭证：融资人为浙商证券股份有限公司。融资人经营正常，是依法设立的持牌金融机构，主要股东为浙江上三高速公路有限公司、台州市金融投资集团有限公司，实际控制人为浙江省交通投资集团有限公司。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16</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收益凭证：融资人为国投证券股份有限公司。融资人经营正常，是依法设立的持牌金融机构，主要股东为国投资本股份有限公司、上海毅胜投资有限公司，实际控制人为国家开发投资集团有限公司。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兴业证券股份有限公司。融资人经营正常，是依法设立的持牌金融机构，主要股东为福建省财政厅、福建省投资开发集团有限责任公司、上海申新（集团）有限公司，实际控制人为福建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财通证券股份有限公司。融资人经营正常，是依法设立的持牌金融机构，主要股东为浙江省创新投资集团有限公司、浙江省财开集团有限公司、台州市金融投资集团有限公司，实际控制人为浙江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收益凭证：融资人为东海证券股份有限公司。融资人经营正常，是依法设立的持牌金融机构，主要股东为常州投资集团有限公司、山东金控资本管理有限公司，实际控制人为常州投资集团有限公司。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长城证券股份有限公司。融资人经营正常，是依法设立的持牌金融机构，主要股东为华能资本服务有限公司、深圳新江南投资有限公司、深圳能源集团股份有限公司，实际控制人为中央汇金投资有限责任公司。</w:t>
      </w:r>
      <w:r>
        <w:rPr>
          <w:rFonts w:hint="eastAsia" w:ascii="楷体" w:hAnsi="楷体" w:eastAsia="楷体" w:cs="楷体"/>
          <w:sz w:val="21"/>
          <w:szCs w:val="21"/>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1"/>
          <w:szCs w:val="21"/>
          <w:lang w:val="en-US" w:eastAsia="zh-CN"/>
        </w:rPr>
        <w:t>26</w:t>
      </w:r>
      <w:r>
        <w:rPr>
          <w:rFonts w:hint="eastAsia" w:ascii="楷体" w:hAnsi="楷体" w:eastAsia="楷体" w:cs="楷体"/>
          <w:sz w:val="21"/>
          <w:szCs w:val="21"/>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r>
        <w:rPr>
          <w:rFonts w:hint="eastAsia" w:ascii="楷体" w:hAnsi="楷体" w:eastAsia="楷体" w:cs="楷体"/>
          <w:sz w:val="21"/>
          <w:szCs w:val="21"/>
          <w:lang w:val="en-US" w:eastAsia="zh-CN"/>
        </w:rPr>
        <w:t>27</w:t>
      </w:r>
      <w:r>
        <w:rPr>
          <w:rFonts w:hint="eastAsia" w:ascii="楷体" w:hAnsi="楷体" w:eastAsia="楷体" w:cs="楷体"/>
          <w:sz w:val="21"/>
          <w:szCs w:val="21"/>
          <w:lang w:eastAsia="zh-CN"/>
        </w:rPr>
        <w:t>）收益凭证：融资人为国都证券股份有限公司。融资人经营正常，是依法设立的持牌金融机构，主要股东为浙商证券股份有限公司、中诚信托有限责任公司、北京国际信托有限公司，实际控制人为浙江省交通投资集团有限公司。（</w:t>
      </w:r>
      <w:r>
        <w:rPr>
          <w:rFonts w:hint="eastAsia" w:ascii="楷体" w:hAnsi="楷体" w:eastAsia="楷体" w:cs="楷体"/>
          <w:sz w:val="21"/>
          <w:szCs w:val="21"/>
          <w:lang w:val="en-US" w:eastAsia="zh-CN"/>
        </w:rPr>
        <w:t>28</w:t>
      </w:r>
      <w:r>
        <w:rPr>
          <w:rFonts w:hint="eastAsia" w:ascii="楷体" w:hAnsi="楷体" w:eastAsia="楷体" w:cs="楷体"/>
          <w:sz w:val="21"/>
          <w:szCs w:val="21"/>
          <w:lang w:eastAsia="zh-CN"/>
        </w:rPr>
        <w:t>）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w:t>
      </w:r>
      <w:r>
        <w:rPr>
          <w:rFonts w:hint="eastAsia" w:ascii="楷体" w:hAnsi="楷体" w:eastAsia="楷体" w:cs="楷体"/>
          <w:sz w:val="21"/>
          <w:szCs w:val="21"/>
          <w:lang w:val="en-US" w:eastAsia="zh-CN"/>
        </w:rPr>
        <w:t>29</w:t>
      </w:r>
      <w:r>
        <w:rPr>
          <w:rFonts w:hint="eastAsia" w:ascii="楷体" w:hAnsi="楷体" w:eastAsia="楷体" w:cs="楷体"/>
          <w:sz w:val="21"/>
          <w:szCs w:val="21"/>
          <w:lang w:eastAsia="zh-CN"/>
        </w:rPr>
        <w:t>）收益凭证：融资人为华鑫证券有限责任公司。融资人经营正常，是依法设立的持牌金融机构，主要股东为上海华鑫股份有限公司，实际控制人为上海市国有资产监督管理委员会。（</w:t>
      </w:r>
      <w:r>
        <w:rPr>
          <w:rFonts w:hint="eastAsia" w:ascii="楷体" w:hAnsi="楷体" w:eastAsia="楷体" w:cs="楷体"/>
          <w:sz w:val="21"/>
          <w:szCs w:val="21"/>
          <w:lang w:val="en-US" w:eastAsia="zh-CN"/>
        </w:rPr>
        <w:t>30</w:t>
      </w:r>
      <w:r>
        <w:rPr>
          <w:rFonts w:hint="eastAsia" w:ascii="楷体" w:hAnsi="楷体" w:eastAsia="楷体" w:cs="楷体"/>
          <w:sz w:val="21"/>
          <w:szCs w:val="21"/>
          <w:lang w:eastAsia="zh-CN"/>
        </w:rPr>
        <w:t>）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w:t>
      </w:r>
      <w:r>
        <w:rPr>
          <w:rFonts w:hint="eastAsia" w:ascii="楷体" w:hAnsi="楷体" w:eastAsia="楷体" w:cs="楷体"/>
          <w:sz w:val="21"/>
          <w:szCs w:val="21"/>
          <w:lang w:val="en-US" w:eastAsia="zh-CN"/>
        </w:rPr>
        <w:t>31</w:t>
      </w:r>
      <w:r>
        <w:rPr>
          <w:rFonts w:hint="eastAsia" w:ascii="楷体" w:hAnsi="楷体" w:eastAsia="楷体" w:cs="楷体"/>
          <w:sz w:val="21"/>
          <w:szCs w:val="21"/>
          <w:lang w:eastAsia="zh-CN"/>
        </w:rPr>
        <w:t>）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w:t>
      </w:r>
      <w:r>
        <w:rPr>
          <w:rFonts w:hint="eastAsia" w:ascii="楷体" w:hAnsi="楷体" w:eastAsia="楷体" w:cs="楷体"/>
          <w:sz w:val="21"/>
          <w:szCs w:val="21"/>
          <w:lang w:val="en-US" w:eastAsia="zh-CN"/>
        </w:rPr>
        <w:t>32</w:t>
      </w:r>
      <w:r>
        <w:rPr>
          <w:rFonts w:hint="eastAsia" w:ascii="楷体" w:hAnsi="楷体" w:eastAsia="楷体" w:cs="楷体"/>
          <w:sz w:val="21"/>
          <w:szCs w:val="21"/>
          <w:lang w:eastAsia="zh-CN"/>
        </w:rPr>
        <w:t>）收益凭证：融资人为广发证券股份有限公司。融资人经营正常，是依法设立的持牌金融机构，主要股东为香港中央结算（代理人）有限公司、吉林敖东药业集团股份有限公司、辽宁成大股份有限公司，无实际控制人。（</w:t>
      </w:r>
      <w:r>
        <w:rPr>
          <w:rFonts w:hint="eastAsia" w:ascii="楷体" w:hAnsi="楷体" w:eastAsia="楷体" w:cs="楷体"/>
          <w:sz w:val="21"/>
          <w:szCs w:val="21"/>
          <w:lang w:val="en-US" w:eastAsia="zh-CN"/>
        </w:rPr>
        <w:t>33</w:t>
      </w:r>
      <w:r>
        <w:rPr>
          <w:rFonts w:hint="eastAsia" w:ascii="楷体" w:hAnsi="楷体" w:eastAsia="楷体" w:cs="楷体"/>
          <w:sz w:val="21"/>
          <w:szCs w:val="21"/>
          <w:lang w:eastAsia="zh-CN"/>
        </w:rPr>
        <w:t>）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w:t>
      </w:r>
      <w:r>
        <w:rPr>
          <w:rFonts w:hint="eastAsia" w:ascii="楷体" w:hAnsi="楷体" w:eastAsia="楷体" w:cs="楷体"/>
          <w:sz w:val="21"/>
          <w:szCs w:val="21"/>
          <w:lang w:val="en-US" w:eastAsia="zh-CN"/>
        </w:rPr>
        <w:t>34</w:t>
      </w:r>
      <w:r>
        <w:rPr>
          <w:rFonts w:hint="eastAsia" w:ascii="楷体" w:hAnsi="楷体" w:eastAsia="楷体" w:cs="楷体"/>
          <w:sz w:val="21"/>
          <w:szCs w:val="21"/>
          <w:lang w:eastAsia="zh-CN"/>
        </w:rPr>
        <w:t>）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r>
        <w:rPr>
          <w:rFonts w:hint="default" w:ascii="Calibri" w:hAnsi="Calibri" w:eastAsia="楷体" w:cs="Calibri"/>
          <w:b w:val="0"/>
          <w:bCs w:val="0"/>
          <w:sz w:val="21"/>
          <w:szCs w:val="21"/>
        </w:rPr>
        <w:t>。</w:t>
      </w:r>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十、产品费用</w:t>
      </w:r>
    </w:p>
    <w:p>
      <w:pPr>
        <w:numPr>
          <w:ilvl w:val="0"/>
          <w:numId w:val="0"/>
        </w:numPr>
        <w:ind w:left="0" w:firstLine="42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托管费：每日计提，每日应计提的托管费＝前一日的产品资产净值×托管费率÷365</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0"/>
          <w:numId w:val="0"/>
        </w:numPr>
        <w:ind w:left="0" w:firstLine="420"/>
        <w:rPr>
          <w:rFonts w:hint="eastAsia" w:ascii="楷体" w:hAnsi="楷体" w:eastAsia="楷体"/>
          <w:color w:val="auto"/>
          <w:sz w:val="21"/>
          <w:szCs w:val="21"/>
          <w:lang w:eastAsia="zh-CN"/>
        </w:rPr>
      </w:pPr>
      <w:r>
        <w:rPr>
          <w:rFonts w:hint="eastAsia" w:ascii="楷体" w:hAnsi="楷体" w:eastAsia="楷体"/>
          <w:color w:val="auto"/>
          <w:sz w:val="21"/>
          <w:szCs w:val="21"/>
        </w:rPr>
        <w:t>①</w:t>
      </w:r>
      <w:r>
        <w:rPr>
          <w:rFonts w:hint="eastAsia" w:ascii="楷体" w:hAnsi="楷体" w:eastAsia="楷体"/>
          <w:color w:val="auto"/>
          <w:sz w:val="21"/>
          <w:szCs w:val="21"/>
          <w:lang w:val="en-US" w:eastAsia="zh-CN"/>
        </w:rPr>
        <w:t>每日计提模式：</w:t>
      </w:r>
      <w:r>
        <w:rPr>
          <w:rFonts w:hint="eastAsia" w:ascii="楷体" w:hAnsi="楷体" w:eastAsia="楷体"/>
          <w:color w:val="auto"/>
          <w:sz w:val="21"/>
          <w:szCs w:val="21"/>
        </w:rPr>
        <w:t>每日计提</w:t>
      </w:r>
      <w:r>
        <w:rPr>
          <w:rFonts w:hint="eastAsia" w:ascii="楷体" w:hAnsi="楷体" w:eastAsia="楷体"/>
          <w:color w:val="auto"/>
          <w:sz w:val="21"/>
          <w:szCs w:val="21"/>
          <w:lang w:eastAsia="zh-CN"/>
        </w:rPr>
        <w:t>，</w:t>
      </w:r>
      <w:r>
        <w:rPr>
          <w:rFonts w:hint="eastAsia" w:ascii="楷体" w:hAnsi="楷体" w:eastAsia="楷体"/>
          <w:color w:val="auto"/>
          <w:sz w:val="21"/>
          <w:szCs w:val="21"/>
        </w:rPr>
        <w:t>每日应计提的销售服务费＝前一日的产品资产净值×销售服务费率÷365</w:t>
      </w:r>
      <w:r>
        <w:rPr>
          <w:rFonts w:hint="eastAsia" w:ascii="楷体" w:hAnsi="楷体" w:eastAsia="楷体"/>
          <w:color w:val="auto"/>
          <w:sz w:val="21"/>
          <w:szCs w:val="21"/>
          <w:lang w:eastAsia="zh-CN"/>
        </w:rPr>
        <w:t>。</w:t>
      </w:r>
    </w:p>
    <w:p>
      <w:pPr>
        <w:numPr>
          <w:ilvl w:val="0"/>
          <w:numId w:val="0"/>
        </w:numPr>
        <w:ind w:left="0" w:firstLine="420"/>
        <w:rPr>
          <w:rFonts w:hint="eastAsia" w:ascii="楷体" w:hAnsi="楷体" w:eastAsia="楷体"/>
          <w:color w:val="auto"/>
          <w:sz w:val="21"/>
          <w:szCs w:val="21"/>
        </w:rPr>
      </w:pPr>
      <w:r>
        <w:rPr>
          <w:rFonts w:hint="eastAsia" w:ascii="楷体" w:hAnsi="楷体" w:eastAsia="楷体"/>
          <w:color w:val="auto"/>
          <w:sz w:val="21"/>
          <w:szCs w:val="21"/>
        </w:rPr>
        <w:t>②</w:t>
      </w:r>
      <w:r>
        <w:rPr>
          <w:rFonts w:hint="eastAsia" w:ascii="楷体" w:hAnsi="楷体" w:eastAsia="楷体"/>
          <w:color w:val="auto"/>
          <w:sz w:val="21"/>
          <w:szCs w:val="21"/>
          <w:lang w:val="en-US" w:eastAsia="zh-CN"/>
        </w:rPr>
        <w:t>一次性提取模式：</w:t>
      </w:r>
      <w:r>
        <w:rPr>
          <w:rFonts w:hint="eastAsia" w:ascii="楷体" w:hAnsi="楷体" w:eastAsia="楷体"/>
          <w:color w:val="auto"/>
          <w:sz w:val="21"/>
          <w:szCs w:val="21"/>
        </w:rPr>
        <w:t>成立日一次性提取，每日摊销</w:t>
      </w:r>
      <w:r>
        <w:rPr>
          <w:rFonts w:hint="eastAsia" w:ascii="楷体" w:hAnsi="楷体" w:eastAsia="楷体"/>
          <w:color w:val="auto"/>
          <w:sz w:val="21"/>
          <w:szCs w:val="21"/>
          <w:lang w:eastAsia="zh-CN"/>
        </w:rPr>
        <w:t>，</w:t>
      </w:r>
      <w:r>
        <w:rPr>
          <w:rFonts w:hint="eastAsia" w:ascii="楷体" w:hAnsi="楷体" w:eastAsia="楷体"/>
          <w:color w:val="auto"/>
          <w:sz w:val="21"/>
          <w:szCs w:val="21"/>
        </w:rPr>
        <w:t>销售服务费＝产品成立日的产品份额</w:t>
      </w:r>
      <w:r>
        <w:rPr>
          <w:rFonts w:hint="eastAsia" w:ascii="楷体" w:hAnsi="楷体" w:eastAsia="楷体"/>
          <w:color w:val="auto"/>
          <w:sz w:val="21"/>
          <w:szCs w:val="21"/>
          <w:lang w:val="en-US" w:eastAsia="zh-CN"/>
        </w:rPr>
        <w:t>数</w:t>
      </w:r>
      <w:r>
        <w:rPr>
          <w:rFonts w:hint="eastAsia" w:ascii="楷体" w:hAnsi="楷体" w:eastAsia="楷体"/>
          <w:color w:val="auto"/>
          <w:sz w:val="21"/>
          <w:szCs w:val="21"/>
        </w:rPr>
        <w:t>×销售服务费率×产品投资期限天数÷365</w:t>
      </w:r>
      <w:r>
        <w:rPr>
          <w:rFonts w:hint="eastAsia" w:ascii="楷体" w:hAnsi="楷体" w:eastAsia="楷体"/>
          <w:color w:val="auto"/>
          <w:sz w:val="21"/>
          <w:szCs w:val="21"/>
          <w:lang w:eastAsia="zh-CN"/>
        </w:rPr>
        <w:t>。</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本产品不收取认购费用、申购费用、赎回费用。</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pStyle w:val="2"/>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Times New Roman"/>
    <w:panose1 w:val="02020603050405020304"/>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134"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3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133"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136"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5E306ED"/>
    <w:multiLevelType w:val="multilevel"/>
    <w:tmpl w:val="B5E306E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F205925"/>
    <w:multiLevelType w:val="multilevel"/>
    <w:tmpl w:val="BF205925"/>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8879AEF"/>
    <w:multiLevelType w:val="multilevel"/>
    <w:tmpl w:val="C8879AE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CF092B84"/>
    <w:multiLevelType w:val="multilevel"/>
    <w:tmpl w:val="CF092B84"/>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4B5D9F5"/>
    <w:multiLevelType w:val="multilevel"/>
    <w:tmpl w:val="F4B5D9F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53208E"/>
    <w:multiLevelType w:val="multilevel"/>
    <w:tmpl w:val="0053208E"/>
    <w:lvl w:ilvl="0" w:tentative="0">
      <w:start w:val="1"/>
      <w:numFmt w:val="decimalEnclosedCircleChinese"/>
      <w:suff w:val="nothing"/>
      <w:lvlText w:val="%1　"/>
      <w:lvlJc w:val="left"/>
      <w:pPr>
        <w:ind w:left="0" w:firstLine="400"/>
      </w:pPr>
      <w:rPr>
        <w:rFonts w:hint="eastAsia"/>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7">
    <w:nsid w:val="0248C179"/>
    <w:multiLevelType w:val="multilevel"/>
    <w:tmpl w:val="0248C17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3D62ECE"/>
    <w:multiLevelType w:val="multilevel"/>
    <w:tmpl w:val="03D62EC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B654F3"/>
    <w:multiLevelType w:val="multilevel"/>
    <w:tmpl w:val="25B654F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A8F537B"/>
    <w:multiLevelType w:val="multilevel"/>
    <w:tmpl w:val="2A8F53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D4DC07F"/>
    <w:multiLevelType w:val="multilevel"/>
    <w:tmpl w:val="4D4DC07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9ADCABA"/>
    <w:multiLevelType w:val="multilevel"/>
    <w:tmpl w:val="59ADCAB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A241D34"/>
    <w:multiLevelType w:val="multilevel"/>
    <w:tmpl w:val="5A241D3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2183CF9"/>
    <w:multiLevelType w:val="multilevel"/>
    <w:tmpl w:val="72183CF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4"/>
  </w:num>
  <w:num w:numId="3">
    <w:abstractNumId w:val="12"/>
  </w:num>
  <w:num w:numId="4">
    <w:abstractNumId w:val="2"/>
  </w:num>
  <w:num w:numId="5">
    <w:abstractNumId w:val="1"/>
  </w:num>
  <w:num w:numId="6">
    <w:abstractNumId w:val="8"/>
  </w:num>
  <w:num w:numId="7">
    <w:abstractNumId w:val="9"/>
  </w:num>
  <w:num w:numId="8">
    <w:abstractNumId w:val="14"/>
  </w:num>
  <w:num w:numId="9">
    <w:abstractNumId w:val="7"/>
  </w:num>
  <w:num w:numId="10">
    <w:abstractNumId w:val="0"/>
  </w:num>
  <w:num w:numId="11">
    <w:abstractNumId w:val="10"/>
  </w:num>
  <w:num w:numId="12">
    <w:abstractNumId w:val="13"/>
  </w:num>
  <w:num w:numId="13">
    <w:abstractNumId w:val="3"/>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isplayHorizontalDrawingGridEvery w:val="1"/>
  <w:displayVerticalDrawingGridEvery w:val="1"/>
  <w:noPunctuationKerning w:val="1"/>
  <w:characterSpacingControl w:val="doNotCompress"/>
  <w:compat>
    <w:balanceSingleByteDoubleByteWidth/>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D1155"/>
    <w:rsid w:val="14B55B4C"/>
    <w:rsid w:val="30594314"/>
    <w:rsid w:val="3BB10947"/>
    <w:rsid w:val="3FC13C82"/>
    <w:rsid w:val="667C28DC"/>
    <w:rsid w:val="6BB9285F"/>
    <w:rsid w:val="75AF1A99"/>
    <w:rsid w:val="7BB24E7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3">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4">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6">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7">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8">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9">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1">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2">
    <w:name w:val="Body Text"/>
    <w:basedOn w:val="1"/>
    <w:next w:val="1"/>
    <w:qFormat/>
    <w:uiPriority w:val="1"/>
    <w:pPr>
      <w:spacing w:before="162"/>
      <w:ind w:left="120"/>
      <w:jc w:val="left"/>
    </w:pPr>
    <w:rPr>
      <w:rFonts w:ascii="宋体" w:hAnsi="Times New Roman"/>
      <w:sz w:val="20"/>
      <w:szCs w:val="21"/>
    </w:r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annotation text"/>
    <w:basedOn w:val="1"/>
    <w:unhideWhenUsed/>
    <w:qFormat/>
    <w:uiPriority w:val="99"/>
    <w:pPr>
      <w:jc w:val="left"/>
    </w:pPr>
  </w:style>
  <w:style w:type="paragraph" w:styleId="14">
    <w:name w:val="Date"/>
    <w:basedOn w:val="1"/>
    <w:next w:val="1"/>
    <w:unhideWhenUsed/>
    <w:qFormat/>
    <w:uiPriority w:val="99"/>
    <w:pPr>
      <w:ind w:left="100"/>
    </w:pPr>
  </w:style>
  <w:style w:type="paragraph" w:styleId="15">
    <w:name w:val="endnote text"/>
    <w:basedOn w:val="1"/>
    <w:semiHidden/>
    <w:unhideWhenUsed/>
    <w:qFormat/>
    <w:uiPriority w:val="99"/>
    <w:pPr>
      <w:spacing w:after="0" w:line="240" w:lineRule="auto"/>
    </w:pPr>
    <w:rPr>
      <w:sz w:val="20"/>
      <w:szCs w:val="20"/>
    </w:rPr>
  </w:style>
  <w:style w:type="paragraph" w:styleId="16">
    <w:name w:val="Balloon Text"/>
    <w:basedOn w:val="1"/>
    <w:unhideWhenUsed/>
    <w:qFormat/>
    <w:uiPriority w:val="99"/>
    <w:rPr>
      <w:sz w:val="18"/>
      <w:szCs w:val="18"/>
    </w:rPr>
  </w:style>
  <w:style w:type="paragraph" w:styleId="17">
    <w:name w:val="footer"/>
    <w:basedOn w:val="1"/>
    <w:unhideWhenUsed/>
    <w:qFormat/>
    <w:uiPriority w:val="99"/>
    <w:pPr>
      <w:tabs>
        <w:tab w:val="center" w:pos="4153"/>
        <w:tab w:val="right" w:pos="8306"/>
      </w:tabs>
      <w:jc w:val="left"/>
    </w:pPr>
    <w:rPr>
      <w:sz w:val="18"/>
      <w:szCs w:val="18"/>
    </w:rPr>
  </w:style>
  <w:style w:type="paragraph" w:styleId="18">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19">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0">
    <w:name w:val="footnote text"/>
    <w:basedOn w:val="1"/>
    <w:semiHidden/>
    <w:unhideWhenUsed/>
    <w:qFormat/>
    <w:uiPriority w:val="99"/>
    <w:pPr>
      <w:jc w:val="left"/>
    </w:pPr>
    <w:rPr>
      <w:sz w:val="18"/>
      <w:szCs w:val="18"/>
    </w:rPr>
  </w:style>
  <w:style w:type="paragraph" w:styleId="21">
    <w:name w:val="table of figures"/>
    <w:basedOn w:val="1"/>
    <w:next w:val="1"/>
    <w:unhideWhenUsed/>
    <w:qFormat/>
    <w:uiPriority w:val="99"/>
    <w:pPr>
      <w:spacing w:after="0" w:afterAutospacing="0"/>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4">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5">
    <w:name w:val="annotation subject"/>
    <w:basedOn w:val="13"/>
    <w:next w:val="13"/>
    <w:link w:val="196"/>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9">
    <w:name w:val="Strong"/>
    <w:qFormat/>
    <w:uiPriority w:val="22"/>
    <w:rPr>
      <w:rFonts w:ascii="Times New Roman" w:hAnsi="Times New Roman" w:eastAsia="宋体" w:cs="Times New Roman"/>
      <w:b/>
      <w:bCs/>
    </w:rPr>
  </w:style>
  <w:style w:type="character" w:styleId="30">
    <w:name w:val="endnote reference"/>
    <w:basedOn w:val="28"/>
    <w:semiHidden/>
    <w:unhideWhenUsed/>
    <w:qFormat/>
    <w:uiPriority w:val="99"/>
    <w:rPr>
      <w:vertAlign w:val="superscript"/>
    </w:rPr>
  </w:style>
  <w:style w:type="character" w:styleId="31">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2">
    <w:name w:val="Emphasis"/>
    <w:basedOn w:val="28"/>
    <w:qFormat/>
    <w:uiPriority w:val="20"/>
    <w:rPr>
      <w:i/>
      <w:iCs/>
    </w:rPr>
  </w:style>
  <w:style w:type="character" w:styleId="33">
    <w:name w:val="Hyperlink"/>
    <w:unhideWhenUsed/>
    <w:qFormat/>
    <w:uiPriority w:val="99"/>
    <w:rPr>
      <w:rFonts w:ascii="Times New Roman" w:hAnsi="Times New Roman" w:eastAsia="宋体" w:cs="Times New Roman"/>
      <w:color w:val="0000FF"/>
      <w:u w:val="single"/>
    </w:rPr>
  </w:style>
  <w:style w:type="character" w:styleId="34">
    <w:name w:val="annotation reference"/>
    <w:unhideWhenUsed/>
    <w:qFormat/>
    <w:uiPriority w:val="99"/>
    <w:rPr>
      <w:rFonts w:ascii="Times New Roman" w:hAnsi="Times New Roman" w:eastAsia="宋体" w:cs="Times New Roman"/>
      <w:sz w:val="21"/>
      <w:szCs w:val="21"/>
    </w:rPr>
  </w:style>
  <w:style w:type="character" w:styleId="35">
    <w:name w:val="footnote reference"/>
    <w:semiHidden/>
    <w:unhideWhenUsed/>
    <w:qFormat/>
    <w:uiPriority w:val="99"/>
    <w:rPr>
      <w:rFonts w:ascii="Times New Roman" w:hAnsi="Times New Roman" w:eastAsia="宋体" w:cs="Times New Roman"/>
      <w:vertAlign w:val="superscript"/>
    </w:rPr>
  </w:style>
  <w:style w:type="table" w:customStyle="1" w:styleId="36">
    <w:name w:val="Table Grid Light"/>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7">
    <w:name w:val="Plain Table 1"/>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8">
    <w:name w:val="Plain Table 2"/>
    <w:basedOn w:val="26"/>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9">
    <w:name w:val="Plain Table 3"/>
    <w:basedOn w:val="26"/>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0">
    <w:name w:val="Plain Table 4"/>
    <w:basedOn w:val="26"/>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5"/>
    <w:basedOn w:val="26"/>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Grid Table 1 Light"/>
    <w:basedOn w:val="26"/>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3">
    <w:name w:val="Grid Table 1 Light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4">
    <w:name w:val="Grid Table 1 Light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5">
    <w:name w:val="Grid Table 1 Light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6">
    <w:name w:val="Grid Table 1 Light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7">
    <w:name w:val="Grid Table 1 Light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8">
    <w:name w:val="Grid Table 1 Light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9">
    <w:name w:val="Grid Table 2"/>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0">
    <w:name w:val="Grid Table 2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1">
    <w:name w:val="Grid Table 2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2">
    <w:name w:val="Grid Table 2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3">
    <w:name w:val="Grid Table 2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4">
    <w:name w:val="Grid Table 2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5">
    <w:name w:val="Grid Table 2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6">
    <w:name w:val="Grid Table 3"/>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7">
    <w:name w:val="Grid Table 3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8">
    <w:name w:val="Grid Table 3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9">
    <w:name w:val="Grid Table 3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0">
    <w:name w:val="Grid Table 3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1">
    <w:name w:val="Grid Table 3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2">
    <w:name w:val="Grid Table 3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3">
    <w:name w:val="Grid Table 4"/>
    <w:basedOn w:val="26"/>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4">
    <w:name w:val="Grid Table 4 - Accent 1"/>
    <w:basedOn w:val="26"/>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table" w:customStyle="1" w:styleId="65">
    <w:name w:val="Grid Table 4 - Accent 2"/>
    <w:basedOn w:val="26"/>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26"/>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26"/>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26"/>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26"/>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26"/>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26"/>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26"/>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26"/>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26"/>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26"/>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26"/>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26"/>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26"/>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26"/>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26"/>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26"/>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26"/>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26"/>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26"/>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26"/>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26"/>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26"/>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26"/>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26"/>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26"/>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26"/>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26"/>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26"/>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26"/>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26"/>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26"/>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26"/>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26"/>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26"/>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26"/>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26"/>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26"/>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26"/>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26"/>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26"/>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26"/>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26"/>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26"/>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26"/>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26"/>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26"/>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26"/>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26"/>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26"/>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26"/>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26"/>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26"/>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26"/>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26"/>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26"/>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26"/>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26"/>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26"/>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26"/>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26"/>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26"/>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26"/>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26"/>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26"/>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26"/>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26"/>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26"/>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26"/>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26"/>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26"/>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26"/>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26"/>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26"/>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26"/>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26"/>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26"/>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8"/>
    <w:qFormat/>
    <w:uiPriority w:val="9"/>
    <w:rPr>
      <w:rFonts w:ascii="Arial" w:hAnsi="Arial" w:eastAsia="Arial" w:cs="Arial"/>
      <w:color w:val="2E75B6" w:themeColor="accent1" w:themeShade="BF"/>
      <w:sz w:val="40"/>
      <w:szCs w:val="40"/>
    </w:rPr>
  </w:style>
  <w:style w:type="character" w:customStyle="1" w:styleId="162">
    <w:name w:val="Heading 2 Char"/>
    <w:basedOn w:val="28"/>
    <w:qFormat/>
    <w:uiPriority w:val="9"/>
    <w:rPr>
      <w:rFonts w:ascii="Arial" w:hAnsi="Arial" w:eastAsia="Arial" w:cs="Arial"/>
      <w:color w:val="2E75B6" w:themeColor="accent1" w:themeShade="BF"/>
      <w:sz w:val="32"/>
      <w:szCs w:val="32"/>
    </w:rPr>
  </w:style>
  <w:style w:type="character" w:customStyle="1" w:styleId="163">
    <w:name w:val="Heading 3 Char"/>
    <w:basedOn w:val="28"/>
    <w:qFormat/>
    <w:uiPriority w:val="9"/>
    <w:rPr>
      <w:rFonts w:ascii="Arial" w:hAnsi="Arial" w:eastAsia="Arial" w:cs="Arial"/>
      <w:color w:val="2E75B6" w:themeColor="accent1" w:themeShade="BF"/>
      <w:sz w:val="28"/>
      <w:szCs w:val="28"/>
    </w:rPr>
  </w:style>
  <w:style w:type="character" w:customStyle="1" w:styleId="164">
    <w:name w:val="Heading 4 Char"/>
    <w:basedOn w:val="28"/>
    <w:link w:val="6"/>
    <w:qFormat/>
    <w:uiPriority w:val="9"/>
    <w:rPr>
      <w:rFonts w:ascii="Arial" w:hAnsi="Arial" w:eastAsia="Arial" w:cs="Arial"/>
      <w:i/>
      <w:iCs/>
      <w:color w:val="2E75B6" w:themeColor="accent1" w:themeShade="BF"/>
    </w:rPr>
  </w:style>
  <w:style w:type="character" w:customStyle="1" w:styleId="165">
    <w:name w:val="Heading 5 Char"/>
    <w:basedOn w:val="28"/>
    <w:link w:val="7"/>
    <w:qFormat/>
    <w:uiPriority w:val="9"/>
    <w:rPr>
      <w:rFonts w:ascii="Arial" w:hAnsi="Arial" w:eastAsia="Arial" w:cs="Arial"/>
      <w:color w:val="2E75B6" w:themeColor="accent1" w:themeShade="BF"/>
    </w:rPr>
  </w:style>
  <w:style w:type="character" w:customStyle="1" w:styleId="166">
    <w:name w:val="Heading 6 Char"/>
    <w:basedOn w:val="28"/>
    <w:link w:val="8"/>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8"/>
    <w:link w:val="9"/>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8"/>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8"/>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8"/>
    <w:qFormat/>
    <w:uiPriority w:val="10"/>
    <w:rPr>
      <w:rFonts w:ascii="Arial" w:hAnsi="Arial" w:eastAsia="Arial" w:cs="Arial"/>
      <w:spacing w:val="-10"/>
      <w:sz w:val="56"/>
      <w:szCs w:val="56"/>
    </w:rPr>
  </w:style>
  <w:style w:type="character" w:customStyle="1" w:styleId="171">
    <w:name w:val="Subtitle Char"/>
    <w:basedOn w:val="28"/>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8"/>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8"/>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8"/>
    <w:qFormat/>
    <w:uiPriority w:val="30"/>
    <w:rPr>
      <w:i/>
      <w:iCs/>
      <w:color w:val="2E75B6" w:themeColor="accent1" w:themeShade="BF"/>
    </w:rPr>
  </w:style>
  <w:style w:type="character" w:customStyle="1" w:styleId="177">
    <w:name w:val="Intense Reference"/>
    <w:basedOn w:val="28"/>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8"/>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8"/>
    <w:qFormat/>
    <w:uiPriority w:val="33"/>
    <w:rPr>
      <w:b/>
      <w:bCs/>
      <w:i/>
      <w:iCs/>
      <w:spacing w:val="5"/>
    </w:rPr>
  </w:style>
  <w:style w:type="character" w:customStyle="1" w:styleId="182">
    <w:name w:val="Header Char"/>
    <w:basedOn w:val="28"/>
    <w:qFormat/>
    <w:uiPriority w:val="99"/>
  </w:style>
  <w:style w:type="character" w:customStyle="1" w:styleId="183">
    <w:name w:val="Footer Char"/>
    <w:basedOn w:val="28"/>
    <w:qFormat/>
    <w:uiPriority w:val="99"/>
  </w:style>
  <w:style w:type="character" w:customStyle="1" w:styleId="184">
    <w:name w:val="Footnote Text Char"/>
    <w:basedOn w:val="28"/>
    <w:semiHidden/>
    <w:qFormat/>
    <w:uiPriority w:val="99"/>
    <w:rPr>
      <w:sz w:val="20"/>
      <w:szCs w:val="20"/>
    </w:rPr>
  </w:style>
  <w:style w:type="character" w:customStyle="1" w:styleId="185">
    <w:name w:val="Endnote Text Char"/>
    <w:basedOn w:val="28"/>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3"/>
    <w:qFormat/>
    <w:uiPriority w:val="1"/>
    <w:rPr>
      <w:rFonts w:ascii="黑体" w:hAnsi="Times New Roman" w:eastAsia="黑体" w:cs="Times New Roman"/>
      <w:b/>
      <w:bCs/>
      <w:sz w:val="36"/>
      <w:szCs w:val="36"/>
    </w:rPr>
  </w:style>
  <w:style w:type="character" w:customStyle="1" w:styleId="188">
    <w:name w:val="标题 2 Char"/>
    <w:link w:val="4"/>
    <w:qFormat/>
    <w:uiPriority w:val="9"/>
    <w:rPr>
      <w:rFonts w:ascii="Cambria" w:hAnsi="Cambria" w:eastAsia="宋体" w:cs="Times New Roman"/>
      <w:b/>
      <w:bCs/>
      <w:sz w:val="32"/>
      <w:szCs w:val="32"/>
    </w:rPr>
  </w:style>
  <w:style w:type="character" w:customStyle="1" w:styleId="189">
    <w:name w:val="标题 3 Char"/>
    <w:link w:val="5"/>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8"/>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5"/>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匿名用户</cp:lastModifiedBy>
  <dcterms:modified xsi:type="dcterms:W3CDTF">2026-06-05T02:30:19Z</dcterms:modified>
  <cp:revision>7</cp:revision>
</cp:coreProperties>
</file>

<file path=customXml/item3.xml><?xml version="1.0" encoding="utf-8"?>
<Properties xmlns="http://schemas.openxmlformats.org/officeDocument/2006/extended-properties" xmlns:vt="http://schemas.openxmlformats.org/officeDocument/2006/docPropsVTypes">
  <Application>onlyoffice/8.1.3.4</Application>
  <DocSecurity>0</DocSecurity>
  <LinksUpToDate>false</LinksUpToDate>
  <ScaleCrop>false</ScaleCrop>
  <Template>Normal.dotm</Template>
</Properties>
</file>

<file path=customXml/itemProps1.xml><?xml version="1.0" encoding="utf-8"?>
<ds:datastoreItem xmlns:ds="http://schemas.openxmlformats.org/officeDocument/2006/customXml" ds:itemID="{a53505fe-62fa-4caf-a933-a1ab1fe09dbb}">
  <ds:schemaRefs/>
</ds:datastoreItem>
</file>

<file path=customXml/itemProps2.xml><?xml version="1.0" encoding="utf-8"?>
<ds:datastoreItem xmlns:ds="http://schemas.openxmlformats.org/officeDocument/2006/customXml" ds:itemID="{dbb931a5-832f-4e4b-afe8-55969ed68a91}">
  <ds:schemaRefs/>
</ds:datastoreItem>
</file>

<file path=customXml/itemProps3.xml><?xml version="1.0" encoding="utf-8"?>
<ds:datastoreItem xmlns:ds="http://schemas.openxmlformats.org/officeDocument/2006/customXml" ds:itemID="{299da6f6-e21c-40d2-a1a8-c649e581bed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ScaleCrop>false</ScaleCrop>
  <LinksUpToDate>false</LinksUpToDate>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sylc</cp:lastModifiedBy>
  <dcterms:modified xsi:type="dcterms:W3CDTF">2026-06-26T02:38:04Z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6E083D9DA9D140E09A237CC20E4A26E2</vt:lpwstr>
  </property>
</Properties>
</file>