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A4A" w:rsidRDefault="000A3D09">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rsidRDefault="000A3D09">
      <w:pPr>
        <w:spacing w:line="360" w:lineRule="auto"/>
        <w:jc w:val="center"/>
        <w:rPr>
          <w:rFonts w:ascii="新宋体" w:eastAsia="新宋体" w:hAnsi="新宋体"/>
          <w:b/>
          <w:i/>
          <w:sz w:val="30"/>
          <w:szCs w:val="30"/>
          <w:u w:val="single"/>
        </w:rPr>
      </w:pPr>
      <w:r>
        <w:rPr>
          <w:rFonts w:ascii="新宋体" w:eastAsia="新宋体" w:hAnsi="新宋体" w:cs="宋体" w:hint="eastAsia"/>
          <w:b/>
          <w:i/>
          <w:kern w:val="0"/>
          <w:szCs w:val="21"/>
          <w:u w:val="single"/>
        </w:rPr>
        <w:t>理财非存款、产品有风险、投资须谨慎。</w:t>
      </w:r>
    </w:p>
    <w:p w:rsidR="00914A4A" w:rsidRDefault="00914A4A">
      <w:pPr>
        <w:spacing w:line="360" w:lineRule="auto"/>
        <w:rPr>
          <w:rFonts w:ascii="新宋体" w:eastAsia="新宋体" w:hAnsi="新宋体" w:cs="宋体"/>
          <w:b/>
          <w:kern w:val="0"/>
          <w:szCs w:val="21"/>
        </w:rPr>
      </w:pPr>
    </w:p>
    <w:p w:rsidR="00914A4A" w:rsidRDefault="000A3D09">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rsidRDefault="000A3D09">
      <w:pPr>
        <w:snapToGrid w:val="0"/>
        <w:spacing w:line="360" w:lineRule="auto"/>
        <w:ind w:firstLineChars="196" w:firstLine="413"/>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rsidRDefault="000A3D09">
      <w:pPr>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rsidR="00914A4A" w:rsidRDefault="000A3D09">
      <w:pPr>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rsidRDefault="000A3D09">
      <w:pPr>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w:t>
      </w:r>
      <w:r>
        <w:rPr>
          <w:rFonts w:ascii="新宋体" w:eastAsia="新宋体" w:hAnsi="新宋体" w:cs="宋体" w:hint="eastAsia"/>
          <w:b/>
          <w:kern w:val="0"/>
          <w:szCs w:val="21"/>
        </w:rPr>
        <w:t>重考虑后自行决定购买与自身风险承受能力和理财需求相匹配的理财产品。</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w:t>
      </w:r>
      <w:r>
        <w:rPr>
          <w:rFonts w:ascii="新宋体" w:eastAsia="新宋体" w:hAnsi="新宋体" w:cs="宋体"/>
          <w:b/>
          <w:kern w:val="0"/>
          <w:szCs w:val="21"/>
        </w:rPr>
        <w:t xml:space="preserve"> </w:t>
      </w:r>
      <w:r>
        <w:rPr>
          <w:rFonts w:ascii="新宋体" w:eastAsia="新宋体" w:hAnsi="新宋体" w:cs="宋体"/>
          <w:b/>
          <w:kern w:val="0"/>
          <w:szCs w:val="21"/>
        </w:rPr>
        <w:t>管理人有权在法律允许的范围内单方对本产品说明书进行修订。</w:t>
      </w:r>
      <w:r>
        <w:rPr>
          <w:rFonts w:ascii="新宋体" w:eastAsia="新宋体" w:hAnsi="新宋体" w:cs="宋体"/>
          <w:b/>
          <w:kern w:val="0"/>
          <w:szCs w:val="21"/>
        </w:rPr>
        <w:t xml:space="preserve"> </w:t>
      </w:r>
      <w:r>
        <w:rPr>
          <w:rFonts w:ascii="新宋体" w:eastAsia="新宋体" w:hAnsi="新宋体" w:cs="宋体"/>
          <w:b/>
          <w:kern w:val="0"/>
          <w:szCs w:val="21"/>
        </w:rPr>
        <w:t>管理人决定对产品说明书进行修订的，将以本《产品说明书》约定的信息披露方式向投资者进行信息披露，</w:t>
      </w:r>
      <w:r>
        <w:rPr>
          <w:rFonts w:ascii="新宋体" w:eastAsia="新宋体" w:hAnsi="新宋体" w:cs="宋体"/>
          <w:b/>
          <w:kern w:val="0"/>
          <w:szCs w:val="21"/>
        </w:rPr>
        <w:t xml:space="preserve"> </w:t>
      </w:r>
      <w:r>
        <w:rPr>
          <w:rFonts w:ascii="新宋体" w:eastAsia="新宋体" w:hAnsi="新宋体" w:cs="宋体"/>
          <w:b/>
          <w:kern w:val="0"/>
          <w:szCs w:val="21"/>
        </w:rPr>
        <w:t>管理人按照前述规则发布该信息披露即视为该修订通知已送达投资者并对投资者具有法律约束力。</w:t>
      </w:r>
    </w:p>
    <w:p w:rsidR="00914A4A" w:rsidRDefault="000A3D09">
      <w:pPr>
        <w:snapToGrid w:val="0"/>
        <w:spacing w:line="360" w:lineRule="auto"/>
        <w:ind w:firstLineChars="200" w:firstLine="422"/>
        <w:jc w:val="left"/>
        <w:rPr>
          <w:rFonts w:ascii="新宋体" w:eastAsia="新宋体" w:hAnsi="新宋体"/>
          <w:b/>
        </w:rPr>
      </w:pPr>
      <w:r>
        <w:rPr>
          <w:rFonts w:ascii="新宋体" w:eastAsia="新宋体" w:hAnsi="新宋体" w:hint="eastAsia"/>
          <w:b/>
        </w:rPr>
        <w:t>一、风险揭示</w:t>
      </w:r>
    </w:p>
    <w:p w:rsidR="00914A4A" w:rsidRDefault="000A3D09">
      <w:pPr>
        <w:snapToGrid w:val="0"/>
        <w:spacing w:line="360" w:lineRule="auto"/>
        <w:jc w:val="left"/>
        <w:rPr>
          <w:rFonts w:ascii="新宋体" w:eastAsia="新宋体" w:hAnsi="新宋体"/>
        </w:rPr>
      </w:pPr>
      <w:r>
        <w:rPr>
          <w:rFonts w:ascii="新宋体" w:eastAsia="新宋体" w:hAnsi="新宋体" w:hint="eastAsia"/>
        </w:rPr>
        <w:t>尊敬的客户：</w:t>
      </w:r>
    </w:p>
    <w:p w:rsidR="00914A4A" w:rsidRDefault="000A3D09">
      <w:pPr>
        <w:snapToGrid w:val="0"/>
        <w:spacing w:line="360" w:lineRule="auto"/>
        <w:ind w:firstLineChars="200" w:firstLine="422"/>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w:t>
      </w:r>
      <w:r>
        <w:rPr>
          <w:rFonts w:ascii="新宋体" w:eastAsia="新宋体" w:hAnsi="新宋体" w:hint="eastAsia"/>
          <w:b/>
        </w:rPr>
        <w:t>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rsidRDefault="000A3D09">
      <w:pPr>
        <w:spacing w:line="360" w:lineRule="auto"/>
        <w:ind w:firstLineChars="200" w:firstLine="422"/>
        <w:rPr>
          <w:rFonts w:ascii="新宋体" w:eastAsia="新宋体" w:hAnsi="新宋体" w:cs="宋体"/>
          <w:b/>
          <w:kern w:val="0"/>
          <w:szCs w:val="21"/>
        </w:rPr>
      </w:pPr>
      <w:r>
        <w:rPr>
          <w:rFonts w:ascii="新宋体" w:eastAsia="新宋体" w:hAnsi="新宋体" w:cs="宋体" w:hint="eastAsia"/>
          <w:b/>
          <w:kern w:val="0"/>
          <w:szCs w:val="21"/>
        </w:rPr>
        <w:lastRenderedPageBreak/>
        <w:t>理财非存款，产品有风险，投资须谨慎。您应充分认识以下风险：</w:t>
      </w:r>
    </w:p>
    <w:p w:rsidR="00914A4A" w:rsidRDefault="000A3D09">
      <w:pPr>
        <w:snapToGrid w:val="0"/>
        <w:spacing w:line="360" w:lineRule="auto"/>
        <w:ind w:firstLineChars="200" w:firstLine="422"/>
        <w:jc w:val="left"/>
        <w:rPr>
          <w:rFonts w:ascii="新宋体" w:eastAsia="新宋体" w:hAnsi="新宋体"/>
          <w:b/>
        </w:rPr>
      </w:pPr>
      <w:r>
        <w:rPr>
          <w:rFonts w:ascii="新宋体" w:eastAsia="新宋体" w:hAnsi="新宋体" w:hint="eastAsia"/>
          <w:b/>
        </w:rPr>
        <w:t>1.</w:t>
      </w:r>
      <w:r>
        <w:rPr>
          <w:rFonts w:ascii="新宋体" w:eastAsia="新宋体" w:hAnsi="新宋体" w:hint="eastAsia"/>
          <w:b/>
        </w:rPr>
        <w:t>理财本金及收益风险</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w:t>
      </w:r>
      <w:r>
        <w:rPr>
          <w:rFonts w:ascii="新宋体" w:eastAsia="新宋体" w:hAnsi="新宋体" w:cs="宋体" w:hint="eastAsia"/>
          <w:kern w:val="0"/>
          <w:szCs w:val="21"/>
        </w:rPr>
        <w:t>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w:t>
      </w:r>
      <w:r>
        <w:rPr>
          <w:rFonts w:ascii="新宋体" w:eastAsia="新宋体" w:hAnsi="新宋体" w:cs="宋体" w:hint="eastAsia"/>
          <w:kern w:val="0"/>
          <w:szCs w:val="21"/>
        </w:rPr>
        <w:t xml:space="preserve"> (</w:t>
      </w:r>
      <w:r>
        <w:rPr>
          <w:rFonts w:ascii="新宋体" w:eastAsia="新宋体" w:hAnsi="新宋体" w:cs="宋体" w:hint="eastAsia"/>
          <w:kern w:val="0"/>
          <w:szCs w:val="21"/>
        </w:rPr>
        <w:t>★</w:t>
      </w:r>
      <w:r>
        <w:rPr>
          <w:rFonts w:ascii="新宋体" w:eastAsia="新宋体" w:hAnsi="新宋体" w:cs="宋体" w:hint="eastAsia"/>
          <w:kern w:val="0"/>
          <w:szCs w:val="21"/>
        </w:rPr>
        <w:t>)</w:t>
      </w:r>
      <w:r>
        <w:rPr>
          <w:rFonts w:ascii="新宋体" w:eastAsia="新宋体" w:hAnsi="新宋体" w:cs="宋体" w:hint="eastAsia"/>
          <w:kern w:val="0"/>
          <w:szCs w:val="21"/>
        </w:rPr>
        <w:t>、稳健型</w:t>
      </w:r>
      <w:r>
        <w:rPr>
          <w:rFonts w:ascii="新宋体" w:eastAsia="新宋体" w:hAnsi="新宋体" w:cs="宋体" w:hint="eastAsia"/>
          <w:kern w:val="0"/>
          <w:szCs w:val="21"/>
        </w:rPr>
        <w:t xml:space="preserve"> (</w:t>
      </w:r>
      <w:r>
        <w:rPr>
          <w:rFonts w:ascii="新宋体" w:eastAsia="新宋体" w:hAnsi="新宋体" w:cs="宋体" w:hint="eastAsia"/>
          <w:kern w:val="0"/>
          <w:szCs w:val="21"/>
        </w:rPr>
        <w:t>★★</w:t>
      </w:r>
      <w:r>
        <w:rPr>
          <w:rFonts w:ascii="新宋体" w:eastAsia="新宋体" w:hAnsi="新宋体" w:cs="宋体" w:hint="eastAsia"/>
          <w:kern w:val="0"/>
          <w:szCs w:val="21"/>
        </w:rPr>
        <w:t>)</w:t>
      </w:r>
      <w:r>
        <w:rPr>
          <w:rFonts w:ascii="新宋体" w:eastAsia="新宋体" w:hAnsi="新宋体" w:cs="宋体" w:hint="eastAsia"/>
          <w:kern w:val="0"/>
          <w:szCs w:val="21"/>
        </w:rPr>
        <w:t>、平衡型</w:t>
      </w:r>
      <w:r>
        <w:rPr>
          <w:rFonts w:ascii="新宋体" w:eastAsia="新宋体" w:hAnsi="新宋体" w:cs="宋体" w:hint="eastAsia"/>
          <w:kern w:val="0"/>
          <w:szCs w:val="21"/>
        </w:rPr>
        <w:t xml:space="preserve"> (</w:t>
      </w:r>
      <w:r>
        <w:rPr>
          <w:rFonts w:ascii="新宋体" w:eastAsia="新宋体" w:hAnsi="新宋体" w:cs="宋体" w:hint="eastAsia"/>
          <w:kern w:val="0"/>
          <w:szCs w:val="21"/>
        </w:rPr>
        <w:t>★★★</w:t>
      </w:r>
      <w:r>
        <w:rPr>
          <w:rFonts w:ascii="新宋体" w:eastAsia="新宋体" w:hAnsi="新宋体" w:cs="宋体" w:hint="eastAsia"/>
          <w:kern w:val="0"/>
          <w:szCs w:val="21"/>
        </w:rPr>
        <w:t>)</w:t>
      </w:r>
      <w:r>
        <w:rPr>
          <w:rFonts w:ascii="新宋体" w:eastAsia="新宋体" w:hAnsi="新宋体" w:cs="宋体" w:hint="eastAsia"/>
          <w:kern w:val="0"/>
          <w:szCs w:val="21"/>
        </w:rPr>
        <w:t>、进取型</w:t>
      </w:r>
      <w:r>
        <w:rPr>
          <w:rFonts w:ascii="新宋体" w:eastAsia="新宋体" w:hAnsi="新宋体" w:cs="宋体" w:hint="eastAsia"/>
          <w:kern w:val="0"/>
          <w:szCs w:val="21"/>
        </w:rPr>
        <w:t xml:space="preserve"> (</w:t>
      </w:r>
      <w:r>
        <w:rPr>
          <w:rFonts w:ascii="新宋体" w:eastAsia="新宋体" w:hAnsi="新宋体" w:cs="宋体" w:hint="eastAsia"/>
          <w:kern w:val="0"/>
          <w:szCs w:val="21"/>
        </w:rPr>
        <w:t>★★★★</w:t>
      </w:r>
      <w:r>
        <w:rPr>
          <w:rFonts w:ascii="新宋体" w:eastAsia="新宋体" w:hAnsi="新宋体" w:cs="宋体" w:hint="eastAsia"/>
          <w:kern w:val="0"/>
          <w:szCs w:val="21"/>
        </w:rPr>
        <w:t>)</w:t>
      </w:r>
      <w:r>
        <w:rPr>
          <w:rFonts w:ascii="新宋体" w:eastAsia="新宋体" w:hAnsi="新宋体" w:cs="宋体" w:hint="eastAsia"/>
          <w:kern w:val="0"/>
          <w:szCs w:val="21"/>
        </w:rPr>
        <w:t>、激进型</w:t>
      </w:r>
      <w:r>
        <w:rPr>
          <w:rFonts w:ascii="新宋体" w:eastAsia="新宋体" w:hAnsi="新宋体" w:cs="宋体" w:hint="eastAsia"/>
          <w:kern w:val="0"/>
          <w:szCs w:val="21"/>
        </w:rPr>
        <w:t xml:space="preserve"> (</w:t>
      </w:r>
      <w:r>
        <w:rPr>
          <w:rFonts w:ascii="新宋体" w:eastAsia="新宋体" w:hAnsi="新宋体" w:cs="宋体" w:hint="eastAsia"/>
          <w:kern w:val="0"/>
          <w:szCs w:val="21"/>
        </w:rPr>
        <w:t>★★★★★</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2.</w:t>
      </w:r>
      <w:r>
        <w:rPr>
          <w:rFonts w:ascii="新宋体" w:eastAsia="新宋体" w:hAnsi="新宋体" w:cs="宋体" w:hint="eastAsia"/>
          <w:b/>
          <w:kern w:val="0"/>
          <w:szCs w:val="21"/>
        </w:rPr>
        <w:t>管理人风险</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因管理人（包括本理财计划的理财管理人、所投资信托计划</w:t>
      </w:r>
      <w:r>
        <w:rPr>
          <w:rFonts w:ascii="新宋体" w:eastAsia="新宋体" w:hAnsi="新宋体" w:hint="eastAsia"/>
          <w:szCs w:val="21"/>
        </w:rPr>
        <w:t>/</w:t>
      </w:r>
      <w:r>
        <w:rPr>
          <w:rFonts w:ascii="新宋体" w:eastAsia="新宋体" w:hAnsi="新宋体" w:hint="eastAsia"/>
          <w:szCs w:val="21"/>
        </w:rPr>
        <w:t>资管计划的受托人（如有）、相关投资顾问（如有）等，下同）受经验、技能等因素限制，可能导致本理财计划项下的理财资金遭受损失。</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3.</w:t>
      </w:r>
      <w:r>
        <w:rPr>
          <w:rFonts w:ascii="新宋体" w:eastAsia="新宋体" w:hAnsi="新宋体" w:cs="宋体" w:hint="eastAsia"/>
          <w:b/>
          <w:kern w:val="0"/>
          <w:szCs w:val="21"/>
        </w:rPr>
        <w:t>市场风险</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4.</w:t>
      </w:r>
      <w:r>
        <w:rPr>
          <w:rFonts w:ascii="新宋体" w:eastAsia="新宋体" w:hAnsi="新宋体" w:hint="eastAsia"/>
          <w:b/>
          <w:szCs w:val="21"/>
        </w:rPr>
        <w:t>政策风险</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5.</w:t>
      </w:r>
      <w:r>
        <w:rPr>
          <w:rFonts w:ascii="新宋体" w:eastAsia="新宋体" w:hAnsi="新宋体" w:cs="宋体" w:hint="eastAsia"/>
          <w:b/>
          <w:kern w:val="0"/>
          <w:szCs w:val="21"/>
        </w:rPr>
        <w:t>流动性风险</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cs="宋体"/>
          <w:kern w:val="0"/>
          <w:szCs w:val="21"/>
        </w:rPr>
      </w:pPr>
      <w:r>
        <w:rPr>
          <w:rFonts w:ascii="新宋体" w:eastAsia="新宋体" w:hAnsi="新宋体" w:cs="宋体" w:hint="eastAsia"/>
          <w:kern w:val="0"/>
          <w:szCs w:val="21"/>
        </w:rPr>
        <w:t>在特定市场环境下，理财产品所投资的部分市场或资产可能出现流动性较差的情况，</w:t>
      </w:r>
      <w:r>
        <w:rPr>
          <w:rFonts w:ascii="新宋体" w:eastAsia="新宋体" w:hAnsi="新宋体" w:cs="宋体" w:hint="eastAsia"/>
          <w:kern w:val="0"/>
          <w:szCs w:val="21"/>
        </w:rPr>
        <w:t>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6.</w:t>
      </w:r>
      <w:r>
        <w:rPr>
          <w:rFonts w:ascii="新宋体" w:eastAsia="新宋体" w:hAnsi="新宋体" w:cs="宋体" w:hint="eastAsia"/>
          <w:b/>
          <w:kern w:val="0"/>
          <w:szCs w:val="21"/>
        </w:rPr>
        <w:t>理财计划不成立风险</w:t>
      </w:r>
    </w:p>
    <w:p w:rsidR="00914A4A" w:rsidRDefault="000A3D09">
      <w:pPr>
        <w:autoSpaceDE w:val="0"/>
        <w:autoSpaceDN w:val="0"/>
        <w:adjustRightInd w:val="0"/>
        <w:snapToGrid w:val="0"/>
        <w:spacing w:line="360" w:lineRule="auto"/>
        <w:ind w:firstLineChars="200" w:firstLine="42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w:t>
      </w:r>
      <w:r>
        <w:rPr>
          <w:rFonts w:ascii="新宋体" w:eastAsia="新宋体" w:hAnsi="新宋体" w:cs="宋体" w:hint="eastAsia"/>
          <w:kern w:val="0"/>
          <w:szCs w:val="21"/>
        </w:rPr>
        <w:t>场发生剧烈波动，经青银理财合理判断难以按照本产品说明书规定向投资者提供本理财计划，则青银理财有权宣布本理财计划不成立。</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lastRenderedPageBreak/>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rsidRDefault="000A3D09">
      <w:pPr>
        <w:snapToGrid w:val="0"/>
        <w:spacing w:line="360" w:lineRule="auto"/>
        <w:ind w:firstLineChars="200" w:firstLine="42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w:t>
      </w:r>
      <w:r>
        <w:rPr>
          <w:rFonts w:ascii="新宋体" w:eastAsia="新宋体" w:hAnsi="新宋体" w:cs="宋体" w:hint="eastAsia"/>
          <w:b/>
          <w:kern w:val="0"/>
          <w:szCs w:val="21"/>
        </w:rPr>
        <w:t>信息传递风险</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w:t>
      </w:r>
      <w:r>
        <w:rPr>
          <w:b/>
        </w:rPr>
        <w:t>/</w:t>
      </w:r>
      <w:r>
        <w:rPr>
          <w:b/>
        </w:rPr>
        <w:t>代理销售机构网站或致电本公司</w:t>
      </w:r>
      <w:r>
        <w:rPr>
          <w:b/>
        </w:rPr>
        <w:t>/</w:t>
      </w:r>
      <w:r>
        <w:rPr>
          <w:b/>
        </w:rPr>
        <w:t>代理销售机构客户服务热线（</w:t>
      </w:r>
      <w:r>
        <w:rPr>
          <w:rFonts w:hint="eastAsia"/>
          <w:b/>
        </w:rPr>
        <w:t>青银</w:t>
      </w:r>
      <w:r>
        <w:rPr>
          <w:b/>
        </w:rPr>
        <w:t>理财：</w:t>
      </w:r>
      <w:r>
        <w:rPr>
          <w:b/>
        </w:rPr>
        <w:t>4000879666</w:t>
      </w:r>
      <w:r>
        <w:rPr>
          <w:b/>
        </w:rPr>
        <w:t>；代理销售机构详见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w:t>
      </w:r>
      <w:r>
        <w:rPr>
          <w:b/>
        </w:rPr>
        <w:t>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rsidRDefault="000A3D09">
      <w:pPr>
        <w:autoSpaceDE w:val="0"/>
        <w:autoSpaceDN w:val="0"/>
        <w:adjustRightInd w:val="0"/>
        <w:snapToGrid w:val="0"/>
        <w:spacing w:line="360" w:lineRule="auto"/>
        <w:ind w:firstLineChars="200" w:firstLine="422"/>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w:t>
      </w:r>
      <w:r>
        <w:rPr>
          <w:rFonts w:ascii="新宋体" w:eastAsia="新宋体" w:hAnsi="新宋体" w:cs="宋体" w:hint="eastAsia"/>
          <w:b/>
          <w:kern w:val="0"/>
          <w:szCs w:val="21"/>
        </w:rPr>
        <w:t>不可抗力及意外事件风险</w:t>
      </w:r>
    </w:p>
    <w:p w:rsidR="00914A4A" w:rsidRDefault="000A3D09">
      <w:pPr>
        <w:pStyle w:val="aa"/>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不可抗力因素可能导致理财资产收益降低或本金损失，影响理财计划的信息传递、成立、运作、偿还及本金安全。“不可抗力”是指交易各方不能合理控制、不可预见或即使预见亦无法避免的事件，该事件妨</w:t>
      </w:r>
      <w:r>
        <w:rPr>
          <w:rFonts w:ascii="新宋体" w:eastAsia="新宋体" w:hAnsi="新宋体" w:hint="eastAsia"/>
          <w:sz w:val="21"/>
          <w:szCs w:val="21"/>
        </w:rPr>
        <w:t>碍、影响或延误任何一方履行其全部或部分权利和义务。该事件包括但不限于自然灾害、战争、骚乱、相关法律法规出台变更及市场环境突变等因素。</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b/>
          <w:sz w:val="21"/>
          <w:szCs w:val="21"/>
        </w:rPr>
        <w:t>以上风险仅为列举性质，详见产品风险揭示书。</w:t>
      </w:r>
    </w:p>
    <w:p w:rsidR="00914A4A" w:rsidRDefault="000A3D09">
      <w:pPr>
        <w:spacing w:line="360" w:lineRule="auto"/>
        <w:ind w:firstLineChars="200" w:firstLine="422"/>
        <w:jc w:val="left"/>
        <w:rPr>
          <w:rFonts w:ascii="新宋体" w:eastAsia="新宋体" w:hAnsi="新宋体"/>
          <w:b/>
          <w:szCs w:val="21"/>
        </w:rPr>
      </w:pPr>
      <w:r>
        <w:rPr>
          <w:rFonts w:ascii="新宋体" w:eastAsia="新宋体" w:hAnsi="新宋体" w:hint="eastAsia"/>
          <w:b/>
          <w:szCs w:val="21"/>
        </w:rPr>
        <w:t>二、产品概述</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925"/>
        <w:gridCol w:w="7523"/>
      </w:tblGrid>
      <w:tr w:rsidR="006A5AE0" w:rsidTr="008F58A3">
        <w:trPr>
          <w:trHeight w:val="298"/>
        </w:trPr>
        <w:tc>
          <w:tcPr>
            <w:tcW w:w="9448" w:type="dxa"/>
            <w:gridSpan w:val="2"/>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p>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适合经青银理财评估为稳健型及以上级别个人客户和机构客户购买。上述信息仅供参考。</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产品名称</w:t>
            </w:r>
          </w:p>
        </w:tc>
        <w:tc>
          <w:tcPr>
            <w:tcW w:w="7523" w:type="dxa"/>
            <w:vAlign w:val="center"/>
          </w:tcPr>
          <w:p w:rsidR="00914A4A" w:rsidRDefault="000A3D09">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w:t>
            </w:r>
            <w:r>
              <w:rPr>
                <w:rFonts w:ascii="新宋体" w:eastAsia="新宋体" w:hAnsi="新宋体"/>
              </w:rPr>
              <w:t>2026</w:t>
            </w:r>
            <w:r>
              <w:rPr>
                <w:rFonts w:ascii="新宋体" w:eastAsia="新宋体" w:hAnsi="新宋体"/>
              </w:rPr>
              <w:t>年</w:t>
            </w:r>
            <w:r>
              <w:rPr>
                <w:rFonts w:ascii="新宋体" w:eastAsia="新宋体" w:hAnsi="新宋体"/>
              </w:rPr>
              <w:t>172</w:t>
            </w:r>
            <w:r>
              <w:rPr>
                <w:rFonts w:ascii="新宋体" w:eastAsia="新宋体" w:hAnsi="新宋体"/>
              </w:rPr>
              <w:t>期</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产品简称</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青银理财成就系列（低波共享）</w:t>
            </w:r>
            <w:r>
              <w:rPr>
                <w:rFonts w:ascii="新宋体" w:eastAsia="新宋体" w:hAnsi="新宋体"/>
              </w:rPr>
              <w:t>2026</w:t>
            </w:r>
            <w:r>
              <w:rPr>
                <w:rFonts w:ascii="新宋体" w:eastAsia="新宋体" w:hAnsi="新宋体"/>
              </w:rPr>
              <w:t>年</w:t>
            </w:r>
            <w:r>
              <w:rPr>
                <w:rFonts w:ascii="新宋体" w:eastAsia="新宋体" w:hAnsi="新宋体"/>
              </w:rPr>
              <w:t>172</w:t>
            </w:r>
            <w:r>
              <w:rPr>
                <w:rFonts w:ascii="新宋体" w:eastAsia="新宋体" w:hAnsi="新宋体"/>
              </w:rPr>
              <w:t>期（特供款）</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产品代码</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CCCJGX26172</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份额类型</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rsidRDefault="000A3D09">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rsidRDefault="000A3D09">
            <w:pPr>
              <w:spacing w:line="360" w:lineRule="auto"/>
              <w:rPr>
                <w:rFonts w:ascii="新宋体" w:eastAsia="新宋体" w:hAnsi="新宋体"/>
              </w:rPr>
            </w:pPr>
            <w:r>
              <w:rPr>
                <w:rFonts w:ascii="新宋体" w:eastAsia="新宋体" w:hAnsi="新宋体" w:hint="eastAsia"/>
              </w:rPr>
              <w:t>产品销售代码、产品销售名称、产品销售对象、认购</w:t>
            </w:r>
            <w:r>
              <w:rPr>
                <w:rFonts w:ascii="新宋体" w:eastAsia="新宋体" w:hAnsi="新宋体" w:hint="eastAsia"/>
              </w:rPr>
              <w:t>/</w:t>
            </w:r>
            <w:r>
              <w:rPr>
                <w:rFonts w:ascii="新宋体" w:eastAsia="新宋体" w:hAnsi="新宋体" w:hint="eastAsia"/>
              </w:rPr>
              <w:t>申购投资起点金额及递增</w:t>
            </w:r>
            <w:r>
              <w:rPr>
                <w:rFonts w:ascii="新宋体" w:eastAsia="新宋体" w:hAnsi="新宋体" w:hint="eastAsia"/>
              </w:rPr>
              <w:lastRenderedPageBreak/>
              <w:t>金额、业绩比较基准、固定管理费率、销售手续费率（如有）、收费方式、单一投资者持有限额、产品规模上限等，并分别计算和公告产品份额净值。投资者可根据实际情况自行选择认购的产品份额类别。</w:t>
            </w:r>
          </w:p>
          <w:p w:rsidR="00914A4A" w:rsidRDefault="000A3D09">
            <w:pPr>
              <w:spacing w:line="360" w:lineRule="auto"/>
              <w:rPr>
                <w:rFonts w:ascii="新宋体" w:eastAsia="新宋体" w:hAnsi="新宋体"/>
              </w:rPr>
            </w:pPr>
            <w:r>
              <w:rPr>
                <w:rFonts w:ascii="新宋体" w:eastAsia="新宋体" w:hAnsi="新宋体" w:hint="eastAsia"/>
              </w:rPr>
              <w:t>A</w:t>
            </w:r>
            <w:r>
              <w:rPr>
                <w:rFonts w:ascii="新宋体" w:eastAsia="新宋体" w:hAnsi="新宋体" w:hint="eastAsia"/>
              </w:rPr>
              <w:t>份额，销售代码【</w:t>
            </w:r>
            <w:r>
              <w:rPr>
                <w:rFonts w:ascii="新宋体" w:eastAsia="新宋体" w:hAnsi="新宋体" w:hint="eastAsia"/>
              </w:rPr>
              <w:t>CCCJGX26172A</w:t>
            </w:r>
            <w:r>
              <w:rPr>
                <w:rFonts w:ascii="新宋体" w:eastAsia="新宋体" w:hAnsi="新宋体" w:hint="eastAsia"/>
              </w:rPr>
              <w:t>】，销售名称：青银理财成就系列（</w:t>
            </w:r>
            <w:r>
              <w:rPr>
                <w:rFonts w:ascii="新宋体" w:eastAsia="新宋体" w:hAnsi="新宋体" w:hint="eastAsia"/>
              </w:rPr>
              <w:t>低波共享）</w:t>
            </w:r>
            <w:r>
              <w:rPr>
                <w:rFonts w:ascii="新宋体" w:eastAsia="新宋体" w:hAnsi="新宋体" w:hint="eastAsia"/>
              </w:rPr>
              <w:t>2026</w:t>
            </w:r>
            <w:r>
              <w:rPr>
                <w:rFonts w:ascii="新宋体" w:eastAsia="新宋体" w:hAnsi="新宋体" w:hint="eastAsia"/>
              </w:rPr>
              <w:t>年</w:t>
            </w:r>
            <w:r>
              <w:rPr>
                <w:rFonts w:ascii="新宋体" w:eastAsia="新宋体" w:hAnsi="新宋体" w:hint="eastAsia"/>
              </w:rPr>
              <w:t>172</w:t>
            </w:r>
            <w:r>
              <w:rPr>
                <w:rFonts w:ascii="新宋体" w:eastAsia="新宋体" w:hAnsi="新宋体" w:hint="eastAsia"/>
              </w:rPr>
              <w:t>期（特供款）</w:t>
            </w:r>
            <w:r>
              <w:rPr>
                <w:rFonts w:ascii="新宋体" w:eastAsia="新宋体" w:hAnsi="新宋体" w:hint="eastAsia"/>
              </w:rPr>
              <w:t>A</w:t>
            </w:r>
            <w:r>
              <w:rPr>
                <w:rFonts w:ascii="新宋体" w:eastAsia="新宋体" w:hAnsi="新宋体" w:hint="eastAsia"/>
              </w:rPr>
              <w:t>份额</w:t>
            </w:r>
            <w:r>
              <w:rPr>
                <w:rFonts w:ascii="新宋体" w:eastAsia="新宋体" w:hAnsi="新宋体" w:hint="eastAsia"/>
              </w:rPr>
              <w:t>,</w:t>
            </w:r>
            <w:r>
              <w:rPr>
                <w:rFonts w:ascii="新宋体" w:eastAsia="新宋体" w:hAnsi="新宋体" w:hint="eastAsia"/>
              </w:rPr>
              <w:t>销售对象【临商银行及各销售服务渠道个人及机构客户，具体客户类型以销售机构规定为准】</w:t>
            </w:r>
            <w:r>
              <w:rPr>
                <w:rFonts w:ascii="新宋体" w:eastAsia="新宋体" w:hAnsi="新宋体" w:hint="eastAsia"/>
              </w:rPr>
              <w:br/>
              <w:t>B</w:t>
            </w:r>
            <w:r>
              <w:rPr>
                <w:rFonts w:ascii="新宋体" w:eastAsia="新宋体" w:hAnsi="新宋体" w:hint="eastAsia"/>
              </w:rPr>
              <w:t>份额，销售代码【</w:t>
            </w:r>
            <w:r>
              <w:rPr>
                <w:rFonts w:ascii="新宋体" w:eastAsia="新宋体" w:hAnsi="新宋体" w:hint="eastAsia"/>
              </w:rPr>
              <w:t>CCCJGX26172B</w:t>
            </w:r>
            <w:r>
              <w:rPr>
                <w:rFonts w:ascii="新宋体" w:eastAsia="新宋体" w:hAnsi="新宋体" w:hint="eastAsia"/>
              </w:rPr>
              <w:t>】，销售名称：青银理财成就系列（低波共享）</w:t>
            </w:r>
            <w:r>
              <w:rPr>
                <w:rFonts w:ascii="新宋体" w:eastAsia="新宋体" w:hAnsi="新宋体" w:hint="eastAsia"/>
              </w:rPr>
              <w:t>2026</w:t>
            </w:r>
            <w:r>
              <w:rPr>
                <w:rFonts w:ascii="新宋体" w:eastAsia="新宋体" w:hAnsi="新宋体" w:hint="eastAsia"/>
              </w:rPr>
              <w:t>年</w:t>
            </w:r>
            <w:r>
              <w:rPr>
                <w:rFonts w:ascii="新宋体" w:eastAsia="新宋体" w:hAnsi="新宋体" w:hint="eastAsia"/>
              </w:rPr>
              <w:t>172</w:t>
            </w:r>
            <w:r>
              <w:rPr>
                <w:rFonts w:ascii="新宋体" w:eastAsia="新宋体" w:hAnsi="新宋体" w:hint="eastAsia"/>
              </w:rPr>
              <w:t>期（特供款）</w:t>
            </w:r>
            <w:r>
              <w:rPr>
                <w:rFonts w:ascii="新宋体" w:eastAsia="新宋体" w:hAnsi="新宋体" w:hint="eastAsia"/>
              </w:rPr>
              <w:t>B</w:t>
            </w:r>
            <w:r>
              <w:rPr>
                <w:rFonts w:ascii="新宋体" w:eastAsia="新宋体" w:hAnsi="新宋体" w:hint="eastAsia"/>
              </w:rPr>
              <w:t>份额</w:t>
            </w:r>
            <w:r>
              <w:rPr>
                <w:rFonts w:ascii="新宋体" w:eastAsia="新宋体" w:hAnsi="新宋体" w:hint="eastAsia"/>
              </w:rPr>
              <w:t>,</w:t>
            </w:r>
            <w:r>
              <w:rPr>
                <w:rFonts w:ascii="新宋体" w:eastAsia="新宋体" w:hAnsi="新宋体" w:hint="eastAsia"/>
              </w:rPr>
              <w:t>销售对象【厦门银行及各销售服务渠道个人及机构客户，具体客户类型以销售机构规定为准】</w:t>
            </w:r>
            <w:r>
              <w:rPr>
                <w:rFonts w:ascii="新宋体" w:eastAsia="新宋体" w:hAnsi="新宋体" w:hint="eastAsia"/>
              </w:rPr>
              <w:br/>
              <w:t>C</w:t>
            </w:r>
            <w:r>
              <w:rPr>
                <w:rFonts w:ascii="新宋体" w:eastAsia="新宋体" w:hAnsi="新宋体" w:hint="eastAsia"/>
              </w:rPr>
              <w:t>份额，销售代码【</w:t>
            </w:r>
            <w:r>
              <w:rPr>
                <w:rFonts w:ascii="新宋体" w:eastAsia="新宋体" w:hAnsi="新宋体" w:hint="eastAsia"/>
              </w:rPr>
              <w:t>CCCJGX26172C</w:t>
            </w:r>
            <w:r>
              <w:rPr>
                <w:rFonts w:ascii="新宋体" w:eastAsia="新宋体" w:hAnsi="新宋体" w:hint="eastAsia"/>
              </w:rPr>
              <w:t>】，销售名称：青银理财成就系列（低波共享）</w:t>
            </w:r>
            <w:r>
              <w:rPr>
                <w:rFonts w:ascii="新宋体" w:eastAsia="新宋体" w:hAnsi="新宋体" w:hint="eastAsia"/>
              </w:rPr>
              <w:t>2026</w:t>
            </w:r>
            <w:r>
              <w:rPr>
                <w:rFonts w:ascii="新宋体" w:eastAsia="新宋体" w:hAnsi="新宋体" w:hint="eastAsia"/>
              </w:rPr>
              <w:t>年</w:t>
            </w:r>
            <w:r>
              <w:rPr>
                <w:rFonts w:ascii="新宋体" w:eastAsia="新宋体" w:hAnsi="新宋体" w:hint="eastAsia"/>
              </w:rPr>
              <w:t>172</w:t>
            </w:r>
            <w:r>
              <w:rPr>
                <w:rFonts w:ascii="新宋体" w:eastAsia="新宋体" w:hAnsi="新宋体" w:hint="eastAsia"/>
              </w:rPr>
              <w:t>期（特供款）</w:t>
            </w:r>
            <w:r>
              <w:rPr>
                <w:rFonts w:ascii="新宋体" w:eastAsia="新宋体" w:hAnsi="新宋体" w:hint="eastAsia"/>
              </w:rPr>
              <w:t>C</w:t>
            </w:r>
            <w:r>
              <w:rPr>
                <w:rFonts w:ascii="新宋体" w:eastAsia="新宋体" w:hAnsi="新宋体" w:hint="eastAsia"/>
              </w:rPr>
              <w:t>份额</w:t>
            </w:r>
            <w:r>
              <w:rPr>
                <w:rFonts w:ascii="新宋体" w:eastAsia="新宋体" w:hAnsi="新宋体" w:hint="eastAsia"/>
              </w:rPr>
              <w:t>,</w:t>
            </w:r>
            <w:r>
              <w:rPr>
                <w:rFonts w:ascii="新宋体" w:eastAsia="新宋体" w:hAnsi="新宋体" w:hint="eastAsia"/>
              </w:rPr>
              <w:t>销售对象【大连银行及各销售服务渠道个人及机构客户，具体客户</w:t>
            </w:r>
            <w:r>
              <w:rPr>
                <w:rFonts w:ascii="新宋体" w:eastAsia="新宋体" w:hAnsi="新宋体" w:hint="eastAsia"/>
              </w:rPr>
              <w:t>类型以销售机构规定为准】</w:t>
            </w:r>
          </w:p>
          <w:p w:rsidR="00914A4A" w:rsidRDefault="000A3D09">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如理财产品份额类型有新增、减少和变更，青银理财将按照本理财产品说明书中有关“信息披露”的约定告知投资者。</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cs="新宋体"/>
                <w:color w:val="000000"/>
                <w:szCs w:val="21"/>
              </w:rPr>
              <w:lastRenderedPageBreak/>
              <w:t>理财信息登记系统产品登记编码</w:t>
            </w:r>
          </w:p>
        </w:tc>
        <w:tc>
          <w:tcPr>
            <w:tcW w:w="7523" w:type="dxa"/>
            <w:vAlign w:val="center"/>
          </w:tcPr>
          <w:p w:rsidR="00914A4A" w:rsidRDefault="005C0AF4">
            <w:pPr>
              <w:spacing w:line="360" w:lineRule="auto"/>
              <w:rPr>
                <w:rFonts w:ascii="新宋体" w:eastAsia="新宋体" w:hAnsi="新宋体"/>
              </w:rPr>
            </w:pPr>
            <w:r w:rsidRPr="005C0AF4">
              <w:rPr>
                <w:rFonts w:ascii="新宋体" w:eastAsia="新宋体" w:hAnsi="新宋体"/>
              </w:rPr>
              <w:t>Z7003526000223</w:t>
            </w:r>
            <w:r w:rsidR="000A3D09">
              <w:rPr>
                <w:rFonts w:ascii="新宋体" w:eastAsia="新宋体" w:hAnsi="新宋体" w:hint="eastAsia"/>
              </w:rPr>
              <w:t>，可通过中国理财网（</w:t>
            </w:r>
            <w:r w:rsidR="000A3D09">
              <w:rPr>
                <w:rFonts w:ascii="新宋体" w:eastAsia="新宋体" w:hAnsi="新宋体" w:hint="eastAsia"/>
              </w:rPr>
              <w:t>http://www.chinawealth.com.cn</w:t>
            </w:r>
            <w:r w:rsidR="000A3D09">
              <w:rPr>
                <w:rFonts w:ascii="新宋体" w:eastAsia="新宋体" w:hAnsi="新宋体" w:hint="eastAsia"/>
              </w:rPr>
              <w:t>）查询</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w:t>
            </w:r>
            <w:r>
              <w:rPr>
                <w:rFonts w:ascii="新宋体" w:eastAsia="新宋体" w:hAnsi="新宋体" w:cs="新宋体" w:hint="eastAsia"/>
                <w:color w:val="000000"/>
                <w:szCs w:val="21"/>
              </w:rPr>
              <w:t>收益币种</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人民币</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封闭式</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公募发行</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产品募集期</w:t>
            </w:r>
            <w:r>
              <w:rPr>
                <w:rFonts w:ascii="新宋体" w:eastAsia="新宋体" w:hAnsi="新宋体" w:hint="eastAsia"/>
                <w:szCs w:val="21"/>
              </w:rPr>
              <w:t xml:space="preserve">   </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2026</w:t>
            </w:r>
            <w:r>
              <w:rPr>
                <w:rFonts w:ascii="新宋体" w:eastAsia="新宋体" w:hAnsi="新宋体"/>
              </w:rPr>
              <w:t>年</w:t>
            </w:r>
            <w:r>
              <w:rPr>
                <w:rFonts w:ascii="新宋体" w:eastAsia="新宋体" w:hAnsi="新宋体"/>
              </w:rPr>
              <w:t>07</w:t>
            </w:r>
            <w:r>
              <w:rPr>
                <w:rFonts w:ascii="新宋体" w:eastAsia="新宋体" w:hAnsi="新宋体"/>
              </w:rPr>
              <w:t>月</w:t>
            </w:r>
            <w:r>
              <w:rPr>
                <w:rFonts w:ascii="新宋体" w:eastAsia="新宋体" w:hAnsi="新宋体"/>
              </w:rPr>
              <w:t>16</w:t>
            </w:r>
            <w:r>
              <w:rPr>
                <w:rFonts w:ascii="新宋体" w:eastAsia="新宋体" w:hAnsi="新宋体"/>
              </w:rPr>
              <w:t>日</w:t>
            </w:r>
            <w:r>
              <w:rPr>
                <w:rFonts w:ascii="新宋体" w:eastAsia="新宋体" w:hAnsi="新宋体" w:hint="eastAsia"/>
              </w:rPr>
              <w:t xml:space="preserve"> 9:00</w:t>
            </w:r>
            <w:r>
              <w:rPr>
                <w:rFonts w:ascii="新宋体" w:eastAsia="新宋体" w:hAnsi="新宋体" w:hint="eastAsia"/>
              </w:rPr>
              <w:t>至</w:t>
            </w:r>
            <w:r>
              <w:rPr>
                <w:rFonts w:ascii="新宋体" w:eastAsia="新宋体" w:hAnsi="新宋体"/>
              </w:rPr>
              <w:t>2026</w:t>
            </w:r>
            <w:r>
              <w:rPr>
                <w:rFonts w:ascii="新宋体" w:eastAsia="新宋体" w:hAnsi="新宋体"/>
              </w:rPr>
              <w:t>年</w:t>
            </w:r>
            <w:r>
              <w:rPr>
                <w:rFonts w:ascii="新宋体" w:eastAsia="新宋体" w:hAnsi="新宋体"/>
              </w:rPr>
              <w:t>07</w:t>
            </w:r>
            <w:r>
              <w:rPr>
                <w:rFonts w:ascii="新宋体" w:eastAsia="新宋体" w:hAnsi="新宋体"/>
              </w:rPr>
              <w:t>月</w:t>
            </w:r>
            <w:r>
              <w:rPr>
                <w:rFonts w:ascii="新宋体" w:eastAsia="新宋体" w:hAnsi="新宋体"/>
              </w:rPr>
              <w:t>22</w:t>
            </w:r>
            <w:r>
              <w:rPr>
                <w:rFonts w:ascii="新宋体" w:eastAsia="新宋体" w:hAnsi="新宋体"/>
              </w:rPr>
              <w:t>日</w:t>
            </w:r>
            <w:r>
              <w:rPr>
                <w:rFonts w:ascii="新宋体" w:eastAsia="新宋体" w:hAnsi="新宋体" w:hint="eastAsia"/>
              </w:rPr>
              <w:t>1</w:t>
            </w:r>
            <w:r>
              <w:rPr>
                <w:rFonts w:ascii="新宋体" w:eastAsia="新宋体" w:hAnsi="新宋体"/>
              </w:rPr>
              <w:t>7</w:t>
            </w:r>
            <w:r>
              <w:rPr>
                <w:rFonts w:ascii="新宋体" w:eastAsia="新宋体" w:hAnsi="新宋体" w:hint="eastAsia"/>
              </w:rPr>
              <w:t>:00(</w:t>
            </w:r>
            <w:r>
              <w:rPr>
                <w:rFonts w:ascii="新宋体" w:eastAsia="新宋体" w:hAnsi="新宋体" w:hint="eastAsia"/>
              </w:rPr>
              <w:t>早晚系统批量清算期间无法购买</w:t>
            </w:r>
            <w:r>
              <w:rPr>
                <w:rFonts w:ascii="新宋体" w:eastAsia="新宋体" w:hAnsi="新宋体" w:hint="eastAsia"/>
              </w:rPr>
              <w:t>)</w:t>
            </w:r>
            <w:r>
              <w:rPr>
                <w:rFonts w:ascii="新宋体" w:eastAsia="新宋体" w:hAnsi="新宋体" w:hint="eastAsia"/>
              </w:rPr>
              <w:t>（北京时间）</w:t>
            </w:r>
          </w:p>
          <w:p w:rsidR="00914A4A" w:rsidRDefault="000A3D09">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w:t>
            </w:r>
            <w:r>
              <w:rPr>
                <w:rFonts w:ascii="新宋体" w:eastAsia="新宋体" w:hAnsi="新宋体" w:cs="新宋体" w:hint="eastAsia"/>
                <w:color w:val="000000"/>
                <w:szCs w:val="21"/>
              </w:rPr>
              <w:t>1</w:t>
            </w:r>
            <w:r>
              <w:rPr>
                <w:rFonts w:ascii="新宋体" w:eastAsia="新宋体" w:hAnsi="新宋体" w:cs="新宋体" w:hint="eastAsia"/>
                <w:color w:val="000000"/>
                <w:szCs w:val="21"/>
              </w:rPr>
              <w:t>元</w:t>
            </w:r>
            <w:r>
              <w:rPr>
                <w:rFonts w:ascii="新宋体" w:eastAsia="新宋体" w:hAnsi="新宋体" w:cs="新宋体" w:hint="eastAsia"/>
                <w:color w:val="000000"/>
                <w:szCs w:val="21"/>
              </w:rPr>
              <w:t>/</w:t>
            </w:r>
            <w:r>
              <w:rPr>
                <w:rFonts w:ascii="新宋体" w:eastAsia="新宋体" w:hAnsi="新宋体" w:cs="新宋体" w:hint="eastAsia"/>
                <w:color w:val="000000"/>
                <w:szCs w:val="21"/>
              </w:rPr>
              <w:t>份。</w:t>
            </w:r>
          </w:p>
          <w:p w:rsidR="00914A4A" w:rsidRDefault="000A3D09">
            <w:pPr>
              <w:spacing w:line="360" w:lineRule="auto"/>
              <w:jc w:val="left"/>
              <w:rPr>
                <w:rFonts w:ascii="新宋体" w:eastAsia="新宋体" w:hAnsi="新宋体"/>
                <w:bCs/>
                <w:szCs w:val="21"/>
              </w:rPr>
            </w:pPr>
            <w:r>
              <w:rPr>
                <w:rFonts w:ascii="新宋体" w:eastAsia="新宋体" w:hAnsi="新宋体" w:hint="eastAsia"/>
                <w:bCs/>
                <w:szCs w:val="21"/>
              </w:rPr>
              <w:t>募集期申购资金是否产生利息及相关利率及其计算方式以各销售渠道实际计量为准，产生的利息</w:t>
            </w:r>
            <w:r>
              <w:rPr>
                <w:rFonts w:ascii="新宋体" w:eastAsia="新宋体" w:hAnsi="新宋体" w:hint="eastAsia"/>
                <w:bCs/>
                <w:szCs w:val="21"/>
              </w:rPr>
              <w:t>(</w:t>
            </w:r>
            <w:r>
              <w:rPr>
                <w:rFonts w:ascii="新宋体" w:eastAsia="新宋体" w:hAnsi="新宋体" w:hint="eastAsia"/>
                <w:bCs/>
                <w:szCs w:val="21"/>
              </w:rPr>
              <w:t>如有</w:t>
            </w:r>
            <w:r>
              <w:rPr>
                <w:rFonts w:ascii="新宋体" w:eastAsia="新宋体" w:hAnsi="新宋体" w:hint="eastAsia"/>
                <w:bCs/>
                <w:szCs w:val="21"/>
              </w:rPr>
              <w:t>)</w:t>
            </w:r>
            <w:r>
              <w:rPr>
                <w:rFonts w:ascii="新宋体" w:eastAsia="新宋体" w:hAnsi="新宋体" w:hint="eastAsia"/>
                <w:bCs/>
                <w:szCs w:val="21"/>
              </w:rPr>
              <w:t>不作为理财资金进入运作，不计算理财收益。</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产品成立日</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2026</w:t>
            </w:r>
            <w:r>
              <w:rPr>
                <w:rFonts w:ascii="新宋体" w:eastAsia="新宋体" w:hAnsi="新宋体"/>
              </w:rPr>
              <w:t>年</w:t>
            </w:r>
            <w:r>
              <w:rPr>
                <w:rFonts w:ascii="新宋体" w:eastAsia="新宋体" w:hAnsi="新宋体"/>
              </w:rPr>
              <w:t>07</w:t>
            </w:r>
            <w:r>
              <w:rPr>
                <w:rFonts w:ascii="新宋体" w:eastAsia="新宋体" w:hAnsi="新宋体"/>
              </w:rPr>
              <w:t>月</w:t>
            </w:r>
            <w:r>
              <w:rPr>
                <w:rFonts w:ascii="新宋体" w:eastAsia="新宋体" w:hAnsi="新宋体"/>
              </w:rPr>
              <w:t>23</w:t>
            </w:r>
            <w:r>
              <w:rPr>
                <w:rFonts w:ascii="新宋体" w:eastAsia="新宋体" w:hAnsi="新宋体"/>
              </w:rPr>
              <w:t>日</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产品到期日</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2027</w:t>
            </w:r>
            <w:r>
              <w:rPr>
                <w:rFonts w:ascii="新宋体" w:eastAsia="新宋体" w:hAnsi="新宋体"/>
              </w:rPr>
              <w:t>年</w:t>
            </w:r>
            <w:r>
              <w:rPr>
                <w:rFonts w:ascii="新宋体" w:eastAsia="新宋体" w:hAnsi="新宋体"/>
              </w:rPr>
              <w:t>01</w:t>
            </w:r>
            <w:r>
              <w:rPr>
                <w:rFonts w:ascii="新宋体" w:eastAsia="新宋体" w:hAnsi="新宋体"/>
              </w:rPr>
              <w:t>月</w:t>
            </w:r>
            <w:r>
              <w:rPr>
                <w:rFonts w:ascii="新宋体" w:eastAsia="新宋体" w:hAnsi="新宋体"/>
              </w:rPr>
              <w:t>06</w:t>
            </w:r>
            <w:r>
              <w:rPr>
                <w:rFonts w:ascii="新宋体" w:eastAsia="新宋体" w:hAnsi="新宋体"/>
              </w:rPr>
              <w:t>日</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理财期限</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rPr>
              <w:t>167</w:t>
            </w:r>
            <w:r>
              <w:rPr>
                <w:rFonts w:ascii="新宋体" w:eastAsia="新宋体" w:hAnsi="新宋体" w:hint="eastAsia"/>
              </w:rPr>
              <w:t>天</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lastRenderedPageBreak/>
              <w:t>产品规模</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A</w:t>
            </w:r>
            <w:r>
              <w:rPr>
                <w:rFonts w:ascii="新宋体" w:eastAsia="新宋体" w:hAnsi="新宋体" w:hint="eastAsia"/>
              </w:rPr>
              <w:t>份额规模上限</w:t>
            </w:r>
            <w:r>
              <w:rPr>
                <w:rFonts w:ascii="新宋体" w:eastAsia="新宋体" w:hAnsi="新宋体" w:hint="eastAsia"/>
              </w:rPr>
              <w:t>100000</w:t>
            </w:r>
            <w:r>
              <w:rPr>
                <w:rFonts w:ascii="新宋体" w:eastAsia="新宋体" w:hAnsi="新宋体" w:hint="eastAsia"/>
              </w:rPr>
              <w:t>万，规模下限</w:t>
            </w:r>
            <w:r>
              <w:rPr>
                <w:rFonts w:ascii="新宋体" w:eastAsia="新宋体" w:hAnsi="新宋体" w:hint="eastAsia"/>
              </w:rPr>
              <w:t>1</w:t>
            </w:r>
            <w:r>
              <w:rPr>
                <w:rFonts w:ascii="新宋体" w:eastAsia="新宋体" w:hAnsi="新宋体" w:hint="eastAsia"/>
              </w:rPr>
              <w:t>万</w:t>
            </w:r>
            <w:r>
              <w:rPr>
                <w:rFonts w:ascii="新宋体" w:eastAsia="新宋体" w:hAnsi="新宋体" w:hint="eastAsia"/>
              </w:rPr>
              <w:br/>
              <w:t>B</w:t>
            </w:r>
            <w:r>
              <w:rPr>
                <w:rFonts w:ascii="新宋体" w:eastAsia="新宋体" w:hAnsi="新宋体" w:hint="eastAsia"/>
              </w:rPr>
              <w:t>份额规模上限</w:t>
            </w:r>
            <w:r>
              <w:rPr>
                <w:rFonts w:ascii="新宋体" w:eastAsia="新宋体" w:hAnsi="新宋体" w:hint="eastAsia"/>
              </w:rPr>
              <w:t>100000</w:t>
            </w:r>
            <w:r>
              <w:rPr>
                <w:rFonts w:ascii="新宋体" w:eastAsia="新宋体" w:hAnsi="新宋体" w:hint="eastAsia"/>
              </w:rPr>
              <w:t>万，规模下限</w:t>
            </w:r>
            <w:r>
              <w:rPr>
                <w:rFonts w:ascii="新宋体" w:eastAsia="新宋体" w:hAnsi="新宋体" w:hint="eastAsia"/>
              </w:rPr>
              <w:t>1</w:t>
            </w:r>
            <w:r>
              <w:rPr>
                <w:rFonts w:ascii="新宋体" w:eastAsia="新宋体" w:hAnsi="新宋体" w:hint="eastAsia"/>
              </w:rPr>
              <w:t>万</w:t>
            </w:r>
            <w:r>
              <w:rPr>
                <w:rFonts w:ascii="新宋体" w:eastAsia="新宋体" w:hAnsi="新宋体" w:hint="eastAsia"/>
              </w:rPr>
              <w:br/>
              <w:t>C</w:t>
            </w:r>
            <w:r>
              <w:rPr>
                <w:rFonts w:ascii="新宋体" w:eastAsia="新宋体" w:hAnsi="新宋体" w:hint="eastAsia"/>
              </w:rPr>
              <w:t>份额规模上限</w:t>
            </w:r>
            <w:r>
              <w:rPr>
                <w:rFonts w:ascii="新宋体" w:eastAsia="新宋体" w:hAnsi="新宋体" w:hint="eastAsia"/>
              </w:rPr>
              <w:t>100000</w:t>
            </w:r>
            <w:r>
              <w:rPr>
                <w:rFonts w:ascii="新宋体" w:eastAsia="新宋体" w:hAnsi="新宋体" w:hint="eastAsia"/>
              </w:rPr>
              <w:t>万，规模下限</w:t>
            </w:r>
            <w:r>
              <w:rPr>
                <w:rFonts w:ascii="新宋体" w:eastAsia="新宋体" w:hAnsi="新宋体" w:hint="eastAsia"/>
              </w:rPr>
              <w:t>1</w:t>
            </w:r>
            <w:r>
              <w:rPr>
                <w:rFonts w:ascii="新宋体" w:eastAsia="新宋体" w:hAnsi="新宋体" w:hint="eastAsia"/>
              </w:rPr>
              <w:t>万</w:t>
            </w:r>
          </w:p>
          <w:p w:rsidR="00914A4A" w:rsidRDefault="000A3D09">
            <w:pPr>
              <w:spacing w:line="360" w:lineRule="auto"/>
              <w:rPr>
                <w:rFonts w:ascii="新宋体" w:eastAsia="新宋体" w:hAnsi="新宋体"/>
                <w:b/>
              </w:rPr>
            </w:pPr>
            <w:r>
              <w:rPr>
                <w:rFonts w:ascii="新宋体" w:eastAsia="新宋体" w:hAnsi="新宋体" w:hint="eastAsia"/>
                <w:b/>
              </w:rPr>
              <w:t>当累计有效募集金额超过产品规模上限时，产品管理人将采取全程比例配售的方式实现规模的有效控制。</w:t>
            </w:r>
          </w:p>
          <w:p w:rsidR="00914A4A" w:rsidRDefault="000A3D09">
            <w:pPr>
              <w:spacing w:line="360" w:lineRule="auto"/>
              <w:rPr>
                <w:rFonts w:ascii="新宋体" w:eastAsia="新宋体" w:hAnsi="新宋体"/>
                <w:b/>
              </w:rPr>
            </w:pPr>
            <w:r>
              <w:rPr>
                <w:rFonts w:ascii="新宋体" w:eastAsia="新宋体" w:hAnsi="新宋体" w:hint="eastAsia"/>
                <w:b/>
              </w:rPr>
              <w:t>按照产品规模上限除以实际募集金额的比例，对投资者认购款项予以确认。</w:t>
            </w:r>
          </w:p>
          <w:p w:rsidR="00914A4A" w:rsidRDefault="000A3D09">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rsidRDefault="000A3D09">
            <w:pPr>
              <w:spacing w:line="360" w:lineRule="auto"/>
              <w:rPr>
                <w:rFonts w:ascii="新宋体" w:eastAsia="新宋体" w:hAnsi="新宋体"/>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销售范围</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szCs w:val="21"/>
              </w:rPr>
              <w:t>A</w:t>
            </w:r>
            <w:r>
              <w:rPr>
                <w:rFonts w:ascii="新宋体" w:eastAsia="新宋体" w:hAnsi="新宋体" w:hint="eastAsia"/>
                <w:szCs w:val="21"/>
              </w:rPr>
              <w:t>份额销售渠道为临商银行及各销售服务渠道，</w:t>
            </w:r>
            <w:r>
              <w:rPr>
                <w:rFonts w:ascii="新宋体" w:eastAsia="新宋体" w:hAnsi="新宋体" w:hint="eastAsia"/>
                <w:szCs w:val="21"/>
              </w:rPr>
              <w:t>B</w:t>
            </w:r>
            <w:r>
              <w:rPr>
                <w:rFonts w:ascii="新宋体" w:eastAsia="新宋体" w:hAnsi="新宋体" w:hint="eastAsia"/>
                <w:szCs w:val="21"/>
              </w:rPr>
              <w:t>份额销售渠道为厦门银行及各销售服务渠道，</w:t>
            </w:r>
            <w:r>
              <w:rPr>
                <w:rFonts w:ascii="新宋体" w:eastAsia="新宋体" w:hAnsi="新宋体" w:hint="eastAsia"/>
                <w:szCs w:val="21"/>
              </w:rPr>
              <w:t>C</w:t>
            </w:r>
            <w:r>
              <w:rPr>
                <w:rFonts w:ascii="新宋体" w:eastAsia="新宋体" w:hAnsi="新宋体" w:hint="eastAsia"/>
                <w:szCs w:val="21"/>
              </w:rPr>
              <w:t>份额销售渠道为大连银行及各销售服务渠道（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rsidRDefault="000A3D09">
            <w:pPr>
              <w:spacing w:line="360" w:lineRule="auto"/>
              <w:rPr>
                <w:rFonts w:ascii="新宋体" w:eastAsia="新宋体" w:hAnsi="新宋体"/>
              </w:rPr>
            </w:pPr>
            <w:r>
              <w:rPr>
                <w:rFonts w:ascii="新宋体" w:eastAsia="新宋体" w:hAnsi="新宋体" w:hint="eastAsia"/>
              </w:rPr>
              <w:t>负责包括理财计划宣传推广、投资者风险承受能力评估和投资者适当性管理、理财计划份额认购</w:t>
            </w:r>
            <w:r>
              <w:rPr>
                <w:rFonts w:ascii="新宋体" w:eastAsia="新宋体" w:hAnsi="新宋体" w:hint="eastAsia"/>
              </w:rPr>
              <w:t>/</w:t>
            </w:r>
            <w:r>
              <w:rPr>
                <w:rFonts w:ascii="新宋体" w:eastAsia="新宋体" w:hAnsi="新宋体" w:hint="eastAsia"/>
              </w:rPr>
              <w:t>赎回、协助管理人与投资者订立理财计划合同、协助投资者与管理人沟通、接受投资者咨询和客户维护等销售服务。</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rsidRDefault="000A3D09">
            <w:pPr>
              <w:spacing w:line="360" w:lineRule="auto"/>
              <w:jc w:val="left"/>
              <w:rPr>
                <w:rFonts w:ascii="新宋体" w:eastAsia="新宋体" w:hAnsi="新宋体"/>
                <w:szCs w:val="21"/>
              </w:rPr>
            </w:pPr>
            <w:r>
              <w:rPr>
                <w:rFonts w:ascii="新宋体" w:eastAsia="新宋体" w:hAnsi="新宋体"/>
              </w:rPr>
              <w:t>各子份额起购金额均为</w:t>
            </w:r>
            <w:r>
              <w:rPr>
                <w:rFonts w:ascii="新宋体" w:eastAsia="新宋体" w:hAnsi="新宋体"/>
              </w:rPr>
              <w:t>1</w:t>
            </w:r>
            <w:r>
              <w:rPr>
                <w:rFonts w:ascii="新宋体" w:eastAsia="新宋体" w:hAnsi="新宋体"/>
              </w:rPr>
              <w:t>元</w:t>
            </w:r>
            <w:r>
              <w:rPr>
                <w:rFonts w:ascii="新宋体" w:eastAsia="新宋体" w:hAnsi="新宋体" w:hint="eastAsia"/>
              </w:rPr>
              <w:t>，</w:t>
            </w:r>
            <w:r>
              <w:rPr>
                <w:rFonts w:ascii="新宋体" w:eastAsia="新宋体" w:hAnsi="新宋体"/>
              </w:rPr>
              <w:t>1</w:t>
            </w:r>
            <w:r>
              <w:rPr>
                <w:rFonts w:ascii="新宋体" w:eastAsia="新宋体" w:hAnsi="新宋体"/>
              </w:rPr>
              <w:t>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持有上限</w:t>
            </w:r>
          </w:p>
        </w:tc>
        <w:tc>
          <w:tcPr>
            <w:tcW w:w="7523" w:type="dxa"/>
            <w:vAlign w:val="center"/>
          </w:tcPr>
          <w:p w:rsidR="00914A4A" w:rsidRDefault="000A3D09">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r>
              <w:rPr>
                <w:rFonts w:ascii="新宋体" w:eastAsia="新宋体" w:hAnsi="新宋体"/>
                <w:szCs w:val="21"/>
              </w:rPr>
              <w:t>。</w:t>
            </w:r>
          </w:p>
          <w:p w:rsidR="00914A4A" w:rsidRDefault="000A3D09">
            <w:pPr>
              <w:spacing w:line="360" w:lineRule="auto"/>
              <w:rPr>
                <w:rFonts w:ascii="新宋体" w:eastAsia="新宋体" w:hAnsi="新宋体"/>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w:t>
            </w:r>
            <w:r>
              <w:rPr>
                <w:rFonts w:ascii="新宋体" w:eastAsia="新宋体" w:hAnsi="新宋体"/>
                <w:szCs w:val="21"/>
              </w:rPr>
              <w:t>以下之前，管理人不再接受该投资者对本理财产品的购买申请。</w:t>
            </w:r>
          </w:p>
        </w:tc>
      </w:tr>
      <w:tr w:rsidR="006A5AE0" w:rsidTr="008F58A3">
        <w:trPr>
          <w:trHeight w:val="247"/>
        </w:trPr>
        <w:tc>
          <w:tcPr>
            <w:tcW w:w="1925" w:type="dxa"/>
            <w:vAlign w:val="center"/>
          </w:tcPr>
          <w:p w:rsidR="00914A4A" w:rsidRDefault="008F58A3">
            <w:pPr>
              <w:spacing w:line="360" w:lineRule="auto"/>
              <w:jc w:val="center"/>
              <w:rPr>
                <w:rFonts w:ascii="新宋体" w:eastAsia="新宋体" w:hAnsi="新宋体"/>
                <w:szCs w:val="21"/>
              </w:rPr>
            </w:pPr>
            <w:r>
              <w:rPr>
                <w:rFonts w:ascii="新宋体" w:eastAsia="新宋体" w:hAnsi="新宋体" w:hint="eastAsia"/>
                <w:szCs w:val="21"/>
              </w:rPr>
              <w:t>单户</w:t>
            </w:r>
            <w:r w:rsidR="000A3D09">
              <w:rPr>
                <w:rFonts w:ascii="新宋体" w:eastAsia="新宋体" w:hAnsi="新宋体" w:hint="eastAsia"/>
                <w:szCs w:val="21"/>
              </w:rPr>
              <w:t>最大投资金额</w:t>
            </w:r>
          </w:p>
        </w:tc>
        <w:tc>
          <w:tcPr>
            <w:tcW w:w="7523" w:type="dxa"/>
            <w:vAlign w:val="center"/>
          </w:tcPr>
          <w:p w:rsidR="00914A4A" w:rsidRDefault="000A3D09">
            <w:pPr>
              <w:spacing w:line="360" w:lineRule="auto"/>
              <w:jc w:val="left"/>
              <w:rPr>
                <w:rFonts w:ascii="新宋体" w:eastAsia="新宋体" w:hAnsi="新宋体"/>
                <w:szCs w:val="21"/>
              </w:rPr>
            </w:pPr>
            <w:r>
              <w:rPr>
                <w:rFonts w:ascii="新宋体" w:eastAsia="新宋体" w:hAnsi="新宋体"/>
              </w:rPr>
              <w:t>各子份额均无上限</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本金及理财收益（如有）</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业绩比较基准</w:t>
            </w:r>
          </w:p>
        </w:tc>
        <w:tc>
          <w:tcPr>
            <w:tcW w:w="7523" w:type="dxa"/>
            <w:vAlign w:val="center"/>
          </w:tcPr>
          <w:p w:rsidR="00914A4A" w:rsidRPr="00357000" w:rsidRDefault="000A3D09">
            <w:pPr>
              <w:spacing w:line="360" w:lineRule="auto"/>
              <w:rPr>
                <w:rFonts w:ascii="新宋体" w:eastAsia="新宋体" w:hAnsi="新宋体"/>
                <w:b/>
              </w:rPr>
            </w:pPr>
            <w:r w:rsidRPr="00357000">
              <w:rPr>
                <w:rFonts w:ascii="新宋体" w:eastAsia="新宋体" w:hAnsi="新宋体" w:hint="eastAsia"/>
                <w:b/>
              </w:rPr>
              <w:t>业绩比较</w:t>
            </w:r>
            <w:r w:rsidRPr="00357000">
              <w:rPr>
                <w:rFonts w:ascii="新宋体" w:eastAsia="新宋体" w:hAnsi="新宋体" w:hint="eastAsia"/>
                <w:b/>
              </w:rPr>
              <w:t>基准不代表本理财计划的未来表现和实际收益，或管理人对本理财计划进行的收益承诺。投资者不应将业绩比较基准作为持有本理财计划份额到期的综合投资收益参考值。</w:t>
            </w:r>
          </w:p>
          <w:p w:rsidR="00914A4A" w:rsidRPr="00357000" w:rsidRDefault="000A3D09">
            <w:pPr>
              <w:spacing w:line="360" w:lineRule="auto"/>
              <w:rPr>
                <w:rFonts w:ascii="新宋体" w:eastAsia="新宋体" w:hAnsi="新宋体"/>
                <w:b/>
              </w:rPr>
            </w:pPr>
            <w:r w:rsidRPr="00357000">
              <w:rPr>
                <w:rFonts w:ascii="新宋体" w:eastAsia="新宋体" w:hAnsi="新宋体" w:hint="eastAsia"/>
                <w:b/>
              </w:rPr>
              <w:lastRenderedPageBreak/>
              <w:t>A</w:t>
            </w:r>
            <w:r w:rsidRPr="00357000">
              <w:rPr>
                <w:rFonts w:ascii="新宋体" w:eastAsia="新宋体" w:hAnsi="新宋体" w:hint="eastAsia"/>
                <w:b/>
              </w:rPr>
              <w:t>份额业绩比较基准为</w:t>
            </w:r>
            <w:r w:rsidRPr="00357000">
              <w:rPr>
                <w:rFonts w:ascii="新宋体" w:eastAsia="新宋体" w:hAnsi="新宋体" w:hint="eastAsia"/>
                <w:b/>
              </w:rPr>
              <w:t>2.20%</w:t>
            </w:r>
            <w:r w:rsidRPr="00357000">
              <w:rPr>
                <w:rFonts w:ascii="新宋体" w:eastAsia="新宋体" w:hAnsi="新宋体" w:hint="eastAsia"/>
                <w:b/>
              </w:rPr>
              <w:t>（年化）</w:t>
            </w:r>
            <w:r w:rsidRPr="00357000">
              <w:rPr>
                <w:rFonts w:ascii="新宋体" w:eastAsia="新宋体" w:hAnsi="新宋体" w:hint="eastAsia"/>
                <w:b/>
              </w:rPr>
              <w:br/>
              <w:t>B</w:t>
            </w:r>
            <w:r w:rsidRPr="00357000">
              <w:rPr>
                <w:rFonts w:ascii="新宋体" w:eastAsia="新宋体" w:hAnsi="新宋体" w:hint="eastAsia"/>
                <w:b/>
              </w:rPr>
              <w:t>份额业绩比较基准为</w:t>
            </w:r>
            <w:r w:rsidRPr="00357000">
              <w:rPr>
                <w:rFonts w:ascii="新宋体" w:eastAsia="新宋体" w:hAnsi="新宋体" w:hint="eastAsia"/>
                <w:b/>
              </w:rPr>
              <w:t>2.25%</w:t>
            </w:r>
            <w:r w:rsidRPr="00357000">
              <w:rPr>
                <w:rFonts w:ascii="新宋体" w:eastAsia="新宋体" w:hAnsi="新宋体" w:hint="eastAsia"/>
                <w:b/>
              </w:rPr>
              <w:t>（年化）</w:t>
            </w:r>
            <w:r w:rsidRPr="00357000">
              <w:rPr>
                <w:rFonts w:ascii="新宋体" w:eastAsia="新宋体" w:hAnsi="新宋体" w:hint="eastAsia"/>
                <w:b/>
              </w:rPr>
              <w:br/>
              <w:t>C</w:t>
            </w:r>
            <w:r w:rsidRPr="00357000">
              <w:rPr>
                <w:rFonts w:ascii="新宋体" w:eastAsia="新宋体" w:hAnsi="新宋体" w:hint="eastAsia"/>
                <w:b/>
              </w:rPr>
              <w:t>份额业绩比较基准为</w:t>
            </w:r>
            <w:r w:rsidRPr="00357000">
              <w:rPr>
                <w:rFonts w:ascii="新宋体" w:eastAsia="新宋体" w:hAnsi="新宋体" w:hint="eastAsia"/>
                <w:b/>
              </w:rPr>
              <w:t>2.20%</w:t>
            </w:r>
            <w:r w:rsidRPr="00357000">
              <w:rPr>
                <w:rFonts w:ascii="新宋体" w:eastAsia="新宋体" w:hAnsi="新宋体" w:hint="eastAsia"/>
                <w:b/>
              </w:rPr>
              <w:t>（年化）</w:t>
            </w:r>
          </w:p>
          <w:p w:rsidR="00914A4A" w:rsidRPr="00357000" w:rsidRDefault="000A3D09">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00357000" w:rsidRPr="00357000">
              <w:rPr>
                <w:rFonts w:ascii="新宋体" w:eastAsia="新宋体" w:hAnsi="新宋体" w:hint="eastAsia"/>
                <w:b/>
                <w:szCs w:val="21"/>
              </w:rPr>
              <w:t>，得出产品业绩比较基准</w:t>
            </w:r>
            <w:r w:rsidRPr="00357000">
              <w:rPr>
                <w:rFonts w:ascii="新宋体" w:eastAsia="新宋体" w:hAnsi="新宋体" w:hint="eastAsia"/>
                <w:b/>
              </w:rPr>
              <w:t>。</w:t>
            </w:r>
            <w:r w:rsidR="00357000" w:rsidRP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rsidRDefault="000A3D09">
            <w:pPr>
              <w:spacing w:line="360" w:lineRule="auto"/>
              <w:rPr>
                <w:rFonts w:ascii="新宋体" w:eastAsia="新宋体" w:hAnsi="新宋体"/>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rsidRDefault="000A3D09">
            <w:pPr>
              <w:spacing w:line="360" w:lineRule="auto"/>
              <w:rPr>
                <w:rFonts w:ascii="新宋体" w:eastAsia="新宋体" w:hAnsi="新宋体"/>
              </w:rPr>
            </w:pPr>
            <w:r w:rsidRPr="00357000">
              <w:rPr>
                <w:rFonts w:ascii="新宋体" w:eastAsia="新宋体" w:hAnsi="新宋体" w:hint="eastAsia"/>
                <w:b/>
              </w:rPr>
              <w:t>如理财投资本金及收益未按时或足额收回，则本理财计划的到期收益可能降低，最不利情形损失部分</w:t>
            </w:r>
            <w:r w:rsidRPr="00357000">
              <w:rPr>
                <w:rFonts w:ascii="新宋体" w:eastAsia="新宋体" w:hAnsi="新宋体" w:hint="eastAsia"/>
                <w:b/>
              </w:rPr>
              <w:t>或全部本金。对于超出“业绩基准”部分的投资收益，</w:t>
            </w:r>
            <w:r w:rsidRPr="00357000">
              <w:rPr>
                <w:rFonts w:ascii="新宋体" w:eastAsia="新宋体" w:hAnsi="新宋体" w:hint="eastAsia"/>
                <w:b/>
              </w:rPr>
              <w:t>10%</w:t>
            </w:r>
            <w:r w:rsidRPr="00357000">
              <w:rPr>
                <w:rFonts w:ascii="新宋体" w:eastAsia="新宋体" w:hAnsi="新宋体" w:hint="eastAsia"/>
                <w:b/>
              </w:rPr>
              <w:t>归于投资者</w:t>
            </w:r>
            <w:r w:rsidRPr="00357000">
              <w:rPr>
                <w:rFonts w:ascii="新宋体" w:eastAsia="新宋体" w:hAnsi="新宋体" w:hint="eastAsia"/>
                <w:b/>
              </w:rPr>
              <w:t xml:space="preserve">, </w:t>
            </w:r>
            <w:r w:rsidRPr="00357000">
              <w:rPr>
                <w:rFonts w:ascii="新宋体" w:eastAsia="新宋体" w:hAnsi="新宋体" w:hint="eastAsia"/>
                <w:b/>
              </w:rPr>
              <w:t>剩余部分作为管理人业绩报酬。</w:t>
            </w:r>
          </w:p>
        </w:tc>
      </w:tr>
      <w:tr w:rsidR="006A5AE0" w:rsidTr="008F58A3">
        <w:trPr>
          <w:trHeight w:val="247"/>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lastRenderedPageBreak/>
              <w:t>产品托管费</w:t>
            </w:r>
          </w:p>
        </w:tc>
        <w:tc>
          <w:tcPr>
            <w:tcW w:w="7523" w:type="dxa"/>
            <w:vAlign w:val="center"/>
          </w:tcPr>
          <w:p w:rsidR="00914A4A" w:rsidRDefault="000A3D09">
            <w:pPr>
              <w:spacing w:line="360" w:lineRule="auto"/>
              <w:rPr>
                <w:rFonts w:ascii="新宋体" w:eastAsia="新宋体" w:hAnsi="新宋体"/>
              </w:rPr>
            </w:pPr>
            <w:r>
              <w:rPr>
                <w:rFonts w:ascii="新宋体" w:eastAsia="新宋体" w:hAnsi="新宋体" w:hint="eastAsia"/>
                <w:szCs w:val="21"/>
              </w:rPr>
              <w:t>本理财计划的托管费率（年化）为</w:t>
            </w:r>
            <w:r>
              <w:rPr>
                <w:rFonts w:ascii="新宋体" w:eastAsia="新宋体" w:hAnsi="新宋体" w:hint="eastAsia"/>
                <w:szCs w:val="21"/>
              </w:rPr>
              <w:t>0.01%</w:t>
            </w:r>
          </w:p>
        </w:tc>
      </w:tr>
      <w:tr w:rsidR="006A5AE0" w:rsidTr="008F58A3">
        <w:trPr>
          <w:trHeight w:val="208"/>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产品管理费</w:t>
            </w:r>
          </w:p>
        </w:tc>
        <w:tc>
          <w:tcPr>
            <w:tcW w:w="7523" w:type="dxa"/>
            <w:vAlign w:val="center"/>
          </w:tcPr>
          <w:p w:rsidR="00914A4A" w:rsidRDefault="000A3D09">
            <w:pPr>
              <w:spacing w:line="360" w:lineRule="auto"/>
              <w:rPr>
                <w:rFonts w:ascii="新宋体" w:eastAsia="新宋体" w:hAnsi="新宋体"/>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w:t>
            </w:r>
            <w:r>
              <w:rPr>
                <w:rFonts w:ascii="新宋体" w:eastAsia="新宋体" w:hAnsi="新宋体" w:hint="eastAsia"/>
                <w:b/>
                <w:bCs/>
                <w:szCs w:val="21"/>
              </w:rPr>
              <w:t>份额固定管理费率（年化）为</w:t>
            </w:r>
            <w:r>
              <w:rPr>
                <w:rFonts w:ascii="新宋体" w:eastAsia="新宋体" w:hAnsi="新宋体" w:hint="eastAsia"/>
                <w:b/>
                <w:bCs/>
                <w:szCs w:val="21"/>
              </w:rPr>
              <w:t>0.30%</w:t>
            </w:r>
            <w:r>
              <w:rPr>
                <w:rFonts w:ascii="新宋体" w:eastAsia="新宋体" w:hAnsi="新宋体" w:hint="eastAsia"/>
                <w:b/>
                <w:bCs/>
                <w:szCs w:val="21"/>
              </w:rPr>
              <w:t>；</w:t>
            </w:r>
            <w:r>
              <w:rPr>
                <w:rFonts w:ascii="新宋体" w:eastAsia="新宋体" w:hAnsi="新宋体" w:hint="eastAsia"/>
                <w:b/>
                <w:bCs/>
                <w:szCs w:val="21"/>
              </w:rPr>
              <w:t>B</w:t>
            </w:r>
            <w:r>
              <w:rPr>
                <w:rFonts w:ascii="新宋体" w:eastAsia="新宋体" w:hAnsi="新宋体" w:hint="eastAsia"/>
                <w:b/>
                <w:bCs/>
                <w:szCs w:val="21"/>
              </w:rPr>
              <w:t>份额固定管理费率（年化）为</w:t>
            </w:r>
            <w:r>
              <w:rPr>
                <w:rFonts w:ascii="新宋体" w:eastAsia="新宋体" w:hAnsi="新宋体" w:hint="eastAsia"/>
                <w:b/>
                <w:bCs/>
                <w:szCs w:val="21"/>
              </w:rPr>
              <w:t>0.25%</w:t>
            </w:r>
            <w:r>
              <w:rPr>
                <w:rFonts w:ascii="新宋体" w:eastAsia="新宋体" w:hAnsi="新宋体" w:hint="eastAsia"/>
                <w:b/>
                <w:bCs/>
                <w:szCs w:val="21"/>
              </w:rPr>
              <w:t>；</w:t>
            </w:r>
            <w:r>
              <w:rPr>
                <w:rFonts w:ascii="新宋体" w:eastAsia="新宋体" w:hAnsi="新宋体" w:hint="eastAsia"/>
                <w:b/>
                <w:bCs/>
                <w:szCs w:val="21"/>
              </w:rPr>
              <w:t>C</w:t>
            </w:r>
            <w:r>
              <w:rPr>
                <w:rFonts w:ascii="新宋体" w:eastAsia="新宋体" w:hAnsi="新宋体" w:hint="eastAsia"/>
                <w:b/>
                <w:bCs/>
                <w:szCs w:val="21"/>
              </w:rPr>
              <w:t>份额固定管理费率（年化）为</w:t>
            </w:r>
            <w:r>
              <w:rPr>
                <w:rFonts w:ascii="新宋体" w:eastAsia="新宋体" w:hAnsi="新宋体" w:hint="eastAsia"/>
                <w:b/>
                <w:bCs/>
                <w:szCs w:val="21"/>
              </w:rPr>
              <w:t>0.30%</w:t>
            </w:r>
            <w:r>
              <w:rPr>
                <w:rFonts w:ascii="新宋体" w:eastAsia="新宋体" w:hAnsi="新宋体" w:hint="eastAsia"/>
                <w:szCs w:val="21"/>
              </w:rPr>
              <w:t>，由理财管理人按日计提收取；在扣除各项费用后，如果本理财到期资产投资运作收益大于“业绩比较基准”（</w:t>
            </w:r>
            <w:r>
              <w:rPr>
                <w:rFonts w:ascii="新宋体" w:eastAsia="新宋体" w:hAnsi="新宋体" w:hint="eastAsia"/>
                <w:szCs w:val="21"/>
              </w:rPr>
              <w:t>A</w:t>
            </w:r>
            <w:r>
              <w:rPr>
                <w:rFonts w:ascii="新宋体" w:eastAsia="新宋体" w:hAnsi="新宋体" w:hint="eastAsia"/>
                <w:szCs w:val="21"/>
              </w:rPr>
              <w:t>份额</w:t>
            </w:r>
            <w:r>
              <w:rPr>
                <w:rFonts w:ascii="新宋体" w:eastAsia="新宋体" w:hAnsi="新宋体" w:hint="eastAsia"/>
                <w:szCs w:val="21"/>
              </w:rPr>
              <w:t>2.20%</w:t>
            </w:r>
            <w:r>
              <w:rPr>
                <w:rFonts w:ascii="新宋体" w:eastAsia="新宋体" w:hAnsi="新宋体" w:hint="eastAsia"/>
                <w:szCs w:val="21"/>
              </w:rPr>
              <w:t>、</w:t>
            </w:r>
            <w:r>
              <w:rPr>
                <w:rFonts w:ascii="新宋体" w:eastAsia="新宋体" w:hAnsi="新宋体" w:hint="eastAsia"/>
                <w:szCs w:val="21"/>
              </w:rPr>
              <w:t>B</w:t>
            </w:r>
            <w:r>
              <w:rPr>
                <w:rFonts w:ascii="新宋体" w:eastAsia="新宋体" w:hAnsi="新宋体" w:hint="eastAsia"/>
                <w:szCs w:val="21"/>
              </w:rPr>
              <w:t>份额</w:t>
            </w:r>
            <w:r>
              <w:rPr>
                <w:rFonts w:ascii="新宋体" w:eastAsia="新宋体" w:hAnsi="新宋体" w:hint="eastAsia"/>
                <w:szCs w:val="21"/>
              </w:rPr>
              <w:t>2.25%</w:t>
            </w:r>
            <w:r>
              <w:rPr>
                <w:rFonts w:ascii="新宋体" w:eastAsia="新宋体" w:hAnsi="新宋体" w:hint="eastAsia"/>
                <w:szCs w:val="21"/>
              </w:rPr>
              <w:t>、</w:t>
            </w:r>
            <w:r>
              <w:rPr>
                <w:rFonts w:ascii="新宋体" w:eastAsia="新宋体" w:hAnsi="新宋体" w:hint="eastAsia"/>
                <w:szCs w:val="21"/>
              </w:rPr>
              <w:t>C</w:t>
            </w:r>
            <w:r>
              <w:rPr>
                <w:rFonts w:ascii="新宋体" w:eastAsia="新宋体" w:hAnsi="新宋体" w:hint="eastAsia"/>
                <w:szCs w:val="21"/>
              </w:rPr>
              <w:t>份额</w:t>
            </w:r>
            <w:r>
              <w:rPr>
                <w:rFonts w:ascii="新宋体" w:eastAsia="新宋体" w:hAnsi="新宋体" w:hint="eastAsia"/>
                <w:szCs w:val="21"/>
              </w:rPr>
              <w:t>2.20%</w:t>
            </w:r>
            <w:r>
              <w:rPr>
                <w:rFonts w:ascii="新宋体" w:eastAsia="新宋体" w:hAnsi="新宋体" w:hint="eastAsia"/>
                <w:szCs w:val="21"/>
              </w:rPr>
              <w:t>），则超出部分</w:t>
            </w:r>
            <w:r>
              <w:rPr>
                <w:rFonts w:ascii="新宋体" w:eastAsia="新宋体" w:hAnsi="新宋体" w:hint="eastAsia"/>
              </w:rPr>
              <w:t>10%</w:t>
            </w:r>
            <w:r>
              <w:rPr>
                <w:rFonts w:ascii="新宋体" w:eastAsia="新宋体" w:hAnsi="新宋体" w:hint="eastAsia"/>
              </w:rPr>
              <w:t>归于投资者</w:t>
            </w:r>
            <w:r>
              <w:rPr>
                <w:rFonts w:ascii="新宋体" w:eastAsia="新宋体" w:hAnsi="新宋体" w:hint="eastAsia"/>
              </w:rPr>
              <w:t xml:space="preserve">, </w:t>
            </w:r>
            <w:r>
              <w:rPr>
                <w:rFonts w:ascii="新宋体" w:eastAsia="新宋体" w:hAnsi="新宋体" w:hint="eastAsia"/>
              </w:rPr>
              <w:t>剩余部分作为管理人业绩报酬</w:t>
            </w:r>
            <w:r>
              <w:rPr>
                <w:rFonts w:ascii="新宋体" w:eastAsia="新宋体" w:hAnsi="新宋体" w:hint="eastAsia"/>
                <w:szCs w:val="21"/>
              </w:rPr>
              <w:t>；如果本理财到期资产投资运作收益小于等于“业绩基准”，则本理财计划的业绩报酬为</w:t>
            </w:r>
            <w:r>
              <w:rPr>
                <w:rFonts w:ascii="新宋体" w:eastAsia="新宋体" w:hAnsi="新宋体" w:hint="eastAsia"/>
                <w:szCs w:val="21"/>
              </w:rPr>
              <w:t>0</w:t>
            </w:r>
            <w:r>
              <w:rPr>
                <w:rFonts w:ascii="新宋体" w:eastAsia="新宋体" w:hAnsi="新宋体" w:hint="eastAsia"/>
                <w:szCs w:val="21"/>
              </w:rPr>
              <w:t>。当本理财到期资产投资运作收益小于“业绩比较基准”时，管理人将有权放弃计提的固定管理费，最高为已计提的全部固定管理费。</w:t>
            </w:r>
          </w:p>
        </w:tc>
      </w:tr>
      <w:tr w:rsidR="006A5AE0" w:rsidTr="008F58A3">
        <w:trPr>
          <w:trHeight w:val="208"/>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提前终止权</w:t>
            </w:r>
          </w:p>
        </w:tc>
        <w:tc>
          <w:tcPr>
            <w:tcW w:w="7523" w:type="dxa"/>
            <w:vAlign w:val="center"/>
          </w:tcPr>
          <w:p w:rsidR="00914A4A" w:rsidRDefault="000A3D09">
            <w:pPr>
              <w:spacing w:line="360" w:lineRule="auto"/>
              <w:rPr>
                <w:rFonts w:ascii="新宋体" w:eastAsia="新宋体" w:hAnsi="新宋体"/>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R="006A5AE0" w:rsidTr="008F58A3">
        <w:trPr>
          <w:trHeight w:val="208"/>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撤销及赎回</w:t>
            </w:r>
          </w:p>
        </w:tc>
        <w:tc>
          <w:tcPr>
            <w:tcW w:w="7523" w:type="dxa"/>
            <w:vAlign w:val="center"/>
          </w:tcPr>
          <w:p w:rsidR="00914A4A" w:rsidRDefault="000A3D09">
            <w:pPr>
              <w:widowControl/>
              <w:spacing w:line="360" w:lineRule="auto"/>
              <w:rPr>
                <w:rFonts w:ascii="新宋体" w:eastAsia="新宋体" w:hAnsi="新宋体"/>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R="006A5AE0" w:rsidTr="008F58A3">
        <w:trPr>
          <w:trHeight w:val="195"/>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lastRenderedPageBreak/>
              <w:t>税款</w:t>
            </w:r>
          </w:p>
        </w:tc>
        <w:tc>
          <w:tcPr>
            <w:tcW w:w="7523" w:type="dxa"/>
            <w:vAlign w:val="center"/>
          </w:tcPr>
          <w:p w:rsidR="00914A4A" w:rsidRDefault="000A3D09">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rsidRDefault="000A3D09">
            <w:pPr>
              <w:spacing w:line="360" w:lineRule="auto"/>
              <w:rPr>
                <w:rFonts w:ascii="新宋体" w:eastAsia="新宋体" w:hAnsi="新宋体"/>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6A5AE0" w:rsidTr="008F58A3">
        <w:trPr>
          <w:trHeight w:val="168"/>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理财管理人</w:t>
            </w:r>
          </w:p>
        </w:tc>
        <w:tc>
          <w:tcPr>
            <w:tcW w:w="7523" w:type="dxa"/>
            <w:vAlign w:val="center"/>
          </w:tcPr>
          <w:p w:rsidR="00914A4A" w:rsidRDefault="000A3D09">
            <w:pPr>
              <w:spacing w:line="360" w:lineRule="auto"/>
              <w:rPr>
                <w:rFonts w:ascii="新宋体" w:eastAsia="新宋体" w:hAnsi="新宋体"/>
                <w:szCs w:val="21"/>
              </w:rPr>
            </w:pPr>
            <w:r>
              <w:rPr>
                <w:rFonts w:ascii="新宋体" w:eastAsia="新宋体" w:hAnsi="新宋体" w:cs="新宋体" w:hint="eastAsia"/>
                <w:color w:val="000000"/>
                <w:kern w:val="0"/>
                <w:szCs w:val="21"/>
                <w:lang w:bidi="ar"/>
              </w:rPr>
              <w:t>青银理财有限责任公司</w:t>
            </w:r>
          </w:p>
        </w:tc>
      </w:tr>
      <w:tr w:rsidR="006A5AE0" w:rsidTr="008F58A3">
        <w:trPr>
          <w:trHeight w:val="143"/>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资产托管人</w:t>
            </w:r>
          </w:p>
        </w:tc>
        <w:tc>
          <w:tcPr>
            <w:tcW w:w="7523" w:type="dxa"/>
            <w:vAlign w:val="center"/>
          </w:tcPr>
          <w:p w:rsidR="00914A4A" w:rsidRDefault="000A3D09">
            <w:pPr>
              <w:widowControl/>
              <w:spacing w:line="360" w:lineRule="auto"/>
              <w:rPr>
                <w:rFonts w:ascii="新宋体" w:eastAsia="新宋体" w:hAnsi="新宋体" w:cs="新宋体"/>
                <w:color w:val="000000"/>
                <w:kern w:val="0"/>
                <w:szCs w:val="21"/>
                <w:lang w:bidi="ar"/>
              </w:rPr>
            </w:pPr>
            <w:r>
              <w:rPr>
                <w:rFonts w:ascii="新宋体" w:eastAsia="新宋体" w:hAnsi="新宋体" w:hint="eastAsia"/>
                <w:szCs w:val="21"/>
              </w:rPr>
              <w:t>青岛银行</w:t>
            </w:r>
          </w:p>
        </w:tc>
      </w:tr>
      <w:tr w:rsidR="006A5AE0" w:rsidTr="008F58A3">
        <w:trPr>
          <w:trHeight w:val="143"/>
        </w:trPr>
        <w:tc>
          <w:tcPr>
            <w:tcW w:w="1925" w:type="dxa"/>
            <w:vAlign w:val="center"/>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理财投资合作机构</w:t>
            </w:r>
          </w:p>
        </w:tc>
        <w:tc>
          <w:tcPr>
            <w:tcW w:w="7523" w:type="dxa"/>
            <w:vAlign w:val="center"/>
          </w:tcPr>
          <w:p w:rsidR="00914A4A" w:rsidRDefault="000A3D09">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rsidRDefault="000A3D09">
            <w:pPr>
              <w:spacing w:line="360" w:lineRule="auto"/>
              <w:rPr>
                <w:rFonts w:ascii="新宋体" w:eastAsia="新宋体" w:hAnsi="新宋体"/>
                <w:szCs w:val="21"/>
              </w:rPr>
            </w:pPr>
            <w:r>
              <w:rPr>
                <w:rFonts w:ascii="新宋体" w:eastAsia="新宋体" w:hAnsi="新宋体" w:hint="eastAsia"/>
                <w:szCs w:val="21"/>
              </w:rPr>
              <w:t>负责进行受托资金的投资管理，具体以管理人与投资合作机构签署的合同为准。</w:t>
            </w:r>
          </w:p>
        </w:tc>
      </w:tr>
    </w:tbl>
    <w:p w:rsidR="00914A4A" w:rsidRDefault="000A3D09">
      <w:pPr>
        <w:spacing w:line="360" w:lineRule="auto"/>
        <w:ind w:left="567"/>
        <w:jc w:val="left"/>
        <w:rPr>
          <w:rFonts w:ascii="新宋体" w:eastAsia="新宋体" w:hAnsi="新宋体"/>
          <w:b/>
          <w:szCs w:val="21"/>
        </w:rPr>
      </w:pPr>
      <w:r>
        <w:rPr>
          <w:rFonts w:ascii="新宋体" w:eastAsia="新宋体" w:hAnsi="新宋体" w:hint="eastAsia"/>
          <w:b/>
          <w:szCs w:val="21"/>
        </w:rPr>
        <w:t>三、产品投资对象</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w:t>
      </w:r>
      <w:r>
        <w:rPr>
          <w:rFonts w:ascii="新宋体" w:eastAsia="新宋体" w:hAnsi="新宋体" w:hint="eastAsia"/>
          <w:szCs w:val="21"/>
        </w:rPr>
        <w:t>计划、期货资管计划、</w:t>
      </w:r>
      <w:r>
        <w:rPr>
          <w:rFonts w:ascii="新宋体" w:eastAsia="新宋体" w:hAnsi="新宋体" w:hint="eastAsia"/>
          <w:szCs w:val="21"/>
        </w:rPr>
        <w:t>FOF</w:t>
      </w:r>
      <w:r>
        <w:rPr>
          <w:rFonts w:ascii="新宋体" w:eastAsia="新宋体" w:hAnsi="新宋体" w:hint="eastAsia"/>
          <w:szCs w:val="21"/>
        </w:rPr>
        <w:t>、</w:t>
      </w:r>
      <w:r>
        <w:rPr>
          <w:rFonts w:ascii="新宋体" w:eastAsia="新宋体" w:hAnsi="新宋体" w:hint="eastAsia"/>
          <w:szCs w:val="21"/>
        </w:rPr>
        <w:t>MOM</w:t>
      </w:r>
      <w:r>
        <w:rPr>
          <w:rFonts w:ascii="新宋体" w:eastAsia="新宋体" w:hAnsi="新宋体" w:hint="eastAsia"/>
          <w:szCs w:val="21"/>
        </w:rPr>
        <w:t>以及监管部门允许的其他投资工具等。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6A5AE0">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0-100%</w:t>
            </w:r>
          </w:p>
        </w:tc>
      </w:tr>
      <w:tr w:rsidR="006A5AE0">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Default="009A338E">
            <w:pPr>
              <w:spacing w:line="360" w:lineRule="auto"/>
              <w:jc w:val="center"/>
              <w:rPr>
                <w:rFonts w:ascii="新宋体" w:eastAsia="新宋体" w:hAnsi="新宋体"/>
                <w:szCs w:val="21"/>
              </w:rPr>
            </w:pPr>
            <w:bookmarkStart w:id="0" w:name="_GoBack"/>
            <w:r>
              <w:rPr>
                <w:rFonts w:ascii="新宋体" w:eastAsia="新宋体" w:hAnsi="新宋体" w:hint="eastAsia"/>
                <w:szCs w:val="21"/>
              </w:rPr>
              <w:t>固定收益类资产</w:t>
            </w:r>
            <w:bookmarkEnd w:id="0"/>
          </w:p>
        </w:tc>
        <w:tc>
          <w:tcPr>
            <w:tcW w:w="3060" w:type="dxa"/>
            <w:tcBorders>
              <w:top w:val="single" w:sz="4" w:space="0" w:color="auto"/>
              <w:left w:val="single" w:sz="4" w:space="0" w:color="auto"/>
              <w:bottom w:val="single" w:sz="4" w:space="0" w:color="auto"/>
              <w:right w:val="single" w:sz="4" w:space="0" w:color="auto"/>
            </w:tcBorders>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0-100%</w:t>
            </w:r>
          </w:p>
        </w:tc>
      </w:tr>
      <w:tr w:rsidR="006A5AE0">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rsidRDefault="000A3D09">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rsidRDefault="000A3D09">
      <w:pPr>
        <w:spacing w:line="360" w:lineRule="auto"/>
        <w:ind w:firstLineChars="196" w:firstLine="413"/>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rsidRDefault="000A3D09">
      <w:pPr>
        <w:spacing w:line="360" w:lineRule="auto"/>
        <w:ind w:firstLineChars="196" w:firstLine="413"/>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w:t>
      </w:r>
      <w:r>
        <w:rPr>
          <w:rFonts w:ascii="新宋体" w:eastAsia="新宋体" w:hAnsi="新宋体" w:hint="eastAsia"/>
          <w:b/>
          <w:szCs w:val="21"/>
        </w:rPr>
        <w:t>2</w:t>
      </w:r>
      <w:r>
        <w:rPr>
          <w:rFonts w:ascii="新宋体" w:eastAsia="新宋体" w:hAnsi="新宋体" w:hint="eastAsia"/>
          <w:b/>
          <w:szCs w:val="21"/>
        </w:rPr>
        <w:t>个工作日发布公告。</w:t>
      </w:r>
    </w:p>
    <w:p w:rsidR="00914A4A" w:rsidRDefault="000A3D09">
      <w:pPr>
        <w:spacing w:line="360" w:lineRule="auto"/>
        <w:ind w:left="567"/>
        <w:jc w:val="left"/>
        <w:rPr>
          <w:rFonts w:ascii="新宋体" w:eastAsia="新宋体" w:hAnsi="新宋体"/>
          <w:b/>
          <w:szCs w:val="21"/>
        </w:rPr>
      </w:pPr>
      <w:r>
        <w:rPr>
          <w:rFonts w:ascii="新宋体" w:eastAsia="新宋体" w:hAnsi="新宋体" w:hint="eastAsia"/>
          <w:b/>
          <w:szCs w:val="21"/>
        </w:rPr>
        <w:t>四、产品投资限制</w:t>
      </w:r>
    </w:p>
    <w:p w:rsidR="00914A4A" w:rsidRDefault="000A3D09">
      <w:pPr>
        <w:spacing w:line="360" w:lineRule="auto"/>
        <w:ind w:firstLineChars="196" w:firstLine="412"/>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w:t>
      </w:r>
      <w:r>
        <w:rPr>
          <w:rFonts w:ascii="新宋体" w:eastAsia="新宋体" w:hAnsi="新宋体" w:hint="eastAsia"/>
          <w:szCs w:val="21"/>
        </w:rPr>
        <w:t>10%</w:t>
      </w:r>
      <w:r>
        <w:rPr>
          <w:rFonts w:ascii="新宋体" w:eastAsia="新宋体" w:hAnsi="新宋体" w:hint="eastAsia"/>
          <w:szCs w:val="21"/>
        </w:rPr>
        <w:t>。</w:t>
      </w:r>
    </w:p>
    <w:p w:rsidR="00914A4A" w:rsidRDefault="000A3D09">
      <w:pPr>
        <w:snapToGrid w:val="0"/>
        <w:spacing w:line="360" w:lineRule="auto"/>
        <w:ind w:firstLineChars="200" w:firstLine="42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w:t>
      </w:r>
      <w:r>
        <w:rPr>
          <w:rFonts w:ascii="新宋体" w:eastAsia="新宋体" w:hAnsi="新宋体" w:hint="eastAsia"/>
          <w:szCs w:val="21"/>
        </w:rPr>
        <w:t>2</w:t>
      </w:r>
      <w:r>
        <w:rPr>
          <w:rFonts w:ascii="新宋体" w:eastAsia="新宋体" w:hAnsi="新宋体"/>
          <w:szCs w:val="21"/>
        </w:rPr>
        <w:t>00</w:t>
      </w:r>
      <w:r>
        <w:rPr>
          <w:rFonts w:ascii="新宋体" w:eastAsia="新宋体" w:hAnsi="新宋体" w:hint="eastAsia"/>
          <w:szCs w:val="21"/>
        </w:rPr>
        <w:t>%</w:t>
      </w:r>
      <w:r>
        <w:rPr>
          <w:rFonts w:ascii="新宋体" w:eastAsia="新宋体" w:hAnsi="新宋体" w:hint="eastAsia"/>
          <w:szCs w:val="21"/>
        </w:rPr>
        <w:t>。</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4.</w:t>
      </w:r>
      <w:r>
        <w:rPr>
          <w:rFonts w:ascii="新宋体" w:eastAsia="新宋体" w:hAnsi="新宋体" w:hint="eastAsia"/>
          <w:b/>
          <w:szCs w:val="21"/>
        </w:rPr>
        <w:t>以上限制，如监管有最新规定的，可参照监管规定调整。</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五、理财管理人</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本理财计划的投资管理人为青银理财有限责任公司。青银理财负责本理财计划的投资运作和产品管</w:t>
      </w:r>
      <w:r>
        <w:rPr>
          <w:rFonts w:ascii="新宋体" w:eastAsia="新宋体" w:hAnsi="新宋体" w:hint="eastAsia"/>
          <w:szCs w:val="21"/>
        </w:rPr>
        <w:lastRenderedPageBreak/>
        <w:t>理，投资者在此授权并同意青银理财享有以下权利：</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按照本理财计划文件的约定，管理、运用和处分理财计划资金；</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按照本理财计划文件的约定，及时、足额获得管理费和本《产品说明书》</w:t>
      </w:r>
      <w:r>
        <w:rPr>
          <w:rFonts w:ascii="新宋体" w:eastAsia="新宋体" w:hAnsi="新宋体" w:hint="eastAsia"/>
          <w:szCs w:val="21"/>
        </w:rPr>
        <w:t xml:space="preserve"> </w:t>
      </w:r>
      <w:r>
        <w:rPr>
          <w:rFonts w:ascii="新宋体" w:eastAsia="新宋体" w:hAnsi="新宋体" w:hint="eastAsia"/>
          <w:szCs w:val="21"/>
        </w:rPr>
        <w:t>约定的其他费用（如有）</w:t>
      </w:r>
      <w:r>
        <w:rPr>
          <w:rFonts w:ascii="新宋体" w:eastAsia="新宋体" w:hAnsi="新宋体" w:hint="eastAsia"/>
          <w:szCs w:val="21"/>
        </w:rPr>
        <w:t xml:space="preserve"> </w:t>
      </w:r>
      <w:r>
        <w:rPr>
          <w:rFonts w:ascii="新宋体" w:eastAsia="新宋体" w:hAnsi="新宋体" w:hint="eastAsia"/>
          <w:szCs w:val="21"/>
        </w:rPr>
        <w:t>；</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管理人以其固有财产先行垫付因处理本理财计划相关事务所支出的理财计划费用及税费的</w:t>
      </w:r>
      <w:r>
        <w:rPr>
          <w:rFonts w:ascii="新宋体" w:eastAsia="新宋体" w:hAnsi="新宋体" w:hint="eastAsia"/>
          <w:szCs w:val="21"/>
        </w:rPr>
        <w:t xml:space="preserve"> </w:t>
      </w:r>
      <w:r>
        <w:rPr>
          <w:rFonts w:ascii="新宋体" w:eastAsia="新宋体" w:hAnsi="新宋体" w:hint="eastAsia"/>
          <w:szCs w:val="21"/>
        </w:rPr>
        <w:t>，对理财计划资金享有优先受偿的权利；</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管理人有权根据本理财计划文件的约定提前终止或延长本理财计划的期限；</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管理人有权单方调整本理财计划的发行规模上限</w:t>
      </w:r>
      <w:r>
        <w:rPr>
          <w:rFonts w:ascii="新宋体" w:eastAsia="新宋体" w:hAnsi="新宋体" w:hint="eastAsia"/>
          <w:szCs w:val="21"/>
        </w:rPr>
        <w:t>/</w:t>
      </w:r>
      <w:r>
        <w:rPr>
          <w:rFonts w:ascii="新宋体" w:eastAsia="新宋体" w:hAnsi="新宋体" w:hint="eastAsia"/>
          <w:szCs w:val="21"/>
        </w:rPr>
        <w:t>下限、认购</w:t>
      </w:r>
      <w:r>
        <w:rPr>
          <w:rFonts w:ascii="新宋体" w:eastAsia="新宋体" w:hAnsi="新宋体" w:hint="eastAsia"/>
          <w:szCs w:val="21"/>
        </w:rPr>
        <w:t>/</w:t>
      </w:r>
      <w:r>
        <w:rPr>
          <w:rFonts w:ascii="新宋体" w:eastAsia="新宋体" w:hAnsi="新宋体" w:hint="eastAsia"/>
          <w:szCs w:val="21"/>
        </w:rPr>
        <w:t>申购起点、认购</w:t>
      </w:r>
      <w:r>
        <w:rPr>
          <w:rFonts w:ascii="新宋体" w:eastAsia="新宋体" w:hAnsi="新宋体" w:hint="eastAsia"/>
          <w:szCs w:val="21"/>
        </w:rPr>
        <w:t>/</w:t>
      </w:r>
      <w:r>
        <w:rPr>
          <w:rFonts w:ascii="新宋体" w:eastAsia="新宋体" w:hAnsi="新宋体" w:hint="eastAsia"/>
          <w:szCs w:val="21"/>
        </w:rPr>
        <w:t>申购金额上限、认购</w:t>
      </w:r>
      <w:r>
        <w:rPr>
          <w:rFonts w:ascii="新宋体" w:eastAsia="新宋体" w:hAnsi="新宋体" w:hint="eastAsia"/>
          <w:szCs w:val="21"/>
        </w:rPr>
        <w:t>/</w:t>
      </w:r>
      <w:r>
        <w:rPr>
          <w:rFonts w:ascii="新宋体" w:eastAsia="新宋体" w:hAnsi="新宋体" w:hint="eastAsia"/>
          <w:szCs w:val="21"/>
        </w:rPr>
        <w:t>申购资金的最低金额、单笔认购上限、</w:t>
      </w:r>
      <w:r>
        <w:rPr>
          <w:rFonts w:ascii="新宋体" w:eastAsia="新宋体" w:hAnsi="新宋体" w:hint="eastAsia"/>
          <w:szCs w:val="21"/>
        </w:rPr>
        <w:t xml:space="preserve"> </w:t>
      </w:r>
      <w:r>
        <w:rPr>
          <w:rFonts w:ascii="新宋体" w:eastAsia="新宋体" w:hAnsi="新宋体" w:hint="eastAsia"/>
          <w:szCs w:val="21"/>
        </w:rPr>
        <w:t>单笔申购上限、</w:t>
      </w:r>
      <w:r>
        <w:rPr>
          <w:rFonts w:ascii="新宋体" w:eastAsia="新宋体" w:hAnsi="新宋体" w:hint="eastAsia"/>
          <w:szCs w:val="21"/>
        </w:rPr>
        <w:t xml:space="preserve"> </w:t>
      </w:r>
      <w:r>
        <w:rPr>
          <w:rFonts w:ascii="新宋体" w:eastAsia="新宋体" w:hAnsi="新宋体" w:hint="eastAsia"/>
          <w:szCs w:val="21"/>
        </w:rPr>
        <w:t>单日净申购比例上限、</w:t>
      </w:r>
      <w:r>
        <w:rPr>
          <w:rFonts w:ascii="新宋体" w:eastAsia="新宋体" w:hAnsi="新宋体" w:hint="eastAsia"/>
          <w:szCs w:val="21"/>
        </w:rPr>
        <w:t xml:space="preserve"> </w:t>
      </w:r>
      <w:r>
        <w:rPr>
          <w:rFonts w:ascii="新宋体" w:eastAsia="新宋体" w:hAnsi="新宋体" w:hint="eastAsia"/>
          <w:szCs w:val="21"/>
        </w:rPr>
        <w:t>单一客户持有上限、赎回上限等要素；</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管理人有权按照法律规定和监管机构的要求将投资者的信息向有权部门或相关机构披露；</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以理财计划投资管理人的名</w:t>
      </w:r>
      <w:r>
        <w:rPr>
          <w:rFonts w:ascii="新宋体" w:eastAsia="新宋体" w:hAnsi="新宋体" w:hint="eastAsia"/>
          <w:szCs w:val="21"/>
        </w:rPr>
        <w:t>义，依照法律法规相关规定以及为理财计划的利益，对被投资的信托计划、资管计划、各类基金（含公募基金和私募基金）、公司</w:t>
      </w:r>
      <w:r>
        <w:rPr>
          <w:rFonts w:ascii="新宋体" w:eastAsia="新宋体" w:hAnsi="新宋体" w:hint="eastAsia"/>
          <w:szCs w:val="21"/>
        </w:rPr>
        <w:t>/</w:t>
      </w:r>
      <w:r>
        <w:rPr>
          <w:rFonts w:ascii="新宋体" w:eastAsia="新宋体" w:hAnsi="新宋体" w:hint="eastAsia"/>
          <w:szCs w:val="21"/>
        </w:rPr>
        <w:t>企业等行使出资人</w:t>
      </w:r>
      <w:r>
        <w:rPr>
          <w:rFonts w:ascii="新宋体" w:eastAsia="新宋体" w:hAnsi="新宋体" w:hint="eastAsia"/>
          <w:szCs w:val="21"/>
        </w:rPr>
        <w:t>/</w:t>
      </w:r>
      <w:r>
        <w:rPr>
          <w:rFonts w:ascii="新宋体" w:eastAsia="新宋体" w:hAnsi="新宋体" w:hint="eastAsia"/>
          <w:szCs w:val="21"/>
        </w:rPr>
        <w:t>投资者权利（包括但不限于表决投票的权利）以及行使因理财计划财产投资于证券类基础资产（含债券、股票等）或其他基础资产（包括但不限于债权类资产）所产生的相关权利。</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以理财计划投资管理人的名义，依照法律法规相关规定以及代表理财计划份额持有人的利益行使代为追索的权利（包括但不限于提起诉讼</w:t>
      </w:r>
      <w:r>
        <w:rPr>
          <w:rFonts w:ascii="新宋体" w:eastAsia="新宋体" w:hAnsi="新宋体" w:hint="eastAsia"/>
          <w:szCs w:val="21"/>
        </w:rPr>
        <w:t>/</w:t>
      </w:r>
      <w:r>
        <w:rPr>
          <w:rFonts w:ascii="新宋体" w:eastAsia="新宋体" w:hAnsi="新宋体" w:hint="eastAsia"/>
          <w:szCs w:val="21"/>
        </w:rPr>
        <w:t>仲裁、申请保全</w:t>
      </w:r>
      <w:r>
        <w:rPr>
          <w:rFonts w:ascii="新宋体" w:eastAsia="新宋体" w:hAnsi="新宋体" w:hint="eastAsia"/>
          <w:szCs w:val="21"/>
        </w:rPr>
        <w:t>/</w:t>
      </w:r>
      <w:r>
        <w:rPr>
          <w:rFonts w:ascii="新宋体" w:eastAsia="新宋体" w:hAnsi="新宋体" w:hint="eastAsia"/>
          <w:szCs w:val="21"/>
        </w:rPr>
        <w:t>执行的权利）或者实施其他风险处置，行使、放弃、变更相关权利义务等法律行为。</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在法律法规、监管政策允许的前提下调整估值日。</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10.</w:t>
      </w:r>
      <w:r>
        <w:rPr>
          <w:rFonts w:ascii="新宋体" w:eastAsia="新宋体" w:hAnsi="新宋体" w:hint="eastAsia"/>
          <w:szCs w:val="21"/>
        </w:rPr>
        <w:t>法律法规、监管政策和本理财计划文件约定的其他权利。</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六、托管人</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托管人基本信息</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本理财产品的托管人为青岛银行。</w:t>
      </w:r>
      <w:r>
        <w:rPr>
          <w:rFonts w:ascii="新宋体" w:eastAsia="新宋体" w:hAnsi="新宋体" w:hint="eastAsia"/>
          <w:szCs w:val="21"/>
        </w:rPr>
        <w:t xml:space="preserve"> </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托管人职责</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本理财产品托管人应当履行下列职责，确保实现实质性独立托管：</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）安全保管理财产品财产；</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）为每只理财产品开设独立的托管账户，不同托管账户中的资产应当相互独立；</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）按照托管协议约定和理财产品管理人的投资指令，及时办理清算、交割</w:t>
      </w:r>
      <w:r>
        <w:rPr>
          <w:rFonts w:ascii="新宋体" w:eastAsia="新宋体" w:hAnsi="新宋体" w:hint="eastAsia"/>
          <w:szCs w:val="21"/>
        </w:rPr>
        <w:t xml:space="preserve"> </w:t>
      </w:r>
      <w:r>
        <w:rPr>
          <w:rFonts w:ascii="新宋体" w:eastAsia="新宋体" w:hAnsi="新宋体" w:hint="eastAsia"/>
          <w:szCs w:val="21"/>
        </w:rPr>
        <w:t>事宜；</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）建立与理财产品管理人的对账机制，复核、审查理财产品资金头寸、资产账目、资</w:t>
      </w:r>
      <w:r>
        <w:rPr>
          <w:rFonts w:ascii="新宋体" w:eastAsia="新宋体" w:hAnsi="新宋体" w:hint="eastAsia"/>
          <w:szCs w:val="21"/>
        </w:rPr>
        <w:t>产净值、认购和赎回价格等数据，及时核查认购、赎回以及投资资金的支付和到账情况；</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）监督理财产品投资运作，发现理财产品违反法律、行政法规、规章规定或合同约定进行投资的，应当拒绝执行，及时通知理财产品管理人并报告银行业监督管理机构；</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）办理与理财产品托管业务活动相关的信息披露事项，包括披露理财产品托管协议、对理财产品信息披露文件中的理财产品财务会计报告等出具意见，以及在公募理财产品半年度和年度报告中出具</w:t>
      </w:r>
      <w:r>
        <w:rPr>
          <w:rFonts w:ascii="新宋体" w:eastAsia="新宋体" w:hAnsi="新宋体" w:hint="eastAsia"/>
          <w:szCs w:val="21"/>
        </w:rPr>
        <w:lastRenderedPageBreak/>
        <w:t>理财托管机构报告等；</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）理财托管业务活动的记录、账册、报表和其他相关资料保存</w:t>
      </w:r>
      <w:r>
        <w:rPr>
          <w:rFonts w:ascii="新宋体" w:eastAsia="新宋体" w:hAnsi="新宋体" w:hint="eastAsia"/>
          <w:szCs w:val="21"/>
        </w:rPr>
        <w:t>15</w:t>
      </w:r>
      <w:r>
        <w:rPr>
          <w:rFonts w:ascii="新宋体" w:eastAsia="新宋体" w:hAnsi="新宋体" w:hint="eastAsia"/>
          <w:szCs w:val="21"/>
        </w:rPr>
        <w:t>年以上；</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）对</w:t>
      </w:r>
      <w:r>
        <w:rPr>
          <w:rFonts w:ascii="新宋体" w:eastAsia="新宋体" w:hAnsi="新宋体" w:hint="eastAsia"/>
          <w:szCs w:val="21"/>
        </w:rPr>
        <w:t>理财产品投资信息和相关资料承担保密责任，除法律、行政法规、规章规定、审计要求或者合同约定外，不得向任何机构或者个人提供相关信息和资料；</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）国务院银行业监督管理机构规定的其他职责。</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七、销售服务机构</w:t>
      </w:r>
    </w:p>
    <w:p w:rsidR="00914A4A" w:rsidRDefault="000A3D09">
      <w:pPr>
        <w:snapToGrid w:val="0"/>
        <w:spacing w:line="360" w:lineRule="auto"/>
        <w:ind w:firstLineChars="200" w:firstLine="420"/>
        <w:jc w:val="left"/>
        <w:rPr>
          <w:rFonts w:ascii="新宋体" w:eastAsia="新宋体" w:hAnsi="新宋体"/>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w:t>
      </w:r>
      <w:r>
        <w:rPr>
          <w:rFonts w:ascii="新宋体" w:eastAsia="新宋体" w:hAnsi="新宋体" w:hint="eastAsia"/>
          <w:szCs w:val="21"/>
        </w:rPr>
        <w:t>/</w:t>
      </w:r>
      <w:r>
        <w:rPr>
          <w:rFonts w:ascii="新宋体" w:eastAsia="新宋体" w:hAnsi="新宋体" w:hint="eastAsia"/>
          <w:szCs w:val="21"/>
        </w:rPr>
        <w:t>申购</w:t>
      </w:r>
      <w:r>
        <w:rPr>
          <w:rFonts w:ascii="新宋体" w:eastAsia="新宋体" w:hAnsi="新宋体" w:hint="eastAsia"/>
          <w:szCs w:val="21"/>
        </w:rPr>
        <w:t>/</w:t>
      </w:r>
      <w:r>
        <w:rPr>
          <w:rFonts w:ascii="新宋体" w:eastAsia="新宋体" w:hAnsi="新宋体" w:hint="eastAsia"/>
          <w:szCs w:val="21"/>
        </w:rPr>
        <w:t>赎回、协助管理人与投资者订立理财计划合同、协助管理人与投资者沟通及进行信息披露、接受投资者咨询和客户维护、落实反洗钱、反恐怖融资及非居</w:t>
      </w:r>
      <w:r>
        <w:rPr>
          <w:rFonts w:ascii="新宋体" w:eastAsia="新宋体" w:hAnsi="新宋体" w:hint="eastAsia"/>
          <w:szCs w:val="21"/>
        </w:rPr>
        <w:t>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rsidRDefault="000A3D09">
      <w:pPr>
        <w:spacing w:line="360" w:lineRule="auto"/>
        <w:ind w:firstLineChars="200" w:firstLine="422"/>
        <w:jc w:val="left"/>
        <w:rPr>
          <w:rFonts w:ascii="新宋体" w:eastAsia="新宋体" w:hAnsi="新宋体"/>
          <w:b/>
          <w:szCs w:val="21"/>
        </w:rPr>
      </w:pPr>
      <w:r>
        <w:rPr>
          <w:rFonts w:ascii="新宋体" w:eastAsia="新宋体" w:hAnsi="新宋体" w:hint="eastAsia"/>
          <w:b/>
          <w:szCs w:val="21"/>
        </w:rPr>
        <w:t>八、风控措施</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风险管理组织架构</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rsidRDefault="000A3D09">
      <w:pPr>
        <w:spacing w:line="360" w:lineRule="auto"/>
        <w:ind w:left="420"/>
        <w:jc w:val="left"/>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市场风险管理</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流动性风险管理</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操作风险管理</w:t>
      </w:r>
    </w:p>
    <w:p w:rsidR="00914A4A" w:rsidRDefault="000A3D09">
      <w:pPr>
        <w:spacing w:line="360" w:lineRule="auto"/>
        <w:ind w:firstLineChars="200" w:firstLine="420"/>
        <w:jc w:val="left"/>
        <w:rPr>
          <w:rFonts w:ascii="新宋体" w:eastAsia="新宋体" w:hAnsi="新宋体"/>
          <w:szCs w:val="21"/>
        </w:rPr>
      </w:pPr>
      <w:r>
        <w:rPr>
          <w:rFonts w:ascii="新宋体" w:eastAsia="新宋体" w:hAnsi="新宋体" w:hint="eastAsia"/>
          <w:szCs w:val="21"/>
        </w:rPr>
        <w:t>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w:t>
      </w:r>
      <w:r>
        <w:rPr>
          <w:rFonts w:ascii="新宋体" w:eastAsia="新宋体" w:hAnsi="新宋体" w:hint="eastAsia"/>
          <w:szCs w:val="21"/>
        </w:rPr>
        <w:t>影响本理财计划的收益水平。管理人将加强内部控制，强化职业道德教育，严格执行交易流程，避免操作层面上出现风险。</w:t>
      </w:r>
      <w:r>
        <w:rPr>
          <w:rFonts w:ascii="新宋体" w:eastAsia="新宋体" w:hAnsi="新宋体" w:hint="eastAsia"/>
          <w:szCs w:val="21"/>
        </w:rPr>
        <w:t xml:space="preserve">  </w:t>
      </w:r>
    </w:p>
    <w:p w:rsidR="00914A4A" w:rsidRDefault="000A3D09">
      <w:pPr>
        <w:spacing w:line="360" w:lineRule="auto"/>
        <w:ind w:firstLineChars="200" w:firstLine="422"/>
        <w:jc w:val="left"/>
        <w:rPr>
          <w:rFonts w:ascii="新宋体" w:eastAsia="新宋体" w:hAnsi="新宋体"/>
          <w:szCs w:val="21"/>
        </w:rPr>
      </w:pPr>
      <w:r>
        <w:rPr>
          <w:rFonts w:ascii="新宋体" w:eastAsia="新宋体" w:hAnsi="新宋体" w:hint="eastAsia"/>
          <w:b/>
          <w:szCs w:val="21"/>
        </w:rPr>
        <w:t>九、产品估值</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1.</w:t>
      </w:r>
      <w:r>
        <w:rPr>
          <w:rFonts w:ascii="新宋体" w:eastAsia="新宋体" w:hAnsi="新宋体" w:hint="eastAsia"/>
          <w:bCs/>
          <w:szCs w:val="21"/>
        </w:rPr>
        <w:t>估值目的</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本产品估值的目的是客观、准确的反映理财资产价值，以及理财产品资产净值。</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2.</w:t>
      </w:r>
      <w:r>
        <w:rPr>
          <w:rFonts w:ascii="新宋体" w:eastAsia="新宋体" w:hAnsi="新宋体" w:hint="eastAsia"/>
          <w:bCs/>
          <w:szCs w:val="21"/>
        </w:rPr>
        <w:t>估值日</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lastRenderedPageBreak/>
        <w:t>本产品工作日期间按周估值，管理人于估值日后两个工作日内进行披露。产品建仓期暂不估值。</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3.</w:t>
      </w:r>
      <w:r>
        <w:rPr>
          <w:rFonts w:ascii="新宋体" w:eastAsia="新宋体" w:hAnsi="新宋体" w:hint="eastAsia"/>
          <w:bCs/>
          <w:szCs w:val="21"/>
        </w:rPr>
        <w:t>估值对象</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本产品持有的各类证券、银行存款、应收款项及其他投资等资产。</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4.</w:t>
      </w:r>
      <w:r>
        <w:rPr>
          <w:rFonts w:ascii="新宋体" w:eastAsia="新宋体" w:hAnsi="新宋体" w:hint="eastAsia"/>
          <w:bCs/>
          <w:szCs w:val="21"/>
        </w:rPr>
        <w:t>估值方法</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bCs/>
          <w:szCs w:val="21"/>
        </w:rPr>
        <w:t>6</w:t>
      </w:r>
      <w:r>
        <w:rPr>
          <w:rFonts w:ascii="新宋体" w:eastAsia="新宋体" w:hAnsi="新宋体" w:hint="eastAsia"/>
          <w:bCs/>
          <w:szCs w:val="21"/>
        </w:rPr>
        <w:t>.</w:t>
      </w:r>
      <w:r>
        <w:rPr>
          <w:rFonts w:ascii="新宋体" w:eastAsia="新宋体" w:hAnsi="新宋体" w:hint="eastAsia"/>
          <w:bCs/>
          <w:szCs w:val="21"/>
        </w:rPr>
        <w:t>暂停估值</w:t>
      </w:r>
    </w:p>
    <w:p w:rsidR="00914A4A" w:rsidRDefault="000A3D09">
      <w:pPr>
        <w:spacing w:line="360" w:lineRule="auto"/>
        <w:ind w:firstLineChars="200" w:firstLine="420"/>
        <w:jc w:val="left"/>
        <w:rPr>
          <w:rFonts w:ascii="新宋体" w:eastAsia="新宋体" w:hAnsi="新宋体"/>
          <w:bCs/>
          <w:szCs w:val="21"/>
        </w:rPr>
      </w:pPr>
      <w:r>
        <w:rPr>
          <w:rFonts w:ascii="新宋体" w:eastAsia="新宋体" w:hAnsi="新宋体" w:hint="eastAsia"/>
          <w:bCs/>
          <w:szCs w:val="21"/>
        </w:rPr>
        <w:t>如遇法定节假日调整或其他原因暂停营</w:t>
      </w:r>
      <w:r>
        <w:rPr>
          <w:rFonts w:ascii="新宋体" w:eastAsia="新宋体" w:hAnsi="新宋体" w:hint="eastAsia"/>
          <w:bCs/>
          <w:szCs w:val="21"/>
        </w:rPr>
        <w:t>业时，或因任何不可抗力导致无法准确估值时，管理人可暂停估值，并于</w:t>
      </w:r>
      <w:r>
        <w:rPr>
          <w:rFonts w:ascii="新宋体" w:eastAsia="新宋体" w:hAnsi="新宋体" w:hint="eastAsia"/>
          <w:bCs/>
          <w:szCs w:val="21"/>
        </w:rPr>
        <w:t>2</w:t>
      </w:r>
      <w:r>
        <w:rPr>
          <w:rFonts w:ascii="新宋体" w:eastAsia="新宋体" w:hAnsi="新宋体" w:hint="eastAsia"/>
          <w:bCs/>
          <w:szCs w:val="21"/>
        </w:rPr>
        <w:t>个工作日内披露相关信息及处理措施。</w:t>
      </w:r>
    </w:p>
    <w:p w:rsidR="00914A4A" w:rsidRDefault="000A3D09">
      <w:pPr>
        <w:spacing w:line="360" w:lineRule="auto"/>
        <w:ind w:left="482"/>
        <w:jc w:val="left"/>
        <w:rPr>
          <w:rFonts w:ascii="新宋体" w:eastAsia="新宋体" w:hAnsi="新宋体"/>
          <w:b/>
          <w:szCs w:val="21"/>
        </w:rPr>
      </w:pPr>
      <w:r>
        <w:rPr>
          <w:rFonts w:ascii="新宋体" w:eastAsia="新宋体" w:hAnsi="新宋体" w:hint="eastAsia"/>
          <w:b/>
          <w:szCs w:val="21"/>
        </w:rPr>
        <w:t>十、投资者理财收益测算</w:t>
      </w:r>
    </w:p>
    <w:p w:rsidR="00914A4A" w:rsidRDefault="000A3D09">
      <w:pPr>
        <w:pStyle w:val="aa"/>
        <w:spacing w:before="0" w:beforeAutospacing="0" w:after="0" w:afterAutospacing="0" w:line="360" w:lineRule="auto"/>
        <w:ind w:firstLineChars="200" w:firstLine="422"/>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rsidRDefault="000A3D09">
      <w:pPr>
        <w:pStyle w:val="aa"/>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本理财计划以单位净值报价，单位净值</w:t>
      </w:r>
      <w:r>
        <w:rPr>
          <w:rFonts w:ascii="新宋体" w:eastAsia="新宋体" w:hAnsi="新宋体" w:hint="eastAsia"/>
          <w:sz w:val="21"/>
          <w:szCs w:val="21"/>
        </w:rPr>
        <w:t>=</w:t>
      </w:r>
      <w:r>
        <w:rPr>
          <w:rFonts w:ascii="新宋体" w:eastAsia="新宋体" w:hAnsi="新宋体" w:hint="eastAsia"/>
          <w:sz w:val="21"/>
          <w:szCs w:val="21"/>
        </w:rPr>
        <w:t>本理财计划总净值÷本理财计划总份额。其中，总净值为扣除产品托管费、产品管理费、销售服务费（如有）等相关费用后的本理财计划资产市值。本理财计划单位净值根据青银理财实际投资运作的情况变化。</w:t>
      </w:r>
    </w:p>
    <w:p w:rsidR="00914A4A" w:rsidRDefault="000A3D09">
      <w:pPr>
        <w:pStyle w:val="aa"/>
        <w:spacing w:before="0" w:beforeAutospacing="0" w:after="0" w:afterAutospacing="0" w:line="360" w:lineRule="auto"/>
        <w:ind w:firstLineChars="200" w:firstLine="422"/>
        <w:rPr>
          <w:rFonts w:ascii="新宋体" w:eastAsia="新宋体" w:hAnsi="新宋体"/>
          <w:b/>
          <w:szCs w:val="21"/>
        </w:rPr>
      </w:pPr>
      <w:r>
        <w:rPr>
          <w:rFonts w:ascii="新宋体" w:eastAsia="新宋体" w:hAnsi="新宋体" w:hint="eastAsia"/>
          <w:b/>
          <w:sz w:val="21"/>
          <w:szCs w:val="21"/>
        </w:rPr>
        <w:t xml:space="preserve"> 2.</w:t>
      </w:r>
      <w:r>
        <w:rPr>
          <w:rFonts w:ascii="新宋体" w:eastAsia="新宋体" w:hAnsi="新宋体" w:hint="eastAsia"/>
          <w:b/>
          <w:sz w:val="21"/>
          <w:szCs w:val="21"/>
        </w:rPr>
        <w:t>投资者理财产品市值及收益的测算</w:t>
      </w:r>
    </w:p>
    <w:p w:rsidR="00914A4A" w:rsidRDefault="000A3D09">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w:t>
      </w:r>
      <w:r>
        <w:rPr>
          <w:rFonts w:ascii="新宋体" w:eastAsia="新宋体" w:hAnsi="新宋体" w:hint="eastAsia"/>
          <w:color w:val="auto"/>
          <w:sz w:val="21"/>
          <w:szCs w:val="21"/>
        </w:rPr>
        <w:t>=</w:t>
      </w:r>
      <w:r>
        <w:rPr>
          <w:rFonts w:ascii="新宋体" w:eastAsia="新宋体" w:hAnsi="新宋体" w:hint="eastAsia"/>
          <w:color w:val="auto"/>
          <w:sz w:val="21"/>
          <w:szCs w:val="21"/>
        </w:rPr>
        <w:t>持有理财产品总份额×单位净值，持有理财产品总份额以青银理财系统清算登记份额数据为准。</w:t>
      </w:r>
    </w:p>
    <w:p w:rsidR="00914A4A" w:rsidRDefault="000A3D09">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rsidRDefault="000A3D09">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投资者理财市值及收益测算示例：</w:t>
      </w:r>
    </w:p>
    <w:p w:rsidR="00914A4A" w:rsidRDefault="000A3D09">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假设：</w:t>
      </w:r>
      <w:r>
        <w:rPr>
          <w:rFonts w:ascii="新宋体" w:eastAsia="新宋体" w:hAnsi="新宋体" w:hint="eastAsia"/>
          <w:color w:val="auto"/>
          <w:sz w:val="21"/>
          <w:szCs w:val="21"/>
        </w:rPr>
        <w:t>20</w:t>
      </w:r>
      <w:r>
        <w:rPr>
          <w:rFonts w:ascii="新宋体" w:eastAsia="新宋体" w:hAnsi="新宋体"/>
          <w:color w:val="auto"/>
          <w:sz w:val="21"/>
          <w:szCs w:val="21"/>
        </w:rPr>
        <w:t>20</w:t>
      </w:r>
      <w:r>
        <w:rPr>
          <w:rFonts w:ascii="新宋体" w:eastAsia="新宋体" w:hAnsi="新宋体" w:hint="eastAsia"/>
          <w:color w:val="auto"/>
          <w:sz w:val="21"/>
          <w:szCs w:val="21"/>
        </w:rPr>
        <w:t>年</w:t>
      </w:r>
      <w:r>
        <w:rPr>
          <w:rFonts w:ascii="新宋体" w:eastAsia="新宋体" w:hAnsi="新宋体" w:hint="eastAsia"/>
          <w:color w:val="auto"/>
          <w:sz w:val="21"/>
          <w:szCs w:val="21"/>
        </w:rPr>
        <w:t>11</w:t>
      </w:r>
      <w:r>
        <w:rPr>
          <w:rFonts w:ascii="新宋体" w:eastAsia="新宋体" w:hAnsi="新宋体" w:hint="eastAsia"/>
          <w:color w:val="auto"/>
          <w:sz w:val="21"/>
          <w:szCs w:val="21"/>
        </w:rPr>
        <w:t>月</w:t>
      </w:r>
      <w:r>
        <w:rPr>
          <w:rFonts w:ascii="新宋体" w:eastAsia="新宋体" w:hAnsi="新宋体" w:hint="eastAsia"/>
          <w:color w:val="auto"/>
          <w:sz w:val="21"/>
          <w:szCs w:val="21"/>
        </w:rPr>
        <w:t>5</w:t>
      </w:r>
      <w:r>
        <w:rPr>
          <w:rFonts w:ascii="新宋体" w:eastAsia="新宋体" w:hAnsi="新宋体" w:hint="eastAsia"/>
          <w:color w:val="auto"/>
          <w:sz w:val="21"/>
          <w:szCs w:val="21"/>
        </w:rPr>
        <w:t>日（工作日）、</w:t>
      </w:r>
      <w:r>
        <w:rPr>
          <w:rFonts w:ascii="新宋体" w:eastAsia="新宋体" w:hAnsi="新宋体" w:hint="eastAsia"/>
          <w:color w:val="auto"/>
          <w:sz w:val="21"/>
          <w:szCs w:val="21"/>
        </w:rPr>
        <w:t>20</w:t>
      </w:r>
      <w:r>
        <w:rPr>
          <w:rFonts w:ascii="新宋体" w:eastAsia="新宋体" w:hAnsi="新宋体"/>
          <w:color w:val="auto"/>
          <w:sz w:val="21"/>
          <w:szCs w:val="21"/>
        </w:rPr>
        <w:t>2</w:t>
      </w:r>
      <w:r>
        <w:rPr>
          <w:rFonts w:ascii="新宋体" w:eastAsia="新宋体" w:hAnsi="新宋体" w:hint="eastAsia"/>
          <w:color w:val="auto"/>
          <w:sz w:val="21"/>
          <w:szCs w:val="21"/>
        </w:rPr>
        <w:t>1</w:t>
      </w:r>
      <w:r>
        <w:rPr>
          <w:rFonts w:ascii="新宋体" w:eastAsia="新宋体" w:hAnsi="新宋体" w:hint="eastAsia"/>
          <w:color w:val="auto"/>
          <w:sz w:val="21"/>
          <w:szCs w:val="21"/>
        </w:rPr>
        <w:t>年</w:t>
      </w:r>
      <w:r>
        <w:rPr>
          <w:rFonts w:ascii="新宋体" w:eastAsia="新宋体" w:hAnsi="新宋体" w:hint="eastAsia"/>
          <w:color w:val="auto"/>
          <w:sz w:val="21"/>
          <w:szCs w:val="21"/>
        </w:rPr>
        <w:t>1</w:t>
      </w:r>
      <w:r>
        <w:rPr>
          <w:rFonts w:ascii="新宋体" w:eastAsia="新宋体" w:hAnsi="新宋体" w:hint="eastAsia"/>
          <w:color w:val="auto"/>
          <w:sz w:val="21"/>
          <w:szCs w:val="21"/>
        </w:rPr>
        <w:t>月</w:t>
      </w:r>
      <w:r>
        <w:rPr>
          <w:rFonts w:ascii="新宋体" w:eastAsia="新宋体" w:hAnsi="新宋体" w:hint="eastAsia"/>
          <w:color w:val="auto"/>
          <w:sz w:val="21"/>
          <w:szCs w:val="21"/>
        </w:rPr>
        <w:t>4</w:t>
      </w:r>
      <w:r>
        <w:rPr>
          <w:rFonts w:ascii="新宋体" w:eastAsia="新宋体" w:hAnsi="新宋体" w:hint="eastAsia"/>
          <w:color w:val="auto"/>
          <w:sz w:val="21"/>
          <w:szCs w:val="21"/>
        </w:rPr>
        <w:t>日（工作日）为该产品起息日和到期日，该产品业绩基准年化</w:t>
      </w:r>
      <w:r>
        <w:rPr>
          <w:rFonts w:ascii="新宋体" w:eastAsia="新宋体" w:hAnsi="新宋体" w:hint="eastAsia"/>
          <w:color w:val="auto"/>
          <w:sz w:val="21"/>
          <w:szCs w:val="21"/>
        </w:rPr>
        <w:t>5.1%</w:t>
      </w:r>
      <w:r>
        <w:rPr>
          <w:rFonts w:ascii="新宋体" w:eastAsia="新宋体" w:hAnsi="新宋体" w:hint="eastAsia"/>
          <w:color w:val="auto"/>
          <w:sz w:val="21"/>
          <w:szCs w:val="21"/>
        </w:rPr>
        <w:t>，投资者在</w:t>
      </w:r>
      <w:r>
        <w:rPr>
          <w:rFonts w:ascii="新宋体" w:eastAsia="新宋体" w:hAnsi="新宋体" w:hint="eastAsia"/>
          <w:color w:val="auto"/>
          <w:sz w:val="21"/>
          <w:szCs w:val="21"/>
        </w:rPr>
        <w:t>2</w:t>
      </w:r>
      <w:r>
        <w:rPr>
          <w:rFonts w:ascii="新宋体" w:eastAsia="新宋体" w:hAnsi="新宋体" w:hint="eastAsia"/>
          <w:color w:val="auto"/>
          <w:sz w:val="21"/>
          <w:szCs w:val="21"/>
        </w:rPr>
        <w:t>0</w:t>
      </w:r>
      <w:r>
        <w:rPr>
          <w:rFonts w:ascii="新宋体" w:eastAsia="新宋体" w:hAnsi="新宋体"/>
          <w:color w:val="auto"/>
          <w:sz w:val="21"/>
          <w:szCs w:val="21"/>
        </w:rPr>
        <w:t>20</w:t>
      </w:r>
      <w:r>
        <w:rPr>
          <w:rFonts w:ascii="新宋体" w:eastAsia="新宋体" w:hAnsi="新宋体" w:hint="eastAsia"/>
          <w:color w:val="auto"/>
          <w:sz w:val="21"/>
          <w:szCs w:val="21"/>
        </w:rPr>
        <w:t>年</w:t>
      </w:r>
      <w:r>
        <w:rPr>
          <w:rFonts w:ascii="新宋体" w:eastAsia="新宋体" w:hAnsi="新宋体" w:hint="eastAsia"/>
          <w:color w:val="auto"/>
          <w:sz w:val="21"/>
          <w:szCs w:val="21"/>
        </w:rPr>
        <w:t>11</w:t>
      </w:r>
      <w:r>
        <w:rPr>
          <w:rFonts w:ascii="新宋体" w:eastAsia="新宋体" w:hAnsi="新宋体" w:hint="eastAsia"/>
          <w:color w:val="auto"/>
          <w:sz w:val="21"/>
          <w:szCs w:val="21"/>
        </w:rPr>
        <w:t>月</w:t>
      </w:r>
      <w:r>
        <w:rPr>
          <w:rFonts w:ascii="新宋体" w:eastAsia="新宋体" w:hAnsi="新宋体" w:hint="eastAsia"/>
          <w:color w:val="auto"/>
          <w:sz w:val="21"/>
          <w:szCs w:val="21"/>
        </w:rPr>
        <w:t>5</w:t>
      </w:r>
      <w:r>
        <w:rPr>
          <w:rFonts w:ascii="新宋体" w:eastAsia="新宋体" w:hAnsi="新宋体" w:hint="eastAsia"/>
          <w:color w:val="auto"/>
          <w:sz w:val="21"/>
          <w:szCs w:val="21"/>
        </w:rPr>
        <w:t>日系统登记的已持有产品份额</w:t>
      </w:r>
      <w:r>
        <w:rPr>
          <w:rFonts w:ascii="新宋体" w:eastAsia="新宋体" w:hAnsi="新宋体" w:hint="eastAsia"/>
          <w:color w:val="auto"/>
          <w:sz w:val="21"/>
          <w:szCs w:val="21"/>
        </w:rPr>
        <w:t>5</w:t>
      </w:r>
      <w:r>
        <w:rPr>
          <w:rFonts w:ascii="新宋体" w:eastAsia="新宋体" w:hAnsi="新宋体" w:hint="eastAsia"/>
          <w:color w:val="auto"/>
          <w:sz w:val="21"/>
          <w:szCs w:val="21"/>
        </w:rPr>
        <w:t>万份，</w:t>
      </w:r>
      <w:r>
        <w:rPr>
          <w:rFonts w:ascii="新宋体" w:eastAsia="新宋体" w:hAnsi="新宋体" w:hint="eastAsia"/>
          <w:color w:val="auto"/>
          <w:sz w:val="21"/>
          <w:szCs w:val="21"/>
        </w:rPr>
        <w:t>20</w:t>
      </w:r>
      <w:r>
        <w:rPr>
          <w:rFonts w:ascii="新宋体" w:eastAsia="新宋体" w:hAnsi="新宋体"/>
          <w:color w:val="auto"/>
          <w:sz w:val="21"/>
          <w:szCs w:val="21"/>
        </w:rPr>
        <w:t>20</w:t>
      </w:r>
      <w:r>
        <w:rPr>
          <w:rFonts w:ascii="新宋体" w:eastAsia="新宋体" w:hAnsi="新宋体" w:hint="eastAsia"/>
          <w:color w:val="auto"/>
          <w:sz w:val="21"/>
          <w:szCs w:val="21"/>
        </w:rPr>
        <w:t>年</w:t>
      </w:r>
      <w:r>
        <w:rPr>
          <w:rFonts w:ascii="新宋体" w:eastAsia="新宋体" w:hAnsi="新宋体" w:hint="eastAsia"/>
          <w:color w:val="auto"/>
          <w:sz w:val="21"/>
          <w:szCs w:val="21"/>
        </w:rPr>
        <w:t>11</w:t>
      </w:r>
      <w:r>
        <w:rPr>
          <w:rFonts w:ascii="新宋体" w:eastAsia="新宋体" w:hAnsi="新宋体" w:hint="eastAsia"/>
          <w:color w:val="auto"/>
          <w:sz w:val="21"/>
          <w:szCs w:val="21"/>
        </w:rPr>
        <w:t>月</w:t>
      </w:r>
      <w:r>
        <w:rPr>
          <w:rFonts w:ascii="新宋体" w:eastAsia="新宋体" w:hAnsi="新宋体" w:hint="eastAsia"/>
          <w:color w:val="auto"/>
          <w:sz w:val="21"/>
          <w:szCs w:val="21"/>
        </w:rPr>
        <w:t>5</w:t>
      </w:r>
      <w:r>
        <w:rPr>
          <w:rFonts w:ascii="新宋体" w:eastAsia="新宋体" w:hAnsi="新宋体" w:hint="eastAsia"/>
          <w:color w:val="auto"/>
          <w:sz w:val="21"/>
          <w:szCs w:val="21"/>
        </w:rPr>
        <w:t>日青银理财发布产品单位净值为</w:t>
      </w:r>
      <w:r>
        <w:rPr>
          <w:rFonts w:ascii="新宋体" w:eastAsia="新宋体" w:hAnsi="新宋体" w:hint="eastAsia"/>
          <w:color w:val="auto"/>
          <w:sz w:val="21"/>
          <w:szCs w:val="21"/>
        </w:rPr>
        <w:t>1.000000</w:t>
      </w:r>
      <w:r>
        <w:rPr>
          <w:rFonts w:ascii="新宋体" w:eastAsia="新宋体" w:hAnsi="新宋体" w:hint="eastAsia"/>
          <w:color w:val="auto"/>
          <w:sz w:val="21"/>
          <w:szCs w:val="21"/>
        </w:rPr>
        <w:t>元</w:t>
      </w:r>
      <w:r>
        <w:rPr>
          <w:rFonts w:ascii="新宋体" w:eastAsia="新宋体" w:hAnsi="新宋体" w:hint="eastAsia"/>
          <w:color w:val="auto"/>
          <w:sz w:val="21"/>
          <w:szCs w:val="21"/>
        </w:rPr>
        <w:t>/</w:t>
      </w:r>
      <w:r>
        <w:rPr>
          <w:rFonts w:ascii="新宋体" w:eastAsia="新宋体" w:hAnsi="新宋体" w:hint="eastAsia"/>
          <w:color w:val="auto"/>
          <w:sz w:val="21"/>
          <w:szCs w:val="21"/>
        </w:rPr>
        <w:t>份。则截止</w:t>
      </w:r>
      <w:r>
        <w:rPr>
          <w:rFonts w:ascii="新宋体" w:eastAsia="新宋体" w:hAnsi="新宋体" w:hint="eastAsia"/>
          <w:color w:val="auto"/>
          <w:sz w:val="21"/>
          <w:szCs w:val="21"/>
        </w:rPr>
        <w:t>20</w:t>
      </w:r>
      <w:r>
        <w:rPr>
          <w:rFonts w:ascii="新宋体" w:eastAsia="新宋体" w:hAnsi="新宋体"/>
          <w:color w:val="auto"/>
          <w:sz w:val="21"/>
          <w:szCs w:val="21"/>
        </w:rPr>
        <w:t>20</w:t>
      </w:r>
      <w:r>
        <w:rPr>
          <w:rFonts w:ascii="新宋体" w:eastAsia="新宋体" w:hAnsi="新宋体" w:hint="eastAsia"/>
          <w:color w:val="auto"/>
          <w:sz w:val="21"/>
          <w:szCs w:val="21"/>
        </w:rPr>
        <w:t>年</w:t>
      </w:r>
      <w:r>
        <w:rPr>
          <w:rFonts w:ascii="新宋体" w:eastAsia="新宋体" w:hAnsi="新宋体" w:hint="eastAsia"/>
          <w:color w:val="auto"/>
          <w:sz w:val="21"/>
          <w:szCs w:val="21"/>
        </w:rPr>
        <w:t>11</w:t>
      </w:r>
      <w:r>
        <w:rPr>
          <w:rFonts w:ascii="新宋体" w:eastAsia="新宋体" w:hAnsi="新宋体" w:hint="eastAsia"/>
          <w:color w:val="auto"/>
          <w:sz w:val="21"/>
          <w:szCs w:val="21"/>
        </w:rPr>
        <w:t>月</w:t>
      </w:r>
      <w:r>
        <w:rPr>
          <w:rFonts w:ascii="新宋体" w:eastAsia="新宋体" w:hAnsi="新宋体" w:hint="eastAsia"/>
          <w:color w:val="auto"/>
          <w:sz w:val="21"/>
          <w:szCs w:val="21"/>
        </w:rPr>
        <w:t>5</w:t>
      </w:r>
      <w:r>
        <w:rPr>
          <w:rFonts w:ascii="新宋体" w:eastAsia="新宋体" w:hAnsi="新宋体" w:hint="eastAsia"/>
          <w:color w:val="auto"/>
          <w:sz w:val="21"/>
          <w:szCs w:val="21"/>
        </w:rPr>
        <w:t>日，该投资者持有理财的产品市值为</w:t>
      </w:r>
      <w:r>
        <w:rPr>
          <w:rFonts w:ascii="新宋体" w:eastAsia="新宋体" w:hAnsi="新宋体" w:hint="eastAsia"/>
          <w:color w:val="auto"/>
          <w:sz w:val="21"/>
          <w:szCs w:val="21"/>
        </w:rPr>
        <w:t>50000</w:t>
      </w:r>
      <w:r>
        <w:rPr>
          <w:rFonts w:ascii="新宋体" w:eastAsia="新宋体" w:hAnsi="新宋体" w:hint="eastAsia"/>
          <w:color w:val="auto"/>
          <w:sz w:val="21"/>
          <w:szCs w:val="21"/>
        </w:rPr>
        <w:t>×</w:t>
      </w:r>
      <w:r>
        <w:rPr>
          <w:rFonts w:ascii="新宋体" w:eastAsia="新宋体" w:hAnsi="新宋体" w:hint="eastAsia"/>
          <w:color w:val="auto"/>
          <w:sz w:val="21"/>
          <w:szCs w:val="21"/>
        </w:rPr>
        <w:lastRenderedPageBreak/>
        <w:t>1.000000=50000.00</w:t>
      </w:r>
      <w:r>
        <w:rPr>
          <w:rFonts w:ascii="新宋体" w:eastAsia="新宋体" w:hAnsi="新宋体" w:hint="eastAsia"/>
          <w:color w:val="auto"/>
          <w:sz w:val="21"/>
          <w:szCs w:val="21"/>
        </w:rPr>
        <w:t>元。</w:t>
      </w:r>
    </w:p>
    <w:p w:rsidR="00914A4A" w:rsidRDefault="000A3D09">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场景一：在</w:t>
      </w:r>
      <w:r>
        <w:rPr>
          <w:rFonts w:ascii="新宋体" w:eastAsia="新宋体" w:hAnsi="新宋体" w:hint="eastAsia"/>
          <w:color w:val="auto"/>
          <w:sz w:val="21"/>
          <w:szCs w:val="21"/>
        </w:rPr>
        <w:t>20</w:t>
      </w:r>
      <w:r>
        <w:rPr>
          <w:rFonts w:ascii="新宋体" w:eastAsia="新宋体" w:hAnsi="新宋体"/>
          <w:color w:val="auto"/>
          <w:sz w:val="21"/>
          <w:szCs w:val="21"/>
        </w:rPr>
        <w:t>2</w:t>
      </w:r>
      <w:r>
        <w:rPr>
          <w:rFonts w:ascii="新宋体" w:eastAsia="新宋体" w:hAnsi="新宋体" w:hint="eastAsia"/>
          <w:color w:val="auto"/>
          <w:sz w:val="21"/>
          <w:szCs w:val="21"/>
        </w:rPr>
        <w:t>1</w:t>
      </w:r>
      <w:r>
        <w:rPr>
          <w:rFonts w:ascii="新宋体" w:eastAsia="新宋体" w:hAnsi="新宋体" w:hint="eastAsia"/>
          <w:color w:val="auto"/>
          <w:sz w:val="21"/>
          <w:szCs w:val="21"/>
        </w:rPr>
        <w:t>年</w:t>
      </w:r>
      <w:r>
        <w:rPr>
          <w:rFonts w:ascii="新宋体" w:eastAsia="新宋体" w:hAnsi="新宋体" w:hint="eastAsia"/>
          <w:color w:val="auto"/>
          <w:sz w:val="21"/>
          <w:szCs w:val="21"/>
        </w:rPr>
        <w:t>1</w:t>
      </w:r>
      <w:r>
        <w:rPr>
          <w:rFonts w:ascii="新宋体" w:eastAsia="新宋体" w:hAnsi="新宋体" w:hint="eastAsia"/>
          <w:color w:val="auto"/>
          <w:sz w:val="21"/>
          <w:szCs w:val="21"/>
        </w:rPr>
        <w:t>月</w:t>
      </w:r>
      <w:r>
        <w:rPr>
          <w:rFonts w:ascii="新宋体" w:eastAsia="新宋体" w:hAnsi="新宋体" w:hint="eastAsia"/>
          <w:color w:val="auto"/>
          <w:sz w:val="21"/>
          <w:szCs w:val="21"/>
        </w:rPr>
        <w:t>4</w:t>
      </w:r>
      <w:r>
        <w:rPr>
          <w:rFonts w:ascii="新宋体" w:eastAsia="新宋体" w:hAnsi="新宋体" w:hint="eastAsia"/>
          <w:color w:val="auto"/>
          <w:sz w:val="21"/>
          <w:szCs w:val="21"/>
        </w:rPr>
        <w:t>日青银理财发布产品单位净值为</w:t>
      </w:r>
      <w:r>
        <w:rPr>
          <w:rFonts w:ascii="新宋体" w:eastAsia="新宋体" w:hAnsi="新宋体" w:hint="eastAsia"/>
          <w:color w:val="auto"/>
          <w:sz w:val="21"/>
          <w:szCs w:val="21"/>
        </w:rPr>
        <w:t>1.012715</w:t>
      </w:r>
      <w:r>
        <w:rPr>
          <w:rFonts w:ascii="新宋体" w:eastAsia="新宋体" w:hAnsi="新宋体" w:hint="eastAsia"/>
          <w:color w:val="auto"/>
          <w:sz w:val="21"/>
          <w:szCs w:val="21"/>
        </w:rPr>
        <w:t>元</w:t>
      </w:r>
      <w:r>
        <w:rPr>
          <w:rFonts w:ascii="新宋体" w:eastAsia="新宋体" w:hAnsi="新宋体" w:hint="eastAsia"/>
          <w:color w:val="auto"/>
          <w:sz w:val="21"/>
          <w:szCs w:val="21"/>
        </w:rPr>
        <w:t>/</w:t>
      </w:r>
      <w:r>
        <w:rPr>
          <w:rFonts w:ascii="新宋体" w:eastAsia="新宋体" w:hAnsi="新宋体" w:hint="eastAsia"/>
          <w:color w:val="auto"/>
          <w:sz w:val="21"/>
          <w:szCs w:val="21"/>
        </w:rPr>
        <w:t>份，则截止</w:t>
      </w:r>
      <w:r>
        <w:rPr>
          <w:rFonts w:ascii="新宋体" w:eastAsia="新宋体" w:hAnsi="新宋体" w:hint="eastAsia"/>
          <w:color w:val="auto"/>
          <w:sz w:val="21"/>
          <w:szCs w:val="21"/>
        </w:rPr>
        <w:t>20</w:t>
      </w:r>
      <w:r>
        <w:rPr>
          <w:rFonts w:ascii="新宋体" w:eastAsia="新宋体" w:hAnsi="新宋体"/>
          <w:color w:val="auto"/>
          <w:sz w:val="21"/>
          <w:szCs w:val="21"/>
        </w:rPr>
        <w:t>2</w:t>
      </w:r>
      <w:r>
        <w:rPr>
          <w:rFonts w:ascii="新宋体" w:eastAsia="新宋体" w:hAnsi="新宋体" w:hint="eastAsia"/>
          <w:color w:val="auto"/>
          <w:sz w:val="21"/>
          <w:szCs w:val="21"/>
        </w:rPr>
        <w:t>1</w:t>
      </w:r>
      <w:r>
        <w:rPr>
          <w:rFonts w:ascii="新宋体" w:eastAsia="新宋体" w:hAnsi="新宋体" w:hint="eastAsia"/>
          <w:color w:val="auto"/>
          <w:sz w:val="21"/>
          <w:szCs w:val="21"/>
        </w:rPr>
        <w:t>年</w:t>
      </w:r>
      <w:r>
        <w:rPr>
          <w:rFonts w:ascii="新宋体" w:eastAsia="新宋体" w:hAnsi="新宋体" w:hint="eastAsia"/>
          <w:color w:val="auto"/>
          <w:sz w:val="21"/>
          <w:szCs w:val="21"/>
        </w:rPr>
        <w:t>1</w:t>
      </w:r>
      <w:r>
        <w:rPr>
          <w:rFonts w:ascii="新宋体" w:eastAsia="新宋体" w:hAnsi="新宋体" w:hint="eastAsia"/>
          <w:color w:val="auto"/>
          <w:sz w:val="21"/>
          <w:szCs w:val="21"/>
        </w:rPr>
        <w:t>月</w:t>
      </w:r>
      <w:r>
        <w:rPr>
          <w:rFonts w:ascii="新宋体" w:eastAsia="新宋体" w:hAnsi="新宋体" w:hint="eastAsia"/>
          <w:color w:val="auto"/>
          <w:sz w:val="21"/>
          <w:szCs w:val="21"/>
        </w:rPr>
        <w:t>4</w:t>
      </w:r>
      <w:r>
        <w:rPr>
          <w:rFonts w:ascii="新宋体" w:eastAsia="新宋体" w:hAnsi="新宋体" w:hint="eastAsia"/>
          <w:color w:val="auto"/>
          <w:sz w:val="21"/>
          <w:szCs w:val="21"/>
        </w:rPr>
        <w:t>日，该投资者持有理财的产品市值为</w:t>
      </w:r>
      <w:r>
        <w:rPr>
          <w:rFonts w:ascii="新宋体" w:eastAsia="新宋体" w:hAnsi="新宋体" w:hint="eastAsia"/>
          <w:color w:val="auto"/>
          <w:sz w:val="21"/>
          <w:szCs w:val="21"/>
        </w:rPr>
        <w:t>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w:t>
      </w:r>
      <w:r>
        <w:rPr>
          <w:rFonts w:ascii="新宋体" w:eastAsia="新宋体" w:hAnsi="新宋体" w:hint="eastAsia"/>
          <w:color w:val="auto"/>
          <w:sz w:val="21"/>
          <w:szCs w:val="21"/>
        </w:rPr>
        <w:t>元。该投资者的账面理财收益是</w:t>
      </w:r>
      <w:r>
        <w:rPr>
          <w:rFonts w:ascii="新宋体" w:eastAsia="新宋体" w:hAnsi="新宋体" w:hint="eastAsia"/>
          <w:color w:val="auto"/>
          <w:sz w:val="21"/>
          <w:szCs w:val="21"/>
        </w:rPr>
        <w:t>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rsidRDefault="000A3D09">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场景二：在</w:t>
      </w:r>
      <w:r>
        <w:rPr>
          <w:rFonts w:ascii="新宋体" w:eastAsia="新宋体" w:hAnsi="新宋体" w:hint="eastAsia"/>
          <w:color w:val="auto"/>
          <w:sz w:val="21"/>
          <w:szCs w:val="21"/>
        </w:rPr>
        <w:t>20</w:t>
      </w:r>
      <w:r>
        <w:rPr>
          <w:rFonts w:ascii="新宋体" w:eastAsia="新宋体" w:hAnsi="新宋体"/>
          <w:color w:val="auto"/>
          <w:sz w:val="21"/>
          <w:szCs w:val="21"/>
        </w:rPr>
        <w:t>2</w:t>
      </w:r>
      <w:r>
        <w:rPr>
          <w:rFonts w:ascii="新宋体" w:eastAsia="新宋体" w:hAnsi="新宋体" w:hint="eastAsia"/>
          <w:color w:val="auto"/>
          <w:sz w:val="21"/>
          <w:szCs w:val="21"/>
        </w:rPr>
        <w:t>1</w:t>
      </w:r>
      <w:r>
        <w:rPr>
          <w:rFonts w:ascii="新宋体" w:eastAsia="新宋体" w:hAnsi="新宋体" w:hint="eastAsia"/>
          <w:color w:val="auto"/>
          <w:sz w:val="21"/>
          <w:szCs w:val="21"/>
        </w:rPr>
        <w:t>年</w:t>
      </w:r>
      <w:r>
        <w:rPr>
          <w:rFonts w:ascii="新宋体" w:eastAsia="新宋体" w:hAnsi="新宋体" w:hint="eastAsia"/>
          <w:color w:val="auto"/>
          <w:sz w:val="21"/>
          <w:szCs w:val="21"/>
        </w:rPr>
        <w:t>1</w:t>
      </w:r>
      <w:r>
        <w:rPr>
          <w:rFonts w:ascii="新宋体" w:eastAsia="新宋体" w:hAnsi="新宋体" w:hint="eastAsia"/>
          <w:color w:val="auto"/>
          <w:sz w:val="21"/>
          <w:szCs w:val="21"/>
        </w:rPr>
        <w:t>月</w:t>
      </w:r>
      <w:r>
        <w:rPr>
          <w:rFonts w:ascii="新宋体" w:eastAsia="新宋体" w:hAnsi="新宋体" w:hint="eastAsia"/>
          <w:color w:val="auto"/>
          <w:sz w:val="21"/>
          <w:szCs w:val="21"/>
        </w:rPr>
        <w:t>4</w:t>
      </w:r>
      <w:r>
        <w:rPr>
          <w:rFonts w:ascii="新宋体" w:eastAsia="新宋体" w:hAnsi="新宋体" w:hint="eastAsia"/>
          <w:color w:val="auto"/>
          <w:sz w:val="21"/>
          <w:szCs w:val="21"/>
        </w:rPr>
        <w:t>日青银理财发布产品单位净值为</w:t>
      </w:r>
      <w:r>
        <w:rPr>
          <w:rFonts w:ascii="新宋体" w:eastAsia="新宋体" w:hAnsi="新宋体" w:hint="eastAsia"/>
          <w:color w:val="auto"/>
          <w:sz w:val="21"/>
          <w:szCs w:val="21"/>
        </w:rPr>
        <w:t>0.999000</w:t>
      </w:r>
      <w:r>
        <w:rPr>
          <w:rFonts w:ascii="新宋体" w:eastAsia="新宋体" w:hAnsi="新宋体" w:hint="eastAsia"/>
          <w:color w:val="auto"/>
          <w:sz w:val="21"/>
          <w:szCs w:val="21"/>
        </w:rPr>
        <w:t>元</w:t>
      </w:r>
      <w:r>
        <w:rPr>
          <w:rFonts w:ascii="新宋体" w:eastAsia="新宋体" w:hAnsi="新宋体" w:hint="eastAsia"/>
          <w:color w:val="auto"/>
          <w:sz w:val="21"/>
          <w:szCs w:val="21"/>
        </w:rPr>
        <w:t>/</w:t>
      </w:r>
      <w:r>
        <w:rPr>
          <w:rFonts w:ascii="新宋体" w:eastAsia="新宋体" w:hAnsi="新宋体" w:hint="eastAsia"/>
          <w:color w:val="auto"/>
          <w:sz w:val="21"/>
          <w:szCs w:val="21"/>
        </w:rPr>
        <w:t>份，则截止</w:t>
      </w:r>
      <w:r>
        <w:rPr>
          <w:rFonts w:ascii="新宋体" w:eastAsia="新宋体" w:hAnsi="新宋体" w:hint="eastAsia"/>
          <w:color w:val="auto"/>
          <w:sz w:val="21"/>
          <w:szCs w:val="21"/>
        </w:rPr>
        <w:t>20</w:t>
      </w:r>
      <w:r>
        <w:rPr>
          <w:rFonts w:ascii="新宋体" w:eastAsia="新宋体" w:hAnsi="新宋体"/>
          <w:color w:val="auto"/>
          <w:sz w:val="21"/>
          <w:szCs w:val="21"/>
        </w:rPr>
        <w:t>2</w:t>
      </w:r>
      <w:r>
        <w:rPr>
          <w:rFonts w:ascii="新宋体" w:eastAsia="新宋体" w:hAnsi="新宋体" w:hint="eastAsia"/>
          <w:color w:val="auto"/>
          <w:sz w:val="21"/>
          <w:szCs w:val="21"/>
        </w:rPr>
        <w:t>1</w:t>
      </w:r>
      <w:r>
        <w:rPr>
          <w:rFonts w:ascii="新宋体" w:eastAsia="新宋体" w:hAnsi="新宋体" w:hint="eastAsia"/>
          <w:color w:val="auto"/>
          <w:sz w:val="21"/>
          <w:szCs w:val="21"/>
        </w:rPr>
        <w:t>年</w:t>
      </w:r>
      <w:r>
        <w:rPr>
          <w:rFonts w:ascii="新宋体" w:eastAsia="新宋体" w:hAnsi="新宋体" w:hint="eastAsia"/>
          <w:color w:val="auto"/>
          <w:sz w:val="21"/>
          <w:szCs w:val="21"/>
        </w:rPr>
        <w:t>1</w:t>
      </w:r>
      <w:r>
        <w:rPr>
          <w:rFonts w:ascii="新宋体" w:eastAsia="新宋体" w:hAnsi="新宋体" w:hint="eastAsia"/>
          <w:color w:val="auto"/>
          <w:sz w:val="21"/>
          <w:szCs w:val="21"/>
        </w:rPr>
        <w:t>月</w:t>
      </w:r>
      <w:r>
        <w:rPr>
          <w:rFonts w:ascii="新宋体" w:eastAsia="新宋体" w:hAnsi="新宋体" w:hint="eastAsia"/>
          <w:color w:val="auto"/>
          <w:sz w:val="21"/>
          <w:szCs w:val="21"/>
        </w:rPr>
        <w:t>4</w:t>
      </w:r>
      <w:r>
        <w:rPr>
          <w:rFonts w:ascii="新宋体" w:eastAsia="新宋体" w:hAnsi="新宋体" w:hint="eastAsia"/>
          <w:color w:val="auto"/>
          <w:sz w:val="21"/>
          <w:szCs w:val="21"/>
        </w:rPr>
        <w:t>日，该投资者持有理财的产品市值为</w:t>
      </w:r>
      <w:r>
        <w:rPr>
          <w:rFonts w:ascii="新宋体" w:eastAsia="新宋体" w:hAnsi="新宋体" w:hint="eastAsia"/>
          <w:color w:val="auto"/>
          <w:sz w:val="21"/>
          <w:szCs w:val="21"/>
        </w:rPr>
        <w:t>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w:t>
      </w:r>
      <w:r>
        <w:rPr>
          <w:rFonts w:ascii="新宋体" w:eastAsia="新宋体" w:hAnsi="新宋体" w:hint="eastAsia"/>
          <w:color w:val="auto"/>
          <w:sz w:val="21"/>
          <w:szCs w:val="21"/>
        </w:rPr>
        <w:t>元。该投资者的账面理财收益是</w:t>
      </w:r>
      <w:r>
        <w:rPr>
          <w:rFonts w:ascii="新宋体" w:eastAsia="新宋体" w:hAnsi="新宋体" w:hint="eastAsia"/>
          <w:color w:val="auto"/>
          <w:sz w:val="21"/>
          <w:szCs w:val="21"/>
        </w:rPr>
        <w:t>49950.00-50000.00=-50.00</w:t>
      </w:r>
      <w:r>
        <w:rPr>
          <w:rFonts w:ascii="新宋体" w:eastAsia="新宋体" w:hAnsi="新宋体" w:hint="eastAsia"/>
          <w:color w:val="auto"/>
          <w:sz w:val="21"/>
          <w:szCs w:val="21"/>
        </w:rPr>
        <w:t>元（亏损）。</w:t>
      </w:r>
    </w:p>
    <w:p w:rsidR="00914A4A" w:rsidRDefault="000A3D09">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rsidRDefault="000A3D09">
      <w:pPr>
        <w:widowControl/>
        <w:spacing w:line="360" w:lineRule="auto"/>
        <w:ind w:firstLineChars="200" w:firstLine="422"/>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rsidRDefault="000A3D09">
      <w:pPr>
        <w:pStyle w:val="aa"/>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w:t>
      </w:r>
      <w:r>
        <w:rPr>
          <w:rFonts w:ascii="新宋体" w:eastAsia="新宋体" w:hAnsi="新宋体" w:cs="新宋体" w:hint="eastAsia"/>
          <w:b/>
          <w:bCs/>
          <w:sz w:val="21"/>
          <w:szCs w:val="21"/>
        </w:rPr>
        <w:t>份额年化费率为</w:t>
      </w:r>
      <w:r>
        <w:rPr>
          <w:rFonts w:ascii="新宋体" w:eastAsia="新宋体" w:hAnsi="新宋体" w:cs="新宋体" w:hint="eastAsia"/>
          <w:b/>
          <w:bCs/>
          <w:sz w:val="21"/>
          <w:szCs w:val="21"/>
        </w:rPr>
        <w:t>0.30%</w:t>
      </w:r>
      <w:r>
        <w:rPr>
          <w:rFonts w:ascii="新宋体" w:eastAsia="新宋体" w:hAnsi="新宋体" w:cs="新宋体" w:hint="eastAsia"/>
          <w:b/>
          <w:bCs/>
          <w:sz w:val="21"/>
          <w:szCs w:val="21"/>
        </w:rPr>
        <w:t>，</w:t>
      </w:r>
      <w:r>
        <w:rPr>
          <w:rFonts w:ascii="新宋体" w:eastAsia="新宋体" w:hAnsi="新宋体" w:cs="新宋体" w:hint="eastAsia"/>
          <w:b/>
          <w:bCs/>
          <w:sz w:val="21"/>
          <w:szCs w:val="21"/>
        </w:rPr>
        <w:t>B</w:t>
      </w:r>
      <w:r>
        <w:rPr>
          <w:rFonts w:ascii="新宋体" w:eastAsia="新宋体" w:hAnsi="新宋体" w:cs="新宋体" w:hint="eastAsia"/>
          <w:b/>
          <w:bCs/>
          <w:sz w:val="21"/>
          <w:szCs w:val="21"/>
        </w:rPr>
        <w:t>份额年化费率为</w:t>
      </w:r>
      <w:r>
        <w:rPr>
          <w:rFonts w:ascii="新宋体" w:eastAsia="新宋体" w:hAnsi="新宋体" w:cs="新宋体" w:hint="eastAsia"/>
          <w:b/>
          <w:bCs/>
          <w:sz w:val="21"/>
          <w:szCs w:val="21"/>
        </w:rPr>
        <w:t>0.25%</w:t>
      </w:r>
      <w:r>
        <w:rPr>
          <w:rFonts w:ascii="新宋体" w:eastAsia="新宋体" w:hAnsi="新宋体" w:cs="新宋体" w:hint="eastAsia"/>
          <w:b/>
          <w:bCs/>
          <w:sz w:val="21"/>
          <w:szCs w:val="21"/>
        </w:rPr>
        <w:t>，</w:t>
      </w:r>
      <w:r>
        <w:rPr>
          <w:rFonts w:ascii="新宋体" w:eastAsia="新宋体" w:hAnsi="新宋体" w:cs="新宋体" w:hint="eastAsia"/>
          <w:b/>
          <w:bCs/>
          <w:sz w:val="21"/>
          <w:szCs w:val="21"/>
        </w:rPr>
        <w:t>C</w:t>
      </w:r>
      <w:r>
        <w:rPr>
          <w:rFonts w:ascii="新宋体" w:eastAsia="新宋体" w:hAnsi="新宋体" w:cs="新宋体" w:hint="eastAsia"/>
          <w:b/>
          <w:bCs/>
          <w:sz w:val="21"/>
          <w:szCs w:val="21"/>
        </w:rPr>
        <w:t>份额年化费率为</w:t>
      </w:r>
      <w:r>
        <w:rPr>
          <w:rFonts w:ascii="新宋体" w:eastAsia="新宋体" w:hAnsi="新宋体" w:cs="新宋体" w:hint="eastAsia"/>
          <w:b/>
          <w:bCs/>
          <w:sz w:val="21"/>
          <w:szCs w:val="21"/>
        </w:rPr>
        <w:t>0.30%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1.</w:t>
      </w:r>
      <w:r>
        <w:rPr>
          <w:rFonts w:ascii="新宋体" w:eastAsia="新宋体" w:hAnsi="新宋体" w:cs="新宋体" w:hint="eastAsia"/>
          <w:sz w:val="21"/>
          <w:szCs w:val="21"/>
        </w:rPr>
        <w:t>产品管理人的固定管理费</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w:t>
      </w:r>
      <w:r>
        <w:rPr>
          <w:rFonts w:ascii="新宋体" w:eastAsia="新宋体" w:hAnsi="新宋体" w:cs="新宋体"/>
          <w:b/>
          <w:bCs/>
          <w:sz w:val="21"/>
          <w:szCs w:val="21"/>
        </w:rPr>
        <w:t>份额【</w:t>
      </w:r>
      <w:r>
        <w:rPr>
          <w:rFonts w:ascii="新宋体" w:eastAsia="新宋体" w:hAnsi="新宋体" w:cs="新宋体"/>
          <w:b/>
          <w:bCs/>
          <w:sz w:val="21"/>
          <w:szCs w:val="21"/>
        </w:rPr>
        <w:t>0.30</w:t>
      </w:r>
      <w:r>
        <w:rPr>
          <w:rFonts w:ascii="新宋体" w:eastAsia="新宋体" w:hAnsi="新宋体" w:cs="新宋体"/>
          <w:b/>
          <w:bCs/>
          <w:sz w:val="21"/>
          <w:szCs w:val="21"/>
        </w:rPr>
        <w:t>】</w:t>
      </w:r>
      <w:r>
        <w:rPr>
          <w:rFonts w:ascii="新宋体" w:eastAsia="新宋体" w:hAnsi="新宋体" w:cs="新宋体"/>
          <w:b/>
          <w:bCs/>
          <w:sz w:val="21"/>
          <w:szCs w:val="21"/>
        </w:rPr>
        <w:t>%</w:t>
      </w:r>
      <w:r>
        <w:rPr>
          <w:rFonts w:ascii="新宋体" w:eastAsia="新宋体" w:hAnsi="新宋体" w:cs="新宋体"/>
          <w:b/>
          <w:bCs/>
          <w:sz w:val="21"/>
          <w:szCs w:val="21"/>
        </w:rPr>
        <w:t>，</w:t>
      </w:r>
      <w:r>
        <w:rPr>
          <w:rFonts w:ascii="新宋体" w:eastAsia="新宋体" w:hAnsi="新宋体" w:cs="新宋体"/>
          <w:b/>
          <w:bCs/>
          <w:sz w:val="21"/>
          <w:szCs w:val="21"/>
        </w:rPr>
        <w:t>B</w:t>
      </w:r>
      <w:r>
        <w:rPr>
          <w:rFonts w:ascii="新宋体" w:eastAsia="新宋体" w:hAnsi="新宋体" w:cs="新宋体"/>
          <w:b/>
          <w:bCs/>
          <w:sz w:val="21"/>
          <w:szCs w:val="21"/>
        </w:rPr>
        <w:t>份额【</w:t>
      </w:r>
      <w:r>
        <w:rPr>
          <w:rFonts w:ascii="新宋体" w:eastAsia="新宋体" w:hAnsi="新宋体" w:cs="新宋体"/>
          <w:b/>
          <w:bCs/>
          <w:sz w:val="21"/>
          <w:szCs w:val="21"/>
        </w:rPr>
        <w:t>0.25</w:t>
      </w:r>
      <w:r>
        <w:rPr>
          <w:rFonts w:ascii="新宋体" w:eastAsia="新宋体" w:hAnsi="新宋体" w:cs="新宋体"/>
          <w:b/>
          <w:bCs/>
          <w:sz w:val="21"/>
          <w:szCs w:val="21"/>
        </w:rPr>
        <w:t>】</w:t>
      </w:r>
      <w:r>
        <w:rPr>
          <w:rFonts w:ascii="新宋体" w:eastAsia="新宋体" w:hAnsi="新宋体" w:cs="新宋体"/>
          <w:b/>
          <w:bCs/>
          <w:sz w:val="21"/>
          <w:szCs w:val="21"/>
        </w:rPr>
        <w:t>%</w:t>
      </w:r>
      <w:r>
        <w:rPr>
          <w:rFonts w:ascii="新宋体" w:eastAsia="新宋体" w:hAnsi="新宋体" w:cs="新宋体"/>
          <w:b/>
          <w:bCs/>
          <w:sz w:val="21"/>
          <w:szCs w:val="21"/>
        </w:rPr>
        <w:t>，</w:t>
      </w:r>
      <w:r>
        <w:rPr>
          <w:rFonts w:ascii="新宋体" w:eastAsia="新宋体" w:hAnsi="新宋体" w:cs="新宋体"/>
          <w:b/>
          <w:bCs/>
          <w:sz w:val="21"/>
          <w:szCs w:val="21"/>
        </w:rPr>
        <w:t>C</w:t>
      </w:r>
      <w:r>
        <w:rPr>
          <w:rFonts w:ascii="新宋体" w:eastAsia="新宋体" w:hAnsi="新宋体" w:cs="新宋体"/>
          <w:b/>
          <w:bCs/>
          <w:sz w:val="21"/>
          <w:szCs w:val="21"/>
        </w:rPr>
        <w:t>份额【</w:t>
      </w:r>
      <w:r>
        <w:rPr>
          <w:rFonts w:ascii="新宋体" w:eastAsia="新宋体" w:hAnsi="新宋体" w:cs="新宋体"/>
          <w:b/>
          <w:bCs/>
          <w:sz w:val="21"/>
          <w:szCs w:val="21"/>
        </w:rPr>
        <w:t>0.30</w:t>
      </w:r>
      <w:r>
        <w:rPr>
          <w:rFonts w:ascii="新宋体" w:eastAsia="新宋体" w:hAnsi="新宋体" w:cs="新宋体"/>
          <w:b/>
          <w:bCs/>
          <w:sz w:val="21"/>
          <w:szCs w:val="21"/>
        </w:rPr>
        <w:t>】</w:t>
      </w:r>
      <w:r>
        <w:rPr>
          <w:rFonts w:ascii="新宋体" w:eastAsia="新宋体" w:hAnsi="新宋体" w:cs="新宋体"/>
          <w:b/>
          <w:bCs/>
          <w:sz w:val="21"/>
          <w:szCs w:val="21"/>
        </w:rPr>
        <w:t>%</w:t>
      </w:r>
      <w:r>
        <w:rPr>
          <w:rFonts w:ascii="新宋体" w:eastAsia="新宋体" w:hAnsi="新宋体" w:cs="新宋体" w:hint="eastAsia"/>
          <w:sz w:val="21"/>
          <w:szCs w:val="21"/>
        </w:rPr>
        <w:t>年费率计提，由理财管理人收取。以</w:t>
      </w:r>
      <w:r>
        <w:rPr>
          <w:rFonts w:ascii="新宋体" w:eastAsia="新宋体" w:hAnsi="新宋体" w:cs="新宋体" w:hint="eastAsia"/>
          <w:sz w:val="21"/>
          <w:szCs w:val="21"/>
        </w:rPr>
        <w:t>A</w:t>
      </w:r>
      <w:r>
        <w:rPr>
          <w:rFonts w:ascii="新宋体" w:eastAsia="新宋体" w:hAnsi="新宋体" w:cs="新宋体" w:hint="eastAsia"/>
          <w:sz w:val="21"/>
          <w:szCs w:val="21"/>
        </w:rPr>
        <w:t>份额为例，计算方法如下：</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H</w:t>
      </w:r>
      <w:r>
        <w:rPr>
          <w:rFonts w:ascii="新宋体" w:eastAsia="新宋体" w:hAnsi="新宋体" w:cs="新宋体" w:hint="eastAsia"/>
          <w:sz w:val="21"/>
          <w:szCs w:val="21"/>
        </w:rPr>
        <w:t>＝</w:t>
      </w:r>
      <w:r>
        <w:rPr>
          <w:rFonts w:ascii="新宋体" w:eastAsia="新宋体" w:hAnsi="新宋体" w:cs="新宋体" w:hint="eastAsia"/>
          <w:sz w:val="21"/>
          <w:szCs w:val="21"/>
        </w:rPr>
        <w:t>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H</w:t>
      </w:r>
      <w:r>
        <w:rPr>
          <w:rFonts w:ascii="新宋体" w:eastAsia="新宋体" w:hAnsi="新宋体" w:cs="新宋体" w:hint="eastAsia"/>
          <w:sz w:val="21"/>
          <w:szCs w:val="21"/>
        </w:rPr>
        <w:t>为每日应计提的产品管理费</w:t>
      </w:r>
    </w:p>
    <w:p w:rsidR="00914A4A" w:rsidRDefault="000A3D09">
      <w:pPr>
        <w:pStyle w:val="aa"/>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w:t>
      </w:r>
      <w:r>
        <w:rPr>
          <w:rFonts w:ascii="新宋体" w:eastAsia="新宋体" w:hAnsi="新宋体" w:cs="新宋体" w:hint="eastAsia"/>
          <w:sz w:val="21"/>
          <w:szCs w:val="21"/>
        </w:rPr>
        <w:t>为当日本理财计划</w:t>
      </w:r>
      <w:r>
        <w:rPr>
          <w:rFonts w:ascii="新宋体" w:eastAsia="新宋体" w:hAnsi="新宋体" w:cs="新宋体" w:hint="eastAsia"/>
          <w:sz w:val="21"/>
          <w:szCs w:val="21"/>
        </w:rPr>
        <w:t>存续份额</w:t>
      </w:r>
      <w:r>
        <w:rPr>
          <w:rFonts w:ascii="新宋体" w:eastAsia="新宋体" w:hAnsi="新宋体" w:cs="新宋体" w:hint="eastAsia"/>
          <w:sz w:val="21"/>
          <w:szCs w:val="21"/>
        </w:rPr>
        <w:br/>
      </w:r>
      <w:r>
        <w:rPr>
          <w:rFonts w:ascii="新宋体" w:eastAsia="新宋体" w:hAnsi="新宋体" w:cs="新宋体" w:hint="eastAsia"/>
          <w:sz w:val="21"/>
          <w:szCs w:val="21"/>
        </w:rPr>
        <w:tab/>
      </w:r>
      <w:r>
        <w:rPr>
          <w:rFonts w:ascii="新宋体" w:eastAsia="新宋体" w:hAnsi="新宋体" w:cs="新宋体" w:hint="eastAsia"/>
          <w:sz w:val="21"/>
          <w:szCs w:val="21"/>
        </w:rPr>
        <w:t>当本理财到期资产投资运作收益小于“业绩比较基准”时，管理人将有权放弃计提的固定管理费，最高为已计提的全部固定管理费。</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2.</w:t>
      </w:r>
      <w:r>
        <w:rPr>
          <w:rFonts w:ascii="新宋体" w:eastAsia="新宋体" w:hAnsi="新宋体" w:cs="新宋体" w:hint="eastAsia"/>
          <w:sz w:val="21"/>
          <w:szCs w:val="21"/>
        </w:rPr>
        <w:t>产品托管人的托管费</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H</w:t>
      </w:r>
      <w:r>
        <w:rPr>
          <w:rFonts w:ascii="新宋体" w:eastAsia="新宋体" w:hAnsi="新宋体" w:cs="新宋体" w:hint="eastAsia"/>
          <w:sz w:val="21"/>
          <w:szCs w:val="21"/>
        </w:rPr>
        <w:t>＝</w:t>
      </w:r>
      <w:r>
        <w:rPr>
          <w:rFonts w:ascii="新宋体" w:eastAsia="新宋体" w:hAnsi="新宋体" w:cs="新宋体" w:hint="eastAsia"/>
          <w:sz w:val="21"/>
          <w:szCs w:val="21"/>
        </w:rPr>
        <w:t>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H</w:t>
      </w:r>
      <w:r>
        <w:rPr>
          <w:rFonts w:ascii="新宋体" w:eastAsia="新宋体" w:hAnsi="新宋体" w:cs="新宋体" w:hint="eastAsia"/>
          <w:sz w:val="21"/>
          <w:szCs w:val="21"/>
        </w:rPr>
        <w:t>为每日应计提的产品托管费</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E</w:t>
      </w:r>
      <w:r>
        <w:rPr>
          <w:rFonts w:ascii="新宋体" w:eastAsia="新宋体" w:hAnsi="新宋体" w:cs="新宋体" w:hint="eastAsia"/>
          <w:sz w:val="21"/>
          <w:szCs w:val="21"/>
        </w:rPr>
        <w:t>为当日本理财计划存续份额</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w:t>
      </w:r>
      <w:r>
        <w:rPr>
          <w:rFonts w:ascii="新宋体" w:eastAsia="新宋体" w:hAnsi="新宋体" w:cs="新宋体" w:hint="eastAsia"/>
          <w:sz w:val="21"/>
          <w:szCs w:val="21"/>
        </w:rPr>
        <w:t>业绩报酬</w:t>
      </w:r>
    </w:p>
    <w:p w:rsidR="00914A4A" w:rsidRDefault="000A3D09">
      <w:pPr>
        <w:pStyle w:val="aa"/>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w:t>
      </w:r>
      <w:r>
        <w:rPr>
          <w:rFonts w:ascii="新宋体" w:eastAsia="新宋体" w:hAnsi="新宋体" w:cs="新宋体" w:hint="eastAsia"/>
          <w:b/>
          <w:sz w:val="21"/>
          <w:szCs w:val="21"/>
        </w:rPr>
        <w:t>A</w:t>
      </w:r>
      <w:r>
        <w:rPr>
          <w:rFonts w:ascii="新宋体" w:eastAsia="新宋体" w:hAnsi="新宋体" w:cs="新宋体" w:hint="eastAsia"/>
          <w:b/>
          <w:sz w:val="21"/>
          <w:szCs w:val="21"/>
        </w:rPr>
        <w:t>份额</w:t>
      </w:r>
      <w:r>
        <w:rPr>
          <w:rFonts w:ascii="新宋体" w:eastAsia="新宋体" w:hAnsi="新宋体" w:cs="新宋体" w:hint="eastAsia"/>
          <w:b/>
          <w:sz w:val="21"/>
          <w:szCs w:val="21"/>
        </w:rPr>
        <w:t>2.20%</w:t>
      </w:r>
      <w:r>
        <w:rPr>
          <w:rFonts w:ascii="新宋体" w:eastAsia="新宋体" w:hAnsi="新宋体" w:cs="新宋体" w:hint="eastAsia"/>
          <w:b/>
          <w:sz w:val="21"/>
          <w:szCs w:val="21"/>
        </w:rPr>
        <w:t>、</w:t>
      </w:r>
      <w:r>
        <w:rPr>
          <w:rFonts w:ascii="新宋体" w:eastAsia="新宋体" w:hAnsi="新宋体" w:cs="新宋体" w:hint="eastAsia"/>
          <w:b/>
          <w:sz w:val="21"/>
          <w:szCs w:val="21"/>
        </w:rPr>
        <w:t>B</w:t>
      </w:r>
      <w:r>
        <w:rPr>
          <w:rFonts w:ascii="新宋体" w:eastAsia="新宋体" w:hAnsi="新宋体" w:cs="新宋体" w:hint="eastAsia"/>
          <w:b/>
          <w:sz w:val="21"/>
          <w:szCs w:val="21"/>
        </w:rPr>
        <w:t>份额</w:t>
      </w:r>
      <w:r>
        <w:rPr>
          <w:rFonts w:ascii="新宋体" w:eastAsia="新宋体" w:hAnsi="新宋体" w:cs="新宋体" w:hint="eastAsia"/>
          <w:b/>
          <w:sz w:val="21"/>
          <w:szCs w:val="21"/>
        </w:rPr>
        <w:lastRenderedPageBreak/>
        <w:t>2.25%</w:t>
      </w:r>
      <w:r>
        <w:rPr>
          <w:rFonts w:ascii="新宋体" w:eastAsia="新宋体" w:hAnsi="新宋体" w:cs="新宋体" w:hint="eastAsia"/>
          <w:b/>
          <w:sz w:val="21"/>
          <w:szCs w:val="21"/>
        </w:rPr>
        <w:t>、</w:t>
      </w:r>
      <w:r>
        <w:rPr>
          <w:rFonts w:ascii="新宋体" w:eastAsia="新宋体" w:hAnsi="新宋体" w:cs="新宋体" w:hint="eastAsia"/>
          <w:b/>
          <w:sz w:val="21"/>
          <w:szCs w:val="21"/>
        </w:rPr>
        <w:t>C</w:t>
      </w:r>
      <w:r>
        <w:rPr>
          <w:rFonts w:ascii="新宋体" w:eastAsia="新宋体" w:hAnsi="新宋体" w:cs="新宋体" w:hint="eastAsia"/>
          <w:b/>
          <w:sz w:val="21"/>
          <w:szCs w:val="21"/>
        </w:rPr>
        <w:t>份额</w:t>
      </w:r>
      <w:r>
        <w:rPr>
          <w:rFonts w:ascii="新宋体" w:eastAsia="新宋体" w:hAnsi="新宋体" w:cs="新宋体" w:hint="eastAsia"/>
          <w:b/>
          <w:sz w:val="21"/>
          <w:szCs w:val="21"/>
        </w:rPr>
        <w:t>2.20%</w:t>
      </w:r>
      <w:r>
        <w:rPr>
          <w:rFonts w:ascii="新宋体" w:eastAsia="新宋体" w:hAnsi="新宋体" w:cs="新宋体" w:hint="eastAsia"/>
          <w:b/>
          <w:sz w:val="21"/>
          <w:szCs w:val="21"/>
        </w:rPr>
        <w:t>）的部分，</w:t>
      </w:r>
      <w:r>
        <w:rPr>
          <w:rFonts w:ascii="新宋体" w:eastAsia="新宋体" w:hAnsi="新宋体" w:cs="新宋体"/>
          <w:b/>
          <w:sz w:val="21"/>
          <w:szCs w:val="21"/>
        </w:rPr>
        <w:t>10%</w:t>
      </w:r>
      <w:r>
        <w:rPr>
          <w:rFonts w:ascii="新宋体" w:eastAsia="新宋体" w:hAnsi="新宋体" w:cs="新宋体"/>
          <w:b/>
          <w:sz w:val="21"/>
          <w:szCs w:val="21"/>
        </w:rPr>
        <w:t>归于投资者</w:t>
      </w:r>
      <w:r>
        <w:rPr>
          <w:rFonts w:ascii="新宋体" w:eastAsia="新宋体" w:hAnsi="新宋体" w:cs="新宋体"/>
          <w:b/>
          <w:sz w:val="21"/>
          <w:szCs w:val="21"/>
        </w:rPr>
        <w:t xml:space="preserve">, </w:t>
      </w:r>
      <w:r>
        <w:rPr>
          <w:rFonts w:ascii="新宋体" w:eastAsia="新宋体" w:hAnsi="新宋体" w:cs="新宋体"/>
          <w:b/>
          <w:sz w:val="21"/>
          <w:szCs w:val="21"/>
        </w:rPr>
        <w:t>剩余部分作为管理人业绩报酬</w:t>
      </w:r>
      <w:r>
        <w:rPr>
          <w:rFonts w:ascii="新宋体" w:eastAsia="新宋体" w:hAnsi="新宋体" w:cs="新宋体" w:hint="eastAsia"/>
          <w:b/>
          <w:sz w:val="21"/>
          <w:szCs w:val="21"/>
        </w:rPr>
        <w:t>。业绩基准并不代表产品实际投资收益。</w:t>
      </w:r>
    </w:p>
    <w:p w:rsidR="00914A4A" w:rsidRDefault="000A3D09">
      <w:pPr>
        <w:widowControl/>
        <w:spacing w:line="360" w:lineRule="auto"/>
        <w:ind w:firstLine="413"/>
        <w:jc w:val="left"/>
        <w:rPr>
          <w:rFonts w:ascii="新宋体" w:eastAsia="新宋体" w:hAnsi="新宋体" w:cs="新宋体"/>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rPr>
        <w:t>十二、产品到期终止</w:t>
      </w:r>
    </w:p>
    <w:p w:rsidR="00914A4A" w:rsidRDefault="000A3D09">
      <w:pPr>
        <w:snapToGrid w:val="0"/>
        <w:spacing w:line="360" w:lineRule="auto"/>
        <w:ind w:firstLineChars="200" w:firstLine="420"/>
        <w:jc w:val="left"/>
        <w:rPr>
          <w:rFonts w:ascii="新宋体" w:eastAsia="新宋体" w:hAnsi="新宋体"/>
          <w:b/>
          <w:szCs w:val="21"/>
        </w:rPr>
      </w:pPr>
      <w:r>
        <w:rPr>
          <w:rFonts w:ascii="新宋体" w:eastAsia="新宋体" w:hAnsi="新宋体" w:cs="宋体" w:hint="eastAsia"/>
          <w:kern w:val="0"/>
          <w:szCs w:val="21"/>
        </w:rPr>
        <w:t>如本理财计划到期</w:t>
      </w:r>
      <w:r>
        <w:rPr>
          <w:rFonts w:ascii="新宋体" w:eastAsia="新宋体" w:hAnsi="新宋体" w:cs="宋体" w:hint="eastAsia"/>
          <w:kern w:val="0"/>
          <w:szCs w:val="21"/>
        </w:rPr>
        <w:t>(</w:t>
      </w:r>
      <w:r>
        <w:rPr>
          <w:rFonts w:ascii="新宋体" w:eastAsia="新宋体" w:hAnsi="新宋体" w:cs="宋体" w:hint="eastAsia"/>
          <w:kern w:val="0"/>
          <w:szCs w:val="21"/>
        </w:rPr>
        <w:t>包括提前和延期终止到期</w:t>
      </w:r>
      <w:r>
        <w:rPr>
          <w:rFonts w:ascii="新宋体" w:eastAsia="新宋体" w:hAnsi="新宋体" w:cs="宋体" w:hint="eastAsia"/>
          <w:kern w:val="0"/>
          <w:szCs w:val="21"/>
        </w:rPr>
        <w:t>)</w:t>
      </w:r>
      <w:r>
        <w:rPr>
          <w:rFonts w:ascii="新宋体" w:eastAsia="新宋体" w:hAnsi="新宋体" w:cs="宋体" w:hint="eastAsia"/>
          <w:kern w:val="0"/>
          <w:szCs w:val="21"/>
        </w:rPr>
        <w:t>，青银理财</w:t>
      </w:r>
      <w:r>
        <w:rPr>
          <w:rFonts w:ascii="新宋体" w:eastAsia="新宋体" w:hAnsi="新宋体" w:hint="eastAsia"/>
          <w:szCs w:val="21"/>
        </w:rPr>
        <w:t>将在产品到期日起</w:t>
      </w:r>
      <w:r>
        <w:rPr>
          <w:rFonts w:ascii="新宋体" w:eastAsia="新宋体" w:hAnsi="新宋体" w:hint="eastAsia"/>
          <w:szCs w:val="21"/>
        </w:rPr>
        <w:t>5</w:t>
      </w:r>
      <w:r>
        <w:rPr>
          <w:rFonts w:ascii="新宋体" w:eastAsia="新宋体" w:hAnsi="新宋体" w:hint="eastAsia"/>
          <w:szCs w:val="21"/>
        </w:rPr>
        <w:t>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w:t>
      </w:r>
      <w:r>
        <w:rPr>
          <w:rFonts w:ascii="新宋体" w:eastAsia="新宋体" w:hAnsi="新宋体" w:hint="eastAsia"/>
          <w:b/>
          <w:szCs w:val="21"/>
        </w:rPr>
        <w:t>2</w:t>
      </w:r>
      <w:r>
        <w:rPr>
          <w:rFonts w:ascii="新宋体" w:eastAsia="新宋体" w:hAnsi="新宋体" w:hint="eastAsia"/>
          <w:b/>
          <w:szCs w:val="21"/>
        </w:rPr>
        <w:t>个工作日内划转至投资者指定账户中，该资金在产品到期日（含）至资金到账日期间不计付利息。</w:t>
      </w:r>
    </w:p>
    <w:p w:rsidR="00914A4A" w:rsidRDefault="000A3D09">
      <w:pPr>
        <w:snapToGrid w:val="0"/>
        <w:spacing w:line="360" w:lineRule="auto"/>
        <w:ind w:firstLineChars="200" w:firstLine="422"/>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t>
      </w:r>
      <w:r>
        <w:rPr>
          <w:rFonts w:ascii="新宋体" w:eastAsia="新宋体" w:hAnsi="新宋体" w:hint="eastAsia"/>
          <w:szCs w:val="21"/>
        </w:rPr>
        <w:t>www.bqd-wm.com</w:t>
      </w:r>
      <w:r>
        <w:rPr>
          <w:rFonts w:ascii="新宋体" w:eastAsia="新宋体" w:hAnsi="新宋体" w:hint="eastAsia"/>
          <w:szCs w:val="21"/>
        </w:rPr>
        <w:t>）或青银理财认为适当的其他方式进行公告。提前终止日后将投资者理财资金及理财收益（如有）划入投资者理财账户。提前终</w:t>
      </w:r>
      <w:r>
        <w:rPr>
          <w:rFonts w:ascii="新宋体" w:eastAsia="新宋体" w:hAnsi="新宋体" w:hint="eastAsia"/>
          <w:szCs w:val="21"/>
        </w:rPr>
        <w:t>止日（含当日）至资金实际到账日之间，投资者资金不计息。</w:t>
      </w:r>
    </w:p>
    <w:p w:rsidR="00914A4A" w:rsidRDefault="000A3D09">
      <w:pPr>
        <w:spacing w:line="360" w:lineRule="auto"/>
        <w:ind w:firstLineChars="200" w:firstLine="420"/>
        <w:rPr>
          <w:rFonts w:ascii="新宋体" w:eastAsia="新宋体" w:hAnsi="新宋体" w:cs="宋体"/>
          <w:kern w:val="0"/>
          <w:szCs w:val="21"/>
        </w:rPr>
      </w:pPr>
      <w:r>
        <w:rPr>
          <w:rFonts w:ascii="新宋体" w:eastAsia="新宋体" w:hAnsi="新宋体" w:cs="宋体" w:hint="eastAsia"/>
          <w:kern w:val="0"/>
          <w:szCs w:val="21"/>
        </w:rPr>
        <w:t>如出现如下情况，理财管理人有权延期终止本理财产品：</w:t>
      </w:r>
    </w:p>
    <w:p w:rsidR="00914A4A" w:rsidRDefault="000A3D09">
      <w:pPr>
        <w:spacing w:line="360" w:lineRule="auto"/>
        <w:ind w:firstLineChars="200" w:firstLine="420"/>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hint="eastAsia"/>
          <w:kern w:val="0"/>
          <w:szCs w:val="21"/>
        </w:rPr>
        <w:t>产品到期日遇非工作日顺延，投资期限将相应调整；</w:t>
      </w:r>
    </w:p>
    <w:p w:rsidR="00914A4A" w:rsidRDefault="000A3D09">
      <w:pPr>
        <w:spacing w:line="360" w:lineRule="auto"/>
        <w:ind w:firstLineChars="200" w:firstLine="42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rsidRDefault="000A3D09">
      <w:pPr>
        <w:spacing w:line="360" w:lineRule="auto"/>
        <w:ind w:firstLineChars="200" w:firstLine="42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rsidRDefault="000A3D09">
      <w:pPr>
        <w:spacing w:line="360" w:lineRule="auto"/>
        <w:ind w:firstLineChars="200" w:firstLine="42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rsidRDefault="000A3D09">
      <w:pPr>
        <w:snapToGrid w:val="0"/>
        <w:spacing w:line="360" w:lineRule="auto"/>
        <w:ind w:firstLineChars="200" w:firstLine="420"/>
        <w:jc w:val="left"/>
        <w:rPr>
          <w:rFonts w:ascii="新宋体" w:eastAsia="新宋体" w:hAnsi="新宋体"/>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w:t>
      </w:r>
      <w:r>
        <w:rPr>
          <w:rFonts w:ascii="新宋体" w:eastAsia="新宋体" w:hAnsi="新宋体" w:cs="宋体"/>
          <w:kern w:val="0"/>
          <w:szCs w:val="21"/>
        </w:rPr>
        <w:t>）或青银理财认为适当的其他方式进行公告。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rsidRDefault="000A3D09">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1.</w:t>
      </w:r>
      <w:r>
        <w:rPr>
          <w:rFonts w:ascii="新宋体" w:eastAsia="新宋体" w:hAnsi="新宋体" w:hint="eastAsia"/>
          <w:b/>
          <w:szCs w:val="21"/>
        </w:rPr>
        <w:t>信息披露渠道</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本理财计划信息将通过产品管理人官方网站（</w:t>
      </w:r>
      <w:r>
        <w:rPr>
          <w:rFonts w:ascii="新宋体" w:eastAsia="新宋体" w:hAnsi="新宋体" w:hint="eastAsia"/>
          <w:b/>
          <w:szCs w:val="21"/>
        </w:rPr>
        <w:t>www.bqd-wm.com</w:t>
      </w:r>
      <w:r>
        <w:rPr>
          <w:rFonts w:ascii="新宋体" w:eastAsia="新宋体" w:hAnsi="新宋体" w:hint="eastAsia"/>
          <w:b/>
          <w:szCs w:val="21"/>
        </w:rPr>
        <w:t>）、中国理财网（</w:t>
      </w:r>
      <w:r>
        <w:rPr>
          <w:rFonts w:ascii="新宋体" w:eastAsia="新宋体" w:hAnsi="新宋体" w:hint="eastAsia"/>
          <w:b/>
          <w:szCs w:val="21"/>
        </w:rPr>
        <w:t>www.chinawealth.com.cn</w:t>
      </w:r>
      <w:r>
        <w:rPr>
          <w:rFonts w:ascii="新宋体" w:eastAsia="新宋体" w:hAnsi="新宋体" w:hint="eastAsia"/>
          <w:b/>
          <w:szCs w:val="21"/>
        </w:rPr>
        <w:t>）和青银理财直销</w:t>
      </w:r>
      <w:r>
        <w:rPr>
          <w:rFonts w:ascii="新宋体" w:eastAsia="新宋体" w:hAnsi="新宋体" w:hint="eastAsia"/>
          <w:b/>
          <w:szCs w:val="21"/>
        </w:rPr>
        <w:t>APP</w:t>
      </w:r>
      <w:r>
        <w:rPr>
          <w:rFonts w:ascii="新宋体" w:eastAsia="新宋体" w:hAnsi="新宋体" w:hint="eastAsia"/>
          <w:b/>
          <w:szCs w:val="21"/>
        </w:rPr>
        <w:t>或代销机构平台等进行披露，具体披露信息各披露渠道会有</w:t>
      </w:r>
      <w:r>
        <w:rPr>
          <w:rFonts w:ascii="新宋体" w:eastAsia="新宋体" w:hAnsi="新宋体" w:hint="eastAsia"/>
          <w:b/>
          <w:szCs w:val="21"/>
        </w:rPr>
        <w:t>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w:t>
      </w:r>
      <w:r>
        <w:rPr>
          <w:rFonts w:ascii="新宋体" w:eastAsia="新宋体" w:hAnsi="新宋体" w:hint="eastAsia"/>
          <w:b/>
          <w:szCs w:val="21"/>
        </w:rPr>
        <w:lastRenderedPageBreak/>
        <w:t>方承担。</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hint="eastAsia"/>
          <w:b/>
          <w:szCs w:val="21"/>
        </w:rPr>
        <w:t>理财产品运作信息披露</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1</w:t>
      </w:r>
      <w:r>
        <w:rPr>
          <w:rFonts w:ascii="新宋体" w:eastAsia="新宋体" w:hAnsi="新宋体" w:hint="eastAsia"/>
          <w:b/>
          <w:szCs w:val="21"/>
        </w:rPr>
        <w:t>）发行公告：本产品成立后</w:t>
      </w:r>
      <w:r>
        <w:rPr>
          <w:rFonts w:ascii="新宋体" w:eastAsia="新宋体" w:hAnsi="新宋体" w:hint="eastAsia"/>
          <w:b/>
          <w:szCs w:val="21"/>
        </w:rPr>
        <w:t>5</w:t>
      </w:r>
      <w:r>
        <w:rPr>
          <w:rFonts w:ascii="新宋体" w:eastAsia="新宋体" w:hAnsi="新宋体" w:hint="eastAsia"/>
          <w:b/>
          <w:szCs w:val="21"/>
        </w:rPr>
        <w:t>个工作日内，披</w:t>
      </w:r>
      <w:r>
        <w:rPr>
          <w:rFonts w:ascii="新宋体" w:eastAsia="新宋体" w:hAnsi="新宋体" w:hint="eastAsia"/>
          <w:b/>
          <w:szCs w:val="21"/>
        </w:rPr>
        <w:t>露本产品成立公告，包括理财产品成立日期和募集规模等信息。</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2</w:t>
      </w:r>
      <w:r>
        <w:rPr>
          <w:rFonts w:ascii="新宋体" w:eastAsia="新宋体" w:hAnsi="新宋体" w:hint="eastAsia"/>
          <w:b/>
          <w:szCs w:val="21"/>
        </w:rPr>
        <w:t>）定期公告：本产品在每个季度结束之日起</w:t>
      </w:r>
      <w:r>
        <w:rPr>
          <w:rFonts w:ascii="新宋体" w:eastAsia="新宋体" w:hAnsi="新宋体" w:hint="eastAsia"/>
          <w:b/>
          <w:szCs w:val="21"/>
        </w:rPr>
        <w:t>15</w:t>
      </w:r>
      <w:r>
        <w:rPr>
          <w:rFonts w:ascii="新宋体" w:eastAsia="新宋体" w:hAnsi="新宋体" w:hint="eastAsia"/>
          <w:b/>
          <w:szCs w:val="21"/>
        </w:rPr>
        <w:t>个工作日内、上半年结束之日起</w:t>
      </w:r>
      <w:r>
        <w:rPr>
          <w:rFonts w:ascii="新宋体" w:eastAsia="新宋体" w:hAnsi="新宋体" w:hint="eastAsia"/>
          <w:b/>
          <w:szCs w:val="21"/>
        </w:rPr>
        <w:t>60</w:t>
      </w:r>
      <w:r>
        <w:rPr>
          <w:rFonts w:ascii="新宋体" w:eastAsia="新宋体" w:hAnsi="新宋体" w:hint="eastAsia"/>
          <w:b/>
          <w:szCs w:val="21"/>
        </w:rPr>
        <w:t>个工作日内、每年结束之日起</w:t>
      </w:r>
      <w:r>
        <w:rPr>
          <w:rFonts w:ascii="新宋体" w:eastAsia="新宋体" w:hAnsi="新宋体" w:hint="eastAsia"/>
          <w:b/>
          <w:szCs w:val="21"/>
        </w:rPr>
        <w:t>90</w:t>
      </w:r>
      <w:r>
        <w:rPr>
          <w:rFonts w:ascii="新宋体" w:eastAsia="新宋体" w:hAnsi="新宋体" w:hint="eastAsia"/>
          <w:b/>
          <w:szCs w:val="21"/>
        </w:rPr>
        <w:t>个工作日内，披露本产品季度、半年和年度报告等定期报告。产品成立不足</w:t>
      </w:r>
      <w:r>
        <w:rPr>
          <w:rFonts w:ascii="新宋体" w:eastAsia="新宋体" w:hAnsi="新宋体" w:hint="eastAsia"/>
          <w:b/>
          <w:szCs w:val="21"/>
        </w:rPr>
        <w:t>90</w:t>
      </w:r>
      <w:r>
        <w:rPr>
          <w:rFonts w:ascii="新宋体" w:eastAsia="新宋体" w:hAnsi="新宋体" w:hint="eastAsia"/>
          <w:b/>
          <w:szCs w:val="21"/>
        </w:rPr>
        <w:t>个工作日或者剩余存续期不超过</w:t>
      </w:r>
      <w:r>
        <w:rPr>
          <w:rFonts w:ascii="新宋体" w:eastAsia="新宋体" w:hAnsi="新宋体" w:hint="eastAsia"/>
          <w:b/>
          <w:szCs w:val="21"/>
        </w:rPr>
        <w:t>90</w:t>
      </w:r>
      <w:r>
        <w:rPr>
          <w:rFonts w:ascii="新宋体" w:eastAsia="新宋体" w:hAnsi="新宋体" w:hint="eastAsia"/>
          <w:b/>
          <w:szCs w:val="21"/>
        </w:rPr>
        <w:t>个工作日的，将不编制本产品当期的季度、半年和年度报告。</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3</w:t>
      </w:r>
      <w:r>
        <w:rPr>
          <w:rFonts w:ascii="新宋体" w:eastAsia="新宋体" w:hAnsi="新宋体" w:hint="eastAsia"/>
          <w:b/>
          <w:szCs w:val="21"/>
        </w:rPr>
        <w:t>）到期公告：本产品在终止后</w:t>
      </w:r>
      <w:r>
        <w:rPr>
          <w:rFonts w:ascii="新宋体" w:eastAsia="新宋体" w:hAnsi="新宋体" w:hint="eastAsia"/>
          <w:b/>
          <w:szCs w:val="21"/>
        </w:rPr>
        <w:t>5</w:t>
      </w:r>
      <w:r>
        <w:rPr>
          <w:rFonts w:ascii="新宋体" w:eastAsia="新宋体" w:hAnsi="新宋体" w:hint="eastAsia"/>
          <w:b/>
          <w:szCs w:val="21"/>
        </w:rPr>
        <w:t>个工作日内，披露本产品到期公告，包括理财产品的存续期限、终止日期、收费情况和收益分配情况等信息。</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4</w:t>
      </w:r>
      <w:r>
        <w:rPr>
          <w:rFonts w:ascii="新宋体" w:eastAsia="新宋体" w:hAnsi="新宋体" w:hint="eastAsia"/>
          <w:b/>
          <w:szCs w:val="21"/>
        </w:rPr>
        <w:t>）净值公告：本产品每周公布一次产品净值，建仓期除外，遇</w:t>
      </w:r>
      <w:r>
        <w:rPr>
          <w:rFonts w:ascii="新宋体" w:eastAsia="新宋体" w:hAnsi="新宋体" w:hint="eastAsia"/>
          <w:b/>
          <w:szCs w:val="21"/>
        </w:rPr>
        <w:t>节假日顺延。</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w:t>
      </w:r>
      <w:r>
        <w:rPr>
          <w:rFonts w:ascii="新宋体" w:eastAsia="新宋体" w:hAnsi="新宋体" w:hint="eastAsia"/>
          <w:b/>
          <w:szCs w:val="21"/>
        </w:rPr>
        <w:t>5</w:t>
      </w:r>
      <w:r>
        <w:rPr>
          <w:rFonts w:ascii="新宋体" w:eastAsia="新宋体" w:hAnsi="新宋体" w:hint="eastAsia"/>
          <w:b/>
          <w:szCs w:val="21"/>
        </w:rPr>
        <w:t>）临时公告：理财产品在运作管理过程中，发生可能对理财产品投资者权益产生影响的事项时，管理人将根据法律法规规定及时进行临时信息披露。</w:t>
      </w:r>
    </w:p>
    <w:p w:rsidR="00914A4A" w:rsidRDefault="000A3D09">
      <w:pPr>
        <w:snapToGrid w:val="0"/>
        <w:spacing w:line="360" w:lineRule="auto"/>
        <w:ind w:firstLineChars="200" w:firstLine="422"/>
        <w:jc w:val="left"/>
        <w:rPr>
          <w:b/>
        </w:rPr>
      </w:pPr>
      <w:r>
        <w:rPr>
          <w:rFonts w:hint="eastAsia"/>
          <w:b/>
        </w:rPr>
        <w:t>（</w:t>
      </w:r>
      <w:r>
        <w:rPr>
          <w:rFonts w:hint="eastAsia"/>
          <w:b/>
        </w:rPr>
        <w:t>6</w:t>
      </w:r>
      <w:r>
        <w:rPr>
          <w:rFonts w:hint="eastAsia"/>
          <w:b/>
        </w:rPr>
        <w:t>）</w:t>
      </w:r>
      <w:r>
        <w:rPr>
          <w:b/>
        </w:rPr>
        <w:t>重大事项公告</w:t>
      </w:r>
      <w:r>
        <w:rPr>
          <w:rFonts w:hint="eastAsia"/>
          <w:b/>
        </w:rPr>
        <w:t>。</w:t>
      </w:r>
    </w:p>
    <w:p w:rsidR="00914A4A" w:rsidRDefault="000A3D09">
      <w:pPr>
        <w:snapToGrid w:val="0"/>
        <w:spacing w:line="360" w:lineRule="auto"/>
        <w:ind w:firstLineChars="200" w:firstLine="422"/>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rsidRDefault="000A3D09">
      <w:pPr>
        <w:snapToGrid w:val="0"/>
        <w:spacing w:line="360" w:lineRule="auto"/>
        <w:ind w:firstLineChars="200" w:firstLine="422"/>
        <w:jc w:val="left"/>
        <w:rPr>
          <w:rFonts w:ascii="新宋体" w:eastAsia="新宋体" w:hAnsi="新宋体"/>
          <w:b/>
          <w:szCs w:val="21"/>
        </w:rPr>
      </w:pPr>
      <w:r>
        <w:rPr>
          <w:rFonts w:hint="eastAsia"/>
          <w:b/>
        </w:rPr>
        <w:t>（</w:t>
      </w:r>
      <w:r>
        <w:rPr>
          <w:b/>
        </w:rPr>
        <w:t>8</w:t>
      </w:r>
      <w:r>
        <w:rPr>
          <w:rFonts w:hint="eastAsia"/>
          <w:b/>
        </w:rPr>
        <w:t>）</w:t>
      </w:r>
      <w:r>
        <w:rPr>
          <w:b/>
        </w:rPr>
        <w:t>产品管理人认为需要披露的其他信息。</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3.</w:t>
      </w:r>
      <w:r>
        <w:rPr>
          <w:rFonts w:ascii="新宋体" w:eastAsia="新宋体" w:hAnsi="新宋体" w:hint="eastAsia"/>
          <w:b/>
          <w:szCs w:val="21"/>
        </w:rPr>
        <w:t>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w:t>
      </w:r>
      <w:r>
        <w:rPr>
          <w:rFonts w:ascii="新宋体" w:eastAsia="新宋体" w:hAnsi="新宋体" w:hint="eastAsia"/>
          <w:b/>
          <w:szCs w:val="21"/>
        </w:rPr>
        <w:t>产品。</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4.</w:t>
      </w:r>
      <w:r>
        <w:rPr>
          <w:rFonts w:ascii="新宋体" w:eastAsia="新宋体" w:hAnsi="新宋体" w:hint="eastAsia"/>
          <w:b/>
          <w:szCs w:val="21"/>
        </w:rPr>
        <w:t>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rsidRDefault="000A3D09">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1.</w:t>
      </w:r>
      <w:r>
        <w:rPr>
          <w:rFonts w:ascii="新宋体" w:eastAsia="新宋体" w:hAnsi="新宋体" w:hint="eastAsia"/>
          <w:b/>
          <w:szCs w:val="21"/>
        </w:rPr>
        <w:t>请投资者购买本理财计划前一定仔细阅读本理财计划销售文件，包括但不限于：本理财计划对应</w:t>
      </w:r>
      <w:r>
        <w:rPr>
          <w:rFonts w:ascii="新宋体" w:eastAsia="新宋体" w:hAnsi="新宋体" w:hint="eastAsia"/>
          <w:b/>
          <w:szCs w:val="21"/>
        </w:rPr>
        <w:t>的销售协议书、理财计划说明书、风险揭示书、投资者权益须知等，了解理财计划具体情况，关注投资风险，自主决定是否投资。</w:t>
      </w:r>
    </w:p>
    <w:p w:rsidR="00914A4A" w:rsidRDefault="000A3D09">
      <w:pPr>
        <w:snapToGrid w:val="0"/>
        <w:spacing w:line="360" w:lineRule="auto"/>
        <w:ind w:firstLineChars="200" w:firstLine="422"/>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w:t>
      </w:r>
      <w:r>
        <w:rPr>
          <w:rFonts w:ascii="新宋体" w:eastAsia="新宋体" w:hAnsi="新宋体" w:hint="eastAsia"/>
          <w:b/>
          <w:szCs w:val="21"/>
        </w:rPr>
        <w:lastRenderedPageBreak/>
        <w:t>要求其他机构履行投资者信息保密义务。</w:t>
      </w:r>
    </w:p>
    <w:p w:rsidR="00914A4A" w:rsidRDefault="000A3D09">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w:t>
      </w:r>
      <w:r>
        <w:rPr>
          <w:rStyle w:val="fontstyle01"/>
          <w:rFonts w:hint="default"/>
          <w:b/>
          <w:sz w:val="21"/>
          <w:szCs w:val="21"/>
        </w:rPr>
        <w:t>4000879666</w:t>
      </w:r>
      <w:r>
        <w:rPr>
          <w:rStyle w:val="fontstyle01"/>
          <w:rFonts w:hint="default"/>
          <w:b/>
          <w:sz w:val="21"/>
          <w:szCs w:val="21"/>
        </w:rPr>
        <w:t>。</w:t>
      </w:r>
    </w:p>
    <w:sectPr w:rsidR="00914A4A">
      <w:footerReference w:type="even" r:id="rId6"/>
      <w:footerReference w:type="default" r:id="rId7"/>
      <w:pgSz w:w="11906" w:h="16838"/>
      <w:pgMar w:top="1440" w:right="1286" w:bottom="1440" w:left="12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D09" w:rsidRDefault="000A3D09">
      <w:r>
        <w:separator/>
      </w:r>
    </w:p>
  </w:endnote>
  <w:endnote w:type="continuationSeparator" w:id="0">
    <w:p w:rsidR="000A3D09" w:rsidRDefault="000A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A4A" w:rsidRDefault="000A3D09">
    <w:pPr>
      <w:pStyle w:val="a7"/>
      <w:framePr w:wrap="around" w:vAnchor="text" w:hAnchor="margin" w:xAlign="center" w:y="1"/>
      <w:rPr>
        <w:rStyle w:val="ac"/>
      </w:rPr>
    </w:pPr>
    <w:r>
      <w:fldChar w:fldCharType="begin"/>
    </w:r>
    <w:r>
      <w:rPr>
        <w:rStyle w:val="ac"/>
      </w:rPr>
      <w:instrText xml:space="preserve">PAGE  </w:instrText>
    </w:r>
    <w:r>
      <w:fldChar w:fldCharType="end"/>
    </w:r>
  </w:p>
  <w:p w:rsidR="00914A4A" w:rsidRDefault="00914A4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A4A" w:rsidRDefault="000A3D09">
    <w:pPr>
      <w:pStyle w:val="a7"/>
      <w:framePr w:wrap="around" w:vAnchor="text" w:hAnchor="margin" w:xAlign="center" w:y="1"/>
      <w:rPr>
        <w:rStyle w:val="ac"/>
      </w:rPr>
    </w:pPr>
    <w:r>
      <w:fldChar w:fldCharType="begin"/>
    </w:r>
    <w:r>
      <w:rPr>
        <w:rStyle w:val="ac"/>
      </w:rPr>
      <w:instrText xml:space="preserve">PAGE  </w:instrText>
    </w:r>
    <w:r>
      <w:fldChar w:fldCharType="separate"/>
    </w:r>
    <w:r w:rsidR="009A338E">
      <w:rPr>
        <w:rStyle w:val="ac"/>
        <w:noProof/>
      </w:rPr>
      <w:t>8</w:t>
    </w:r>
    <w:r>
      <w:fldChar w:fldCharType="end"/>
    </w:r>
  </w:p>
  <w:p w:rsidR="00914A4A" w:rsidRDefault="00914A4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D09" w:rsidRDefault="000A3D09">
      <w:r>
        <w:separator/>
      </w:r>
    </w:p>
  </w:footnote>
  <w:footnote w:type="continuationSeparator" w:id="0">
    <w:p w:rsidR="000A3D09" w:rsidRDefault="000A3D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M3OTA1NjVlZTExOWExMWQyZjIyMWEwNWIyZjk2MGQifQ=="/>
  </w:docVars>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D09"/>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5FDC"/>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0AF4"/>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5AE0"/>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38E"/>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A1E408-6004-494A-83EF-C038C125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lsdException w:name="caption" w:semiHidden="1" w:unhideWhenUsed="1" w:qFormat="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pPr>
      <w:jc w:val="left"/>
    </w:pPr>
  </w:style>
  <w:style w:type="character" w:customStyle="1" w:styleId="a4">
    <w:name w:val="批注文字 字符"/>
    <w:link w:val="a3"/>
    <w:uiPriority w:val="99"/>
    <w:semiHidden/>
    <w:rPr>
      <w:kern w:val="2"/>
      <w:sz w:val="21"/>
      <w:szCs w:val="24"/>
    </w:rPr>
  </w:style>
  <w:style w:type="paragraph" w:styleId="a5">
    <w:name w:val="Body Text Indent"/>
    <w:basedOn w:val="a"/>
    <w:pPr>
      <w:ind w:firstLineChars="200" w:firstLine="560"/>
    </w:pPr>
    <w:rPr>
      <w:rFonts w:ascii="仿宋_GB2312" w:eastAsia="仿宋_GB2312"/>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rPr>
      <w:kern w:val="2"/>
      <w:sz w:val="18"/>
      <w:szCs w:val="18"/>
    </w:rPr>
  </w:style>
  <w:style w:type="paragraph" w:styleId="aa">
    <w:name w:val="Normal (Web)"/>
    <w:basedOn w:val="a"/>
    <w:pPr>
      <w:widowControl/>
      <w:spacing w:before="100" w:beforeAutospacing="1" w:after="100" w:afterAutospacing="1"/>
      <w:jc w:val="left"/>
    </w:pPr>
    <w:rPr>
      <w:rFonts w:ascii="宋体" w:hAnsi="宋体" w:cs="宋体"/>
      <w:kern w:val="0"/>
      <w:sz w:val="24"/>
    </w:rPr>
  </w:style>
  <w:style w:type="paragraph" w:styleId="ab">
    <w:name w:val="annotation subject"/>
    <w:basedOn w:val="a3"/>
    <w:next w:val="a3"/>
    <w:semiHidden/>
    <w:rPr>
      <w:b/>
      <w:bCs/>
    </w:rPr>
  </w:style>
  <w:style w:type="character" w:styleId="ac">
    <w:name w:val="page number"/>
  </w:style>
  <w:style w:type="character" w:styleId="ad">
    <w:name w:val="Hyperlink"/>
    <w:rPr>
      <w:color w:val="0000FF"/>
      <w:u w:val="single"/>
    </w:rPr>
  </w:style>
  <w:style w:type="character" w:styleId="a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
    <w:name w:val="Cha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1954</Words>
  <Characters>11140</Characters>
  <Application>Microsoft Office Word</Application>
  <DocSecurity>0</DocSecurity>
  <Lines>92</Lines>
  <Paragraphs>26</Paragraphs>
  <ScaleCrop>false</ScaleCrop>
  <Company>WwW.YlmF.CoM</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Admin</cp:lastModifiedBy>
  <cp:revision>7</cp:revision>
  <cp:lastPrinted>2011-09-18T02:03:00Z</cp:lastPrinted>
  <dcterms:created xsi:type="dcterms:W3CDTF">2023-07-25T08:36:00Z</dcterms:created>
  <dcterms:modified xsi:type="dcterms:W3CDTF">2026-07-14T09:40:00Z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