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苏银理财恒源1年定开12期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（2026年8月版）</w:t>
      </w:r>
    </w:p>
    <w:p>
      <w:pPr>
        <w:jc w:val="center"/>
        <w:rPr>
          <w:rFonts w:hint="eastAsia" w:ascii="楷体" w:hAnsi="楷体" w:eastAsia="楷体"/>
          <w:b/>
          <w:sz w:val="24"/>
          <w:szCs w:val="24"/>
          <w:highlight w:val="none"/>
        </w:rPr>
      </w:pPr>
      <w:r>
        <w:rPr>
          <w:rFonts w:hint="eastAsia" w:ascii="楷体" w:hAnsi="楷体" w:eastAsia="楷体" w:cs="宋体"/>
          <w:b/>
          <w:kern w:val="0"/>
          <w:sz w:val="24"/>
          <w:szCs w:val="24"/>
          <w:highlight w:val="none"/>
        </w:rPr>
        <w:t>理财非存款、产品有风险、投资须谨慎</w:t>
      </w:r>
    </w:p>
    <w:p>
      <w:pPr>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重要须知</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本理财产品不保证本金及收益，您的本金可能因市场变动</w:t>
      </w:r>
      <w:r>
        <w:rPr>
          <w:rFonts w:hint="eastAsia" w:ascii="楷体" w:hAnsi="楷体" w:eastAsia="楷体"/>
          <w:b/>
          <w:sz w:val="21"/>
          <w:szCs w:val="21"/>
          <w:highlight w:val="none"/>
          <w:u w:val="single"/>
          <w:lang w:val="en-US" w:eastAsia="zh-CN"/>
        </w:rPr>
        <w:t>或者交易违约等事项</w:t>
      </w:r>
      <w:r>
        <w:rPr>
          <w:rFonts w:hint="eastAsia" w:ascii="楷体" w:hAnsi="楷体" w:eastAsia="楷体"/>
          <w:b/>
          <w:sz w:val="21"/>
          <w:szCs w:val="21"/>
          <w:highlight w:val="none"/>
          <w:u w:val="single"/>
        </w:rPr>
        <w:t>而蒙受相应损失，投资者应充分认识投资风险，谨慎投资</w:t>
      </w:r>
      <w:r>
        <w:rPr>
          <w:rFonts w:hint="eastAsia" w:ascii="楷体" w:hAnsi="楷体" w:eastAsia="楷体"/>
          <w:b/>
          <w:sz w:val="21"/>
          <w:szCs w:val="21"/>
          <w:highlight w:val="none"/>
          <w:u w:val="single"/>
          <w:lang w:eastAsia="zh-CN"/>
        </w:rPr>
        <w:t>。</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本理财产品任何业绩比较基准</w:t>
      </w:r>
      <w:r>
        <w:rPr>
          <w:rFonts w:hint="eastAsia" w:ascii="楷体" w:hAnsi="楷体" w:eastAsia="楷体"/>
          <w:b/>
          <w:sz w:val="21"/>
          <w:szCs w:val="21"/>
          <w:highlight w:val="none"/>
          <w:u w:val="single"/>
          <w:lang w:val="en-US" w:eastAsia="zh-CN"/>
        </w:rPr>
        <w:t>及</w:t>
      </w:r>
      <w:r>
        <w:rPr>
          <w:rFonts w:hint="eastAsia" w:ascii="楷体" w:hAnsi="楷体" w:eastAsia="楷体"/>
          <w:b/>
          <w:sz w:val="21"/>
          <w:szCs w:val="21"/>
          <w:highlight w:val="none"/>
          <w:u w:val="single"/>
        </w:rPr>
        <w:t>类似表述均属不具有法律约束力的用语</w:t>
      </w:r>
      <w:r>
        <w:rPr>
          <w:rFonts w:hint="eastAsia" w:ascii="楷体" w:hAnsi="楷体" w:eastAsia="楷体"/>
          <w:b/>
          <w:sz w:val="21"/>
          <w:szCs w:val="21"/>
          <w:highlight w:val="none"/>
          <w:u w:val="single"/>
          <w:lang w:eastAsia="zh-CN"/>
        </w:rPr>
        <w:t>。</w:t>
      </w:r>
      <w:r>
        <w:rPr>
          <w:rFonts w:hint="eastAsia" w:ascii="楷体" w:hAnsi="楷体" w:eastAsia="楷体"/>
          <w:b/>
          <w:sz w:val="21"/>
          <w:szCs w:val="21"/>
          <w:highlight w:val="none"/>
          <w:u w:val="single"/>
        </w:rPr>
        <w:t>业绩比较基准</w:t>
      </w:r>
      <w:r>
        <w:rPr>
          <w:rFonts w:hint="eastAsia" w:ascii="楷体" w:hAnsi="楷体" w:eastAsia="楷体"/>
          <w:b/>
          <w:sz w:val="21"/>
          <w:szCs w:val="21"/>
          <w:highlight w:val="none"/>
          <w:u w:val="single"/>
          <w:lang w:val="en-US" w:eastAsia="zh-CN"/>
        </w:rPr>
        <w:t>为</w:t>
      </w:r>
      <w:r>
        <w:rPr>
          <w:rFonts w:hint="eastAsia" w:ascii="楷体" w:hAnsi="楷体" w:eastAsia="楷体"/>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等。请仔细阅读《“苏银理财恒源1年定开12期”理财产品风险揭示书》的“风险揭示”部分。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highlight w:val="none"/>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苏银理财恒源1年定开12期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lang w:val="en-US" w:eastAsia="zh-CN"/>
              </w:rPr>
              <w:t>Z7003121000047</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投资者可依据该编码在中国理财网</w:t>
            </w:r>
            <w:r>
              <w:rPr>
                <w:rFonts w:ascii="楷体" w:hAnsi="楷体" w:eastAsia="楷体" w:cs="宋体"/>
                <w:spacing w:val="-2"/>
                <w:sz w:val="18"/>
                <w:szCs w:val="18"/>
                <w:highlight w:val="none"/>
              </w:rPr>
              <w:fldChar w:fldCharType="begin"/>
            </w:r>
            <w:r>
              <w:rPr>
                <w:rFonts w:ascii="楷体" w:hAnsi="楷体" w:eastAsia="楷体" w:cs="宋体"/>
                <w:spacing w:val="-2"/>
                <w:sz w:val="18"/>
                <w:szCs w:val="18"/>
                <w:highlight w:val="none"/>
              </w:rPr>
              <w:instrText xml:space="preserve"> HYPERLINK "http://www.chinawealth.com.cn/" </w:instrText>
            </w:r>
            <w:r>
              <w:rPr>
                <w:rFonts w:ascii="楷体" w:hAnsi="楷体" w:eastAsia="楷体" w:cs="宋体"/>
                <w:spacing w:val="-2"/>
                <w:sz w:val="18"/>
                <w:szCs w:val="18"/>
                <w:highlight w:val="none"/>
              </w:rPr>
              <w:fldChar w:fldCharType="separate"/>
            </w:r>
            <w:r>
              <w:rPr>
                <w:rFonts w:ascii="楷体" w:hAnsi="楷体" w:eastAsia="楷体" w:cs="宋体"/>
                <w:spacing w:val="-2"/>
                <w:sz w:val="18"/>
                <w:szCs w:val="18"/>
                <w:highlight w:val="none"/>
              </w:rPr>
              <w:t>www.chinawealth.com.cn</w:t>
            </w:r>
            <w:r>
              <w:rPr>
                <w:rFonts w:ascii="楷体" w:hAnsi="楷体" w:eastAsia="楷体" w:cs="宋体"/>
                <w:spacing w:val="-2"/>
                <w:sz w:val="18"/>
                <w:szCs w:val="18"/>
                <w:highlight w:val="none"/>
              </w:rPr>
              <w:fldChar w:fldCharType="end"/>
            </w:r>
            <w:r>
              <w:rPr>
                <w:rFonts w:hint="eastAsia" w:ascii="楷体" w:hAnsi="楷体" w:eastAsia="楷体" w:cs="宋体"/>
                <w:spacing w:val="-2"/>
                <w:sz w:val="18"/>
                <w:szCs w:val="18"/>
                <w:highlight w:val="none"/>
              </w:rPr>
              <w:t>查询产品信息</w:t>
            </w:r>
            <w:r>
              <w:rPr>
                <w:rFonts w:hint="eastAsia" w:ascii="楷体" w:hAnsi="楷体" w:eastAsia="楷体" w:cs="宋体"/>
                <w:spacing w:val="-2"/>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A份额:苏银理财恒源1年定开12期A/J00253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B份额:苏银理财恒源1年定开12期B/J00254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C份额:苏银理财恒源1年定开12期C/J25338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D份额:苏银理财恒源1年定开12期D/J02464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F份额:苏银理财恒源1年定开12期F/J02465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G份额:苏银理财恒源1年定开12期G/J02466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J份额:苏银理财恒源1年定开12期J/J02467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M份额:苏银理财恒源1年定开12期M/J03403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P份额:苏银理财恒源1年定开12期P/J04950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GS份额:苏银理财恒源1年定开12期GS/J25340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S份额:苏银理财恒源1年定开12期S（专享）/J25341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U份额:苏银理财恒源1年定开12期U/J25342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L份额:苏银理财恒源1年定开12期L/J25343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Z份额:苏银理财恒源1年定开12期Z/J25344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Z1份额:苏银理财恒源1年定开12期Z1/J25345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Z2份额:苏银理财恒源1年定开12期Z2/J25346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ZA份额:苏银理财恒源1年定开12期ZA鑫福款（自动赎回）/J02469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ZF份额:苏银理财恒源1年定开12期ZF（自动赎回）/J02470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ZF2份额:苏银理财恒源1年定开12期ZF2（自动赎回）/J25347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ZF3份额:苏银理财恒源1年定开12期ZF3（自动赎回）/J25348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ZF4份额:苏银理财恒源1年定开12期ZF4（自动赎回）/J25349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ZF5份额:苏银理财恒源1年定开12期ZF5（自动赎回）/J25350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ZJ份额:苏银理财恒源1年定开12期ZJ（自动赎回）/J25351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ZL份额:苏银理财恒源1年定开12期ZL（自动赎回）/J25352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天府·优选份额:苏银理财恒源1年定开12期（天府·优选）/J25353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ZN份额:苏银理财恒源1年定开12期ZN（自动赎回）/J04951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ZQ份额:苏银理财恒源1年定开12期ZQ（自动赎回）/J04952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ZC份额:苏银理财恒源1年定开12期ZC鑫福优享（自动赎回）/J25354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ZK份额:苏银理财恒源1年定开12期ZK鑫福尊享（自动赎回）/J25355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highlight w:val="none"/>
                <w:u w:val="single"/>
                <w:lang w:val="en-US" w:eastAsia="zh-CN" w:bidi="ar-SA"/>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参考。理财产品存续期间，若市场环境等因素发生变化，在符合监管政策要求的前提下管理人可对产品风险评级进行调整，并及时将调整情况向投资者披露。</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1元</w:t>
            </w:r>
            <w:r>
              <w:rPr>
                <w:rFonts w:hint="eastAsia" w:ascii="楷体" w:hAnsi="楷体" w:eastAsia="楷体" w:cs="宋体"/>
                <w:spacing w:val="-2"/>
                <w:sz w:val="18"/>
                <w:szCs w:val="1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本产品计划发行规模为100000万元，管理人有权根据实际需要调整计划发行规模。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A份额:100元/100元的整数倍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M份额:100元/100元的整数倍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GS份额:100元/100元的整数倍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S份额:100元/100元的整数倍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U份额:100元/100元的整数倍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L份额:1,000,000元/10,000元的整数倍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Z1份额:10,000元/1元的整数倍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Z2份额:500,000元/10,000元的整数倍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ZA份额:100元/100元的整数倍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ZF2份额:1000元/1000元的整数倍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ZF3份额:100元/100元的整数倍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ZF4份额:1000元/1000元的整数倍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ZF5份额:100元/100元的整数倍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ZJ份额:100元/100元的整数倍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ZL份额:个人投资者：500,000元/10,000元的整数倍,机构投资者：30,000,000元/10,000元的整数倍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天府·优选份额:100元/100元的整数倍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ZN份额:100元/100元的整数倍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ZQ份额:100元/100元的整数倍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ZK份额:个人投资者：500,000元/10,000元的整数倍,机构投资者：30,000,000元/10,000元的整数倍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eastAsia="zh-CN"/>
              </w:rPr>
            </w:pP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2021年5月19日至2021年5月25日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2021年5月26日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lang w:val="en-US" w:eastAsia="zh-CN"/>
              </w:rPr>
              <w:t>2031年5月27日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如遇节假日，顺延至下一工作日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在符合产品说明书约定的条件下，管理人有权</w:t>
            </w:r>
            <w:r>
              <w:rPr>
                <w:rFonts w:hint="eastAsia" w:ascii="楷体" w:hAnsi="楷体" w:eastAsia="楷体" w:cs="宋体"/>
                <w:color w:val="auto"/>
                <w:spacing w:val="-2"/>
                <w:sz w:val="18"/>
                <w:szCs w:val="18"/>
                <w:highlight w:val="none"/>
                <w:lang w:val="en-US" w:eastAsia="zh-CN"/>
              </w:rPr>
              <w:t>调整产品到期日</w:t>
            </w:r>
            <w:r>
              <w:rPr>
                <w:rFonts w:hint="eastAsia" w:ascii="楷体" w:hAnsi="楷体" w:eastAsia="楷体" w:cs="宋体"/>
                <w:color w:val="auto"/>
                <w:spacing w:val="-2"/>
                <w:sz w:val="18"/>
                <w:szCs w:val="18"/>
                <w:highlight w:val="none"/>
              </w:rPr>
              <w:t>，产品到期日受制于提前终止</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延期终止</w:t>
            </w:r>
            <w:r>
              <w:rPr>
                <w:rFonts w:hint="eastAsia" w:ascii="楷体" w:hAnsi="楷体" w:eastAsia="楷体" w:cs="宋体"/>
                <w:color w:val="auto"/>
                <w:spacing w:val="-2"/>
                <w:sz w:val="18"/>
                <w:szCs w:val="18"/>
                <w:highlight w:val="none"/>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最新投资周期（2026年8月12日-2027年9月2日）开放申购与赎回时间为：2026年8月3日至2026年8月11日</w:t>
            </w:r>
            <w:r>
              <w:rPr>
                <w:rFonts w:hint="eastAsia" w:ascii="楷体" w:hAnsi="楷体" w:eastAsia="楷体" w:cs="宋体"/>
                <w:b w:val="0"/>
                <w:bCs w:val="0"/>
                <w:spacing w:val="-2"/>
                <w:sz w:val="18"/>
                <w:szCs w:val="18"/>
                <w:highlight w:val="none"/>
                <w:lang w:val="en-US" w:eastAsia="zh-CN"/>
              </w:rPr>
              <w:t>（</w:t>
            </w:r>
            <w:r>
              <w:rPr>
                <w:rFonts w:hint="eastAsia" w:ascii="楷体" w:hAnsi="楷体" w:eastAsia="楷体" w:cs="宋体"/>
                <w:b w:val="0"/>
                <w:bCs w:val="0"/>
                <w:spacing w:val="-2"/>
                <w:sz w:val="18"/>
                <w:szCs w:val="18"/>
                <w:highlight w:val="none"/>
              </w:rPr>
              <w:t>以各销售机构设置的时间为准</w:t>
            </w:r>
            <w:r>
              <w:rPr>
                <w:rFonts w:hint="eastAsia" w:ascii="楷体" w:hAnsi="楷体" w:eastAsia="楷体" w:cs="宋体"/>
                <w:b w:val="0"/>
                <w:bCs w:val="0"/>
                <w:spacing w:val="-2"/>
                <w:sz w:val="18"/>
                <w:szCs w:val="18"/>
                <w:highlight w:val="none"/>
                <w:lang w:val="en-US" w:eastAsia="zh-CN"/>
              </w:rPr>
              <w:t>）</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(其中ZA份额/ZF份额/ZF2份额/ZF3份额/ZF4份额/ZF5份额/ZJ份额/ZL份额/ZN份额/ZQ份额/ZC份额/ZK份额/天府·优选份额由系统主动发起赎回申请，投资者无须发起赎回申请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highlight w:val="none"/>
                <w:u w:val="single"/>
              </w:rPr>
              <w:t>除开放计划外的其他时间，管理人不接受投资者申购、赎回申请</w:t>
            </w:r>
            <w:r>
              <w:rPr>
                <w:rFonts w:hint="eastAsia" w:ascii="楷体" w:hAnsi="楷体" w:eastAsia="楷体" w:cs="宋体"/>
                <w:b/>
                <w:bCs/>
                <w:spacing w:val="-2"/>
                <w:sz w:val="18"/>
                <w:szCs w:val="18"/>
                <w:highlight w:val="none"/>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numPr>
                <w:numId w:val="0"/>
              </w:numPr>
              <w:wordWrap/>
              <w:topLinePunct w:val="0"/>
              <w:bidi w:val="0"/>
              <w:snapToGrid/>
              <w:spacing w:line="0" w:lineRule="atLeast"/>
              <w:ind w:right="0" w:rightChars="0"/>
              <w:textAlignment w:val="auto"/>
              <w:rPr>
                <w:rFonts w:hint="eastAsia" w:ascii="楷体" w:hAnsi="楷体" w:eastAsia="楷体" w:cs="宋体"/>
                <w:b/>
                <w:bCs w:val="0"/>
                <w:spacing w:val="-2"/>
                <w:sz w:val="18"/>
                <w:szCs w:val="18"/>
                <w:highlight w:val="none"/>
                <w:u w:val="single"/>
              </w:rPr>
            </w:pPr>
            <w:r>
              <w:rPr>
                <w:rFonts w:hint="eastAsia" w:ascii="楷体" w:hAnsi="楷体" w:eastAsia="楷体" w:cs="宋体"/>
                <w:b/>
                <w:bCs w:val="0"/>
                <w:spacing w:val="-2"/>
                <w:sz w:val="18"/>
                <w:szCs w:val="18"/>
                <w:highlight w:val="none"/>
                <w:u w:val="single"/>
              </w:rPr>
              <w:t>本产品单个开放日投资者净赎回额（赎回申请份额总数扣除申购申请份额总数）超过上一日日终份额10%时，即认为发生了巨额赎回。管理人可以根据本产品当时的资产组合状况决定采取全额赎回、部分赎回、延期办理巨额赎回等措施。</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当管理人认为兑付投资者的赎回申请可能会对产品的资产净值造成较大波动时，当日办理的赎回份额不得低于前一日日终理财产品总份额的10%，对其余赎回申请管理人有权暂停接受或延期办理。对该产品单个投资者的赎回申请，按照其申请占当日申请赎回总份额的比例，确定该投资者当日办理的赎回份额。（示例：某投资者当日申请赎回份额5万份，当日全部赎回申请10000万份，假设前一日日终总份额50000万份，发生巨额赎回，管理人当日办理的赎回份额5000万份，则该投资者当日确认办理的份额为5/10000*5000=2.5万份。）</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3.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4.延缓支付赎回款项：连续2个以上开放日发生巨额赎回的，管理人除有权选择全额赎回或部分赎回等措施外，对于已经接受的赎回申请，管理人可以延缓支付赎回款项，但延缓期限不得超过20个工作日。</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当采取非全额赎回措施时，管理人将在采取相关措施后3个工作日内进行信息披露。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lang w:val="en-US" w:eastAsia="zh-CN"/>
              </w:rPr>
              <w:t>1.管理人</w:t>
            </w:r>
            <w:r>
              <w:rPr>
                <w:rFonts w:ascii="楷体" w:hAnsi="楷体" w:eastAsia="楷体" w:cs="宋体"/>
                <w:b/>
                <w:bCs/>
                <w:spacing w:val="-2"/>
                <w:sz w:val="18"/>
                <w:szCs w:val="18"/>
                <w:highlight w:val="none"/>
                <w:u w:val="single"/>
              </w:rPr>
              <w:t>参考过往投资经验，依据近期货币市场工具、</w:t>
            </w:r>
            <w:r>
              <w:rPr>
                <w:rFonts w:hint="eastAsia" w:ascii="楷体" w:hAnsi="楷体" w:eastAsia="楷体" w:cs="宋体"/>
                <w:b/>
                <w:bCs/>
                <w:spacing w:val="-2"/>
                <w:sz w:val="18"/>
                <w:szCs w:val="18"/>
                <w:highlight w:val="none"/>
                <w:u w:val="single"/>
                <w:lang w:val="en-US" w:eastAsia="zh-CN"/>
              </w:rPr>
              <w:t>银行存款（含结构性存款）、</w:t>
            </w:r>
            <w:r>
              <w:rPr>
                <w:rFonts w:ascii="楷体" w:hAnsi="楷体" w:eastAsia="楷体" w:cs="宋体"/>
                <w:b/>
                <w:bCs/>
                <w:spacing w:val="-2"/>
                <w:sz w:val="18"/>
                <w:szCs w:val="18"/>
                <w:highlight w:val="none"/>
                <w:u w:val="single"/>
              </w:rPr>
              <w:t>债券</w:t>
            </w:r>
            <w:r>
              <w:rPr>
                <w:rFonts w:hint="eastAsia" w:ascii="楷体" w:hAnsi="楷体" w:eastAsia="楷体" w:cs="宋体"/>
                <w:b/>
                <w:bCs/>
                <w:spacing w:val="-2"/>
                <w:sz w:val="18"/>
                <w:szCs w:val="18"/>
                <w:highlight w:val="none"/>
                <w:u w:val="single"/>
              </w:rPr>
              <w:t>、非标准化债权</w:t>
            </w:r>
            <w:r>
              <w:rPr>
                <w:rFonts w:ascii="楷体" w:hAnsi="楷体" w:eastAsia="楷体" w:cs="宋体"/>
                <w:b/>
                <w:bCs/>
                <w:spacing w:val="-2"/>
                <w:sz w:val="18"/>
                <w:szCs w:val="18"/>
                <w:highlight w:val="none"/>
                <w:u w:val="single"/>
              </w:rPr>
              <w:t>等资产</w:t>
            </w:r>
            <w:r>
              <w:rPr>
                <w:rFonts w:hint="eastAsia" w:ascii="楷体" w:hAnsi="楷体" w:eastAsia="楷体" w:cs="宋体"/>
                <w:b/>
                <w:bCs/>
                <w:spacing w:val="-2"/>
                <w:sz w:val="18"/>
                <w:szCs w:val="18"/>
                <w:highlight w:val="none"/>
                <w:u w:val="single"/>
              </w:rPr>
              <w:t>投资</w:t>
            </w:r>
            <w:r>
              <w:rPr>
                <w:rFonts w:ascii="楷体" w:hAnsi="楷体" w:eastAsia="楷体" w:cs="宋体"/>
                <w:b/>
                <w:bCs/>
                <w:spacing w:val="-2"/>
                <w:sz w:val="18"/>
                <w:szCs w:val="18"/>
                <w:highlight w:val="none"/>
                <w:u w:val="single"/>
              </w:rPr>
              <w:t>收益水平，在产品说明书约定的投资范围和投资比例内</w:t>
            </w:r>
            <w:r>
              <w:rPr>
                <w:rFonts w:hint="eastAsia" w:ascii="楷体" w:hAnsi="楷体" w:eastAsia="楷体" w:cs="宋体"/>
                <w:b/>
                <w:bCs/>
                <w:spacing w:val="-2"/>
                <w:sz w:val="18"/>
                <w:szCs w:val="18"/>
                <w:highlight w:val="none"/>
                <w:u w:val="single"/>
              </w:rPr>
              <w:t>，综合考虑各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份额收取的销售服务费和投资管理费</w:t>
            </w:r>
            <w:r>
              <w:rPr>
                <w:rFonts w:hint="eastAsia" w:ascii="楷体" w:hAnsi="楷体" w:eastAsia="楷体" w:cs="宋体"/>
                <w:b/>
                <w:bCs/>
                <w:spacing w:val="-2"/>
                <w:sz w:val="18"/>
                <w:szCs w:val="18"/>
                <w:highlight w:val="none"/>
                <w:u w:val="single"/>
                <w:lang w:val="en-US" w:eastAsia="zh-CN"/>
              </w:rPr>
              <w:t>等费用</w:t>
            </w:r>
            <w:r>
              <w:rPr>
                <w:rFonts w:hint="eastAsia" w:ascii="楷体" w:hAnsi="楷体" w:eastAsia="楷体" w:cs="宋体"/>
                <w:b/>
                <w:bCs/>
                <w:spacing w:val="-2"/>
                <w:sz w:val="18"/>
                <w:szCs w:val="18"/>
                <w:highlight w:val="none"/>
                <w:u w:val="single"/>
              </w:rPr>
              <w:t>情况，</w:t>
            </w:r>
            <w:r>
              <w:rPr>
                <w:rFonts w:ascii="楷体" w:hAnsi="楷体" w:eastAsia="楷体" w:cs="宋体"/>
                <w:b/>
                <w:bCs/>
                <w:spacing w:val="-2"/>
                <w:sz w:val="18"/>
                <w:szCs w:val="18"/>
                <w:highlight w:val="none"/>
                <w:u w:val="single"/>
              </w:rPr>
              <w:t>模拟测算得出</w:t>
            </w:r>
            <w:r>
              <w:rPr>
                <w:rFonts w:hint="eastAsia" w:ascii="楷体" w:hAnsi="楷体" w:eastAsia="楷体" w:cs="宋体"/>
                <w:b/>
                <w:bCs/>
                <w:spacing w:val="-2"/>
                <w:sz w:val="18"/>
                <w:szCs w:val="18"/>
                <w:highlight w:val="none"/>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b/>
                <w:bCs/>
                <w:spacing w:val="-2"/>
                <w:sz w:val="18"/>
                <w:szCs w:val="18"/>
                <w:highlight w:val="none"/>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highlight w:val="none"/>
                <w:u w:val="single"/>
              </w:rPr>
              <w:t>。</w:t>
            </w:r>
            <w:r>
              <w:rPr>
                <w:rFonts w:hint="eastAsia" w:ascii="楷体" w:hAnsi="楷体" w:eastAsia="楷体" w:cs="宋体"/>
                <w:spacing w:val="-2"/>
                <w:kern w:val="0"/>
                <w:sz w:val="18"/>
                <w:szCs w:val="18"/>
                <w:highlight w:val="none"/>
                <w:lang w:val="en-US" w:eastAsia="zh-CN" w:bidi="ar-SA"/>
              </w:rPr>
              <w:t>各类份额最新投资周期（2026年8月12日-2027年9月2日）业绩比较基准如下：</w:t>
            </w:r>
          </w:p>
          <w:p>
            <w:pPr>
              <w:pStyle w:val="34"/>
              <w:keepNext w:val="0"/>
              <w:keepLines w:val="0"/>
              <w:pageBreakBefore w:val="0"/>
              <w:widowControl w:val="0"/>
              <w:numPr>
                <w:ilvl w:val="0"/>
                <w:numId w:val="0"/>
              </w:numPr>
              <w:kinsoku/>
              <w:wordWrap/>
              <w:overflowPunct w:val="0"/>
              <w:topLinePunct w:val="0"/>
              <w:autoSpaceDE w:val="0"/>
              <w:autoSpaceDN w:val="0"/>
              <w:bidi w:val="0"/>
              <w:adjustRightInd w:val="0"/>
              <w:snapToGrid/>
              <w:spacing w:line="0" w:lineRule="atLeast"/>
              <w:ind w:left="0" w:leftChars="0" w:right="0" w:rightChars="0"/>
              <w:jc w:val="both"/>
              <w:textAlignment w:val="auto"/>
              <w:rPr>
                <w:rFonts w:hint="default" w:ascii="楷体" w:hAnsi="楷体" w:eastAsia="楷体" w:cs="宋体"/>
                <w:spacing w:val="-2"/>
                <w:kern w:val="0"/>
                <w:sz w:val="18"/>
                <w:szCs w:val="18"/>
                <w:highlight w:val="none"/>
                <w:lang w:val="en-US" w:eastAsia="zh-CN" w:bidi="ar-SA"/>
              </w:rPr>
            </w:pPr>
            <w:r>
              <w:rPr>
                <w:rFonts w:ascii="楷体" w:hAnsi="楷体" w:eastAsia="楷体"/>
                <w:sz w:val="18"/>
              </w:rPr>
              <w:t>A份额2.40%-3.00%</w:t>
            </w:r>
            <w:r>
              <w:rPr>
                <w:rFonts w:hint="eastAsia" w:ascii="楷体" w:hAnsi="楷体" w:eastAsia="楷体"/>
                <w:sz w:val="18"/>
                <w:lang w:eastAsia="zh-CN"/>
              </w:rPr>
              <w:t>；</w:t>
            </w:r>
            <w:r>
              <w:rPr>
                <w:rFonts w:ascii="楷体" w:hAnsi="楷体" w:eastAsia="楷体"/>
                <w:sz w:val="18"/>
              </w:rPr>
              <w:t>B份额2.43%-3.03%</w:t>
            </w:r>
            <w:r>
              <w:rPr>
                <w:rFonts w:hint="eastAsia" w:ascii="楷体" w:hAnsi="楷体" w:eastAsia="楷体"/>
                <w:sz w:val="18"/>
                <w:lang w:eastAsia="zh-CN"/>
              </w:rPr>
              <w:t>；</w:t>
            </w:r>
            <w:r>
              <w:rPr>
                <w:rFonts w:ascii="楷体" w:hAnsi="楷体" w:eastAsia="楷体"/>
                <w:sz w:val="18"/>
              </w:rPr>
              <w:t>C份额2.45%-3.05%</w:t>
            </w:r>
            <w:r>
              <w:rPr>
                <w:rFonts w:hint="eastAsia" w:ascii="楷体" w:hAnsi="楷体" w:eastAsia="楷体"/>
                <w:sz w:val="18"/>
                <w:lang w:eastAsia="zh-CN"/>
              </w:rPr>
              <w:t>；</w:t>
            </w:r>
            <w:r>
              <w:rPr>
                <w:rFonts w:ascii="楷体" w:hAnsi="楷体" w:eastAsia="楷体"/>
                <w:sz w:val="18"/>
              </w:rPr>
              <w:t>D份额2.55%-3.15%</w:t>
            </w:r>
            <w:r>
              <w:rPr>
                <w:rFonts w:hint="eastAsia" w:ascii="楷体" w:hAnsi="楷体" w:eastAsia="楷体"/>
                <w:sz w:val="18"/>
                <w:lang w:eastAsia="zh-CN"/>
              </w:rPr>
              <w:t>；</w:t>
            </w:r>
            <w:r>
              <w:rPr>
                <w:rFonts w:ascii="楷体" w:hAnsi="楷体" w:eastAsia="楷体"/>
                <w:sz w:val="18"/>
              </w:rPr>
              <w:t>F份额2.40%-3.00%</w:t>
            </w:r>
            <w:r>
              <w:rPr>
                <w:rFonts w:hint="eastAsia" w:ascii="楷体" w:hAnsi="楷体" w:eastAsia="楷体"/>
                <w:sz w:val="18"/>
                <w:lang w:eastAsia="zh-CN"/>
              </w:rPr>
              <w:t>；</w:t>
            </w:r>
            <w:r>
              <w:rPr>
                <w:rFonts w:ascii="楷体" w:hAnsi="楷体" w:eastAsia="楷体"/>
                <w:sz w:val="18"/>
              </w:rPr>
              <w:t>G份额2.43%-3.03%</w:t>
            </w:r>
            <w:r>
              <w:rPr>
                <w:rFonts w:hint="eastAsia" w:ascii="楷体" w:hAnsi="楷体" w:eastAsia="楷体"/>
                <w:sz w:val="18"/>
                <w:lang w:eastAsia="zh-CN"/>
              </w:rPr>
              <w:t>；</w:t>
            </w:r>
            <w:r>
              <w:rPr>
                <w:rFonts w:ascii="楷体" w:hAnsi="楷体" w:eastAsia="楷体"/>
                <w:sz w:val="18"/>
              </w:rPr>
              <w:t>J份额2.50%-3.10%</w:t>
            </w:r>
            <w:r>
              <w:rPr>
                <w:rFonts w:hint="eastAsia" w:ascii="楷体" w:hAnsi="楷体" w:eastAsia="楷体"/>
                <w:sz w:val="18"/>
                <w:lang w:eastAsia="zh-CN"/>
              </w:rPr>
              <w:t>；</w:t>
            </w:r>
            <w:r>
              <w:rPr>
                <w:rFonts w:ascii="楷体" w:hAnsi="楷体" w:eastAsia="楷体"/>
                <w:sz w:val="18"/>
              </w:rPr>
              <w:t>M份额2.55%-3.15%</w:t>
            </w:r>
            <w:r>
              <w:rPr>
                <w:rFonts w:hint="eastAsia" w:ascii="楷体" w:hAnsi="楷体" w:eastAsia="楷体"/>
                <w:sz w:val="18"/>
                <w:lang w:eastAsia="zh-CN"/>
              </w:rPr>
              <w:t>；</w:t>
            </w:r>
            <w:r>
              <w:rPr>
                <w:rFonts w:ascii="楷体" w:hAnsi="楷体" w:eastAsia="楷体"/>
                <w:sz w:val="18"/>
              </w:rPr>
              <w:t>P份额2.65%-3.25%</w:t>
            </w:r>
            <w:r>
              <w:rPr>
                <w:rFonts w:hint="eastAsia" w:ascii="楷体" w:hAnsi="楷体" w:eastAsia="楷体"/>
                <w:sz w:val="18"/>
                <w:lang w:eastAsia="zh-CN"/>
              </w:rPr>
              <w:t>；</w:t>
            </w:r>
            <w:r>
              <w:rPr>
                <w:rFonts w:ascii="楷体" w:hAnsi="楷体" w:eastAsia="楷体"/>
                <w:sz w:val="18"/>
              </w:rPr>
              <w:t>GS份额2.55%-3.15%</w:t>
            </w:r>
            <w:r>
              <w:rPr>
                <w:rFonts w:hint="eastAsia" w:ascii="楷体" w:hAnsi="楷体" w:eastAsia="楷体"/>
                <w:sz w:val="18"/>
                <w:lang w:eastAsia="zh-CN"/>
              </w:rPr>
              <w:t>；</w:t>
            </w:r>
            <w:r>
              <w:rPr>
                <w:rFonts w:ascii="楷体" w:hAnsi="楷体" w:eastAsia="楷体"/>
                <w:sz w:val="18"/>
              </w:rPr>
              <w:t>S份额2.50%-3.10%</w:t>
            </w:r>
            <w:r>
              <w:rPr>
                <w:rFonts w:hint="eastAsia" w:ascii="楷体" w:hAnsi="楷体" w:eastAsia="楷体"/>
                <w:sz w:val="18"/>
                <w:lang w:eastAsia="zh-CN"/>
              </w:rPr>
              <w:t>；</w:t>
            </w:r>
            <w:r>
              <w:rPr>
                <w:rFonts w:ascii="楷体" w:hAnsi="楷体" w:eastAsia="楷体"/>
                <w:sz w:val="18"/>
              </w:rPr>
              <w:t>U份额2.40%-3.00%</w:t>
            </w:r>
            <w:r>
              <w:rPr>
                <w:rFonts w:hint="eastAsia" w:ascii="楷体" w:hAnsi="楷体" w:eastAsia="楷体"/>
                <w:sz w:val="18"/>
                <w:lang w:eastAsia="zh-CN"/>
              </w:rPr>
              <w:t>；</w:t>
            </w:r>
            <w:r>
              <w:rPr>
                <w:rFonts w:ascii="楷体" w:hAnsi="楷体" w:eastAsia="楷体"/>
                <w:sz w:val="18"/>
              </w:rPr>
              <w:t>L份额2.50%-3.10%</w:t>
            </w:r>
            <w:r>
              <w:rPr>
                <w:rFonts w:hint="eastAsia" w:ascii="楷体" w:hAnsi="楷体" w:eastAsia="楷体"/>
                <w:sz w:val="18"/>
                <w:lang w:eastAsia="zh-CN"/>
              </w:rPr>
              <w:t>；</w:t>
            </w:r>
            <w:r>
              <w:rPr>
                <w:rFonts w:ascii="楷体" w:hAnsi="楷体" w:eastAsia="楷体"/>
                <w:sz w:val="18"/>
              </w:rPr>
              <w:t>Z份额2.40%-3.00%</w:t>
            </w:r>
            <w:r>
              <w:rPr>
                <w:rFonts w:hint="eastAsia" w:ascii="楷体" w:hAnsi="楷体" w:eastAsia="楷体"/>
                <w:sz w:val="18"/>
                <w:lang w:eastAsia="zh-CN"/>
              </w:rPr>
              <w:t>；</w:t>
            </w:r>
            <w:r>
              <w:rPr>
                <w:rFonts w:ascii="楷体" w:hAnsi="楷体" w:eastAsia="楷体"/>
                <w:sz w:val="18"/>
              </w:rPr>
              <w:t>Z1份额2.50%-3.10%</w:t>
            </w:r>
            <w:r>
              <w:rPr>
                <w:rFonts w:hint="eastAsia" w:ascii="楷体" w:hAnsi="楷体" w:eastAsia="楷体"/>
                <w:sz w:val="18"/>
                <w:lang w:eastAsia="zh-CN"/>
              </w:rPr>
              <w:t>；</w:t>
            </w:r>
            <w:r>
              <w:rPr>
                <w:rFonts w:ascii="楷体" w:hAnsi="楷体" w:eastAsia="楷体"/>
                <w:sz w:val="18"/>
              </w:rPr>
              <w:t>Z2份额2.55%-3.15%</w:t>
            </w:r>
            <w:r>
              <w:rPr>
                <w:rFonts w:hint="eastAsia" w:ascii="楷体" w:hAnsi="楷体" w:eastAsia="楷体"/>
                <w:sz w:val="18"/>
                <w:lang w:eastAsia="zh-CN"/>
              </w:rPr>
              <w:t>；</w:t>
            </w:r>
            <w:r>
              <w:rPr>
                <w:rFonts w:ascii="楷体" w:hAnsi="楷体" w:eastAsia="楷体"/>
                <w:sz w:val="18"/>
              </w:rPr>
              <w:t>ZA份额2.40%-3.00%</w:t>
            </w:r>
            <w:r>
              <w:rPr>
                <w:rFonts w:hint="eastAsia" w:ascii="楷体" w:hAnsi="楷体" w:eastAsia="楷体"/>
                <w:sz w:val="18"/>
                <w:lang w:eastAsia="zh-CN"/>
              </w:rPr>
              <w:t>；</w:t>
            </w:r>
            <w:r>
              <w:rPr>
                <w:rFonts w:ascii="楷体" w:hAnsi="楷体" w:eastAsia="楷体"/>
                <w:sz w:val="18"/>
              </w:rPr>
              <w:t>ZF份额2.40%-3.00%</w:t>
            </w:r>
            <w:r>
              <w:rPr>
                <w:rFonts w:hint="eastAsia" w:ascii="楷体" w:hAnsi="楷体" w:eastAsia="楷体"/>
                <w:sz w:val="18"/>
                <w:lang w:eastAsia="zh-CN"/>
              </w:rPr>
              <w:t>；</w:t>
            </w:r>
            <w:r>
              <w:rPr>
                <w:rFonts w:ascii="楷体" w:hAnsi="楷体" w:eastAsia="楷体"/>
                <w:sz w:val="18"/>
              </w:rPr>
              <w:t>ZF2份额2.55%-3.15%</w:t>
            </w:r>
            <w:r>
              <w:rPr>
                <w:rFonts w:hint="eastAsia" w:ascii="楷体" w:hAnsi="楷体" w:eastAsia="楷体"/>
                <w:sz w:val="18"/>
                <w:lang w:eastAsia="zh-CN"/>
              </w:rPr>
              <w:t>；</w:t>
            </w:r>
            <w:r>
              <w:rPr>
                <w:rFonts w:ascii="楷体" w:hAnsi="楷体" w:eastAsia="楷体"/>
                <w:sz w:val="18"/>
              </w:rPr>
              <w:t>ZF3份额2.45%-3.05%</w:t>
            </w:r>
            <w:r>
              <w:rPr>
                <w:rFonts w:hint="eastAsia" w:ascii="楷体" w:hAnsi="楷体" w:eastAsia="楷体"/>
                <w:sz w:val="18"/>
                <w:lang w:eastAsia="zh-CN"/>
              </w:rPr>
              <w:t>；</w:t>
            </w:r>
            <w:r>
              <w:rPr>
                <w:rFonts w:ascii="楷体" w:hAnsi="楷体" w:eastAsia="楷体"/>
                <w:sz w:val="18"/>
              </w:rPr>
              <w:t>ZF4份额2.60%-3.20%</w:t>
            </w:r>
            <w:r>
              <w:rPr>
                <w:rFonts w:hint="eastAsia" w:ascii="楷体" w:hAnsi="楷体" w:eastAsia="楷体"/>
                <w:sz w:val="18"/>
                <w:lang w:eastAsia="zh-CN"/>
              </w:rPr>
              <w:t>；</w:t>
            </w:r>
            <w:r>
              <w:rPr>
                <w:rFonts w:ascii="楷体" w:hAnsi="楷体" w:eastAsia="楷体"/>
                <w:sz w:val="18"/>
              </w:rPr>
              <w:t>ZF5份额2.50%-3.10%</w:t>
            </w:r>
            <w:r>
              <w:rPr>
                <w:rFonts w:hint="eastAsia" w:ascii="楷体" w:hAnsi="楷体" w:eastAsia="楷体"/>
                <w:sz w:val="18"/>
                <w:lang w:eastAsia="zh-CN"/>
              </w:rPr>
              <w:t>；</w:t>
            </w:r>
            <w:r>
              <w:rPr>
                <w:rFonts w:ascii="楷体" w:hAnsi="楷体" w:eastAsia="楷体"/>
                <w:sz w:val="18"/>
              </w:rPr>
              <w:t>ZJ份额2.70%-3.30%</w:t>
            </w:r>
            <w:r>
              <w:rPr>
                <w:rFonts w:hint="eastAsia" w:ascii="楷体" w:hAnsi="楷体" w:eastAsia="楷体"/>
                <w:sz w:val="18"/>
                <w:lang w:eastAsia="zh-CN"/>
              </w:rPr>
              <w:t>；</w:t>
            </w:r>
            <w:r>
              <w:rPr>
                <w:rFonts w:ascii="楷体" w:hAnsi="楷体" w:eastAsia="楷体"/>
                <w:sz w:val="18"/>
              </w:rPr>
              <w:t>ZL份额2.55%-3.15%</w:t>
            </w:r>
            <w:r>
              <w:rPr>
                <w:rFonts w:hint="eastAsia" w:ascii="楷体" w:hAnsi="楷体" w:eastAsia="楷体"/>
                <w:sz w:val="18"/>
                <w:lang w:eastAsia="zh-CN"/>
              </w:rPr>
              <w:t>；</w:t>
            </w:r>
            <w:r>
              <w:rPr>
                <w:rFonts w:hint="eastAsia" w:ascii="楷体" w:hAnsi="楷体" w:eastAsia="楷体"/>
                <w:sz w:val="18"/>
              </w:rPr>
              <w:t>天府·优选份额</w:t>
            </w:r>
            <w:r>
              <w:rPr>
                <w:rFonts w:ascii="楷体" w:hAnsi="楷体" w:eastAsia="楷体"/>
                <w:sz w:val="18"/>
              </w:rPr>
              <w:t>2.55%-3.15%</w:t>
            </w:r>
            <w:r>
              <w:rPr>
                <w:rFonts w:hint="eastAsia" w:ascii="楷体" w:hAnsi="楷体" w:eastAsia="楷体"/>
                <w:sz w:val="18"/>
                <w:lang w:eastAsia="zh-CN"/>
              </w:rPr>
              <w:t>；</w:t>
            </w:r>
            <w:r>
              <w:rPr>
                <w:rFonts w:ascii="楷体" w:hAnsi="楷体" w:eastAsia="楷体"/>
                <w:sz w:val="18"/>
              </w:rPr>
              <w:t>ZN份额2.55%-3.15%</w:t>
            </w:r>
            <w:r>
              <w:rPr>
                <w:rFonts w:hint="eastAsia" w:ascii="楷体" w:hAnsi="楷体" w:eastAsia="楷体"/>
                <w:sz w:val="18"/>
                <w:lang w:eastAsia="zh-CN"/>
              </w:rPr>
              <w:t>；</w:t>
            </w:r>
            <w:r>
              <w:rPr>
                <w:rFonts w:ascii="楷体" w:hAnsi="楷体" w:eastAsia="楷体"/>
                <w:sz w:val="18"/>
              </w:rPr>
              <w:t>ZQ份额2.40%-3.00%</w:t>
            </w:r>
            <w:r>
              <w:rPr>
                <w:rFonts w:hint="eastAsia" w:ascii="楷体" w:hAnsi="楷体" w:eastAsia="楷体"/>
                <w:sz w:val="18"/>
                <w:lang w:eastAsia="zh-CN"/>
              </w:rPr>
              <w:t>；</w:t>
            </w:r>
            <w:r>
              <w:rPr>
                <w:rFonts w:ascii="楷体" w:hAnsi="楷体" w:eastAsia="楷体"/>
                <w:sz w:val="18"/>
              </w:rPr>
              <w:t>ZC份额2.45%-3.05%</w:t>
            </w:r>
            <w:r>
              <w:rPr>
                <w:rFonts w:hint="eastAsia" w:ascii="楷体" w:hAnsi="楷体" w:eastAsia="楷体"/>
                <w:sz w:val="18"/>
                <w:lang w:eastAsia="zh-CN"/>
              </w:rPr>
              <w:t>；</w:t>
            </w:r>
            <w:r>
              <w:rPr>
                <w:rFonts w:ascii="楷体" w:hAnsi="楷体" w:eastAsia="楷体"/>
                <w:sz w:val="18"/>
              </w:rPr>
              <w:t>ZK份额2.55%-3.15%</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 0.55%，B份额 0.55%，C份额 0.55%，D份额 0.55%，F份额 0.65%，G份额 0.55%，J份额 0.55%，M份额 0.55%，P份额 0.45%，GS份额 0.55%，S份额 0.65%，U份额 0.60%，L份额 0.52%，Z份额 0.70%，Z1份额 0.60%，Z2份额 0.55%，ZA份额 0.65%，ZF份额 0.65%，ZF2份额 0.60%，ZF3份额 0.65%，ZF4份额 0.55%，ZF5份额 0.65%，ZJ份额 0.45%，ZL份额 0.50%，</w:t>
            </w:r>
            <w:r>
              <w:rPr>
                <w:rFonts w:hint="eastAsia" w:ascii="楷体" w:hAnsi="楷体" w:eastAsia="楷体"/>
                <w:sz w:val="18"/>
              </w:rPr>
              <w:t>天府·优选份额</w:t>
            </w:r>
            <w:r>
              <w:rPr>
                <w:rFonts w:hint="eastAsia" w:ascii="楷体" w:hAnsi="楷体" w:eastAsia="楷体" w:cs="宋体"/>
                <w:color w:val="auto"/>
                <w:spacing w:val="-2"/>
                <w:sz w:val="18"/>
                <w:szCs w:val="18"/>
                <w:highlight w:val="none"/>
                <w:lang w:val="en-US" w:eastAsia="zh-CN"/>
              </w:rPr>
              <w:t xml:space="preserve"> 0.65%，ZN份额 0.55%，ZQ份额 0.65%，ZC份额 0.60%，ZK份额 0.50%。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 0.80%，B份额 0.77%，C份额 0.75%，D份额 0.65%，F份额 0.70%，G份额 0.77%，J份额 0.70%，M份额 0.65%，P份额 0.65%，GS份额 0.65%，S份额 0.60%，U份额 0.75%，L份额 0.73%，Z份额 0.65%，Z1份额 0.65%，Z2份额 0.65%，ZA份额 0.70%，ZF份额 0.70%，ZF2份额 0.60%，ZF3份额 0.65%，ZF4份额 0.60%，ZF5份额 0.60%，ZJ份额 0.60%，ZL份额 0.70%，</w:t>
            </w:r>
            <w:r>
              <w:rPr>
                <w:rFonts w:hint="eastAsia" w:ascii="楷体" w:hAnsi="楷体" w:eastAsia="楷体"/>
                <w:sz w:val="18"/>
              </w:rPr>
              <w:t>天府·优选份额</w:t>
            </w:r>
            <w:r>
              <w:rPr>
                <w:rFonts w:hint="eastAsia" w:ascii="楷体" w:hAnsi="楷体" w:eastAsia="楷体" w:cs="宋体"/>
                <w:color w:val="auto"/>
                <w:spacing w:val="-2"/>
                <w:sz w:val="18"/>
                <w:szCs w:val="18"/>
                <w:highlight w:val="none"/>
                <w:lang w:val="en-US" w:eastAsia="zh-CN"/>
              </w:rPr>
              <w:t xml:space="preserve"> 0.55%，ZN份额 0.65%，ZQ份额 0.70%，ZC份额 0.70%，ZK份额 0.70%。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highlight w:val="none"/>
              </w:rPr>
            </w:pPr>
            <w:r>
              <w:rPr>
                <w:rFonts w:hint="eastAsia" w:ascii="楷体" w:hAnsi="楷体" w:eastAsia="楷体" w:cs="宋体"/>
                <w:b/>
                <w:spacing w:val="-2"/>
                <w:sz w:val="18"/>
                <w:szCs w:val="18"/>
                <w:highlight w:val="none"/>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highlight w:val="none"/>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本产品按投资周期进行现金分红</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highlight w:val="none"/>
              </w:rPr>
              <w:t>详见下文</w:t>
            </w:r>
            <w:r>
              <w:rPr>
                <w:rFonts w:hint="eastAsia" w:ascii="楷体" w:hAnsi="楷体" w:eastAsia="楷体" w:cs="宋体"/>
                <w:spacing w:val="-2"/>
                <w:sz w:val="18"/>
                <w:szCs w:val="18"/>
                <w:highlight w:val="none"/>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highlight w:val="none"/>
                <w:lang w:val="en-US"/>
              </w:rPr>
            </w:pPr>
            <w:r>
              <w:rPr>
                <w:rFonts w:hint="eastAsia" w:ascii="楷体" w:hAnsi="楷体" w:eastAsia="楷体" w:cs="宋体"/>
                <w:b/>
                <w:color w:val="auto"/>
                <w:spacing w:val="-2"/>
                <w:sz w:val="18"/>
                <w:szCs w:val="18"/>
                <w:highlight w:val="none"/>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w:t>
            </w:r>
            <w:r>
              <w:rPr>
                <w:rFonts w:hint="eastAsia" w:ascii="楷体" w:hAnsi="楷体" w:eastAsia="楷体" w:cs="宋体"/>
                <w:color w:val="auto"/>
                <w:spacing w:val="-2"/>
                <w:sz w:val="18"/>
                <w:szCs w:val="18"/>
                <w:highlight w:val="none"/>
                <w:shd w:val="clear" w:fill="auto"/>
                <w:lang w:val="en-US" w:eastAsia="zh-CN"/>
              </w:rPr>
              <w:t>产品</w:t>
            </w:r>
            <w:r>
              <w:rPr>
                <w:rFonts w:hint="eastAsia" w:ascii="楷体" w:hAnsi="楷体" w:eastAsia="楷体" w:cs="宋体"/>
                <w:color w:val="auto"/>
                <w:spacing w:val="-2"/>
                <w:sz w:val="18"/>
                <w:szCs w:val="18"/>
                <w:highlight w:val="none"/>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本产品管理人为</w:t>
      </w:r>
      <w:r>
        <w:rPr>
          <w:rFonts w:hint="eastAsia" w:ascii="楷体" w:hAnsi="楷体" w:eastAsia="楷体" w:cs="Calibri"/>
          <w:b/>
          <w:bCs/>
          <w:sz w:val="21"/>
          <w:szCs w:val="21"/>
          <w:highlight w:val="none"/>
          <w:u w:val="single"/>
        </w:rPr>
        <w:t>苏银理财有限责任公司</w:t>
      </w:r>
      <w:r>
        <w:rPr>
          <w:rFonts w:hint="eastAsia" w:ascii="楷体" w:hAnsi="楷体" w:eastAsia="楷体" w:cs="Calibri"/>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highlight w:val="none"/>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highlight w:val="none"/>
          <w:u w:val="single"/>
          <w:lang w:val="en-US" w:eastAsia="zh-CN"/>
        </w:rPr>
        <w:t>江苏银行股份有限</w:t>
      </w:r>
      <w:r>
        <w:rPr>
          <w:rFonts w:hint="eastAsia" w:ascii="楷体" w:hAnsi="楷体" w:eastAsia="楷体" w:cs="Calibri"/>
          <w:b/>
          <w:bCs/>
          <w:sz w:val="21"/>
          <w:szCs w:val="21"/>
          <w:highlight w:val="none"/>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江苏江阴农村商业银行股份有限公司/江苏如皋农村商业银行股份有限公司/江苏高淳农村商业银行股份有限公司/江苏扬州农村商业银行股份有限公司/江苏句容农村商业银行股份有限公司/江苏南通农村商业银行股份有限公司/江苏阜宁农村商业银行股份有限公司/江苏丹阳农村商业银行股份有限公司/江苏高邮农村商业银行股份有限公司/江苏宜兴农村商业银行股份有限公司/江苏扬中农村商业银行股份有限公司/江苏靖江农村商业银行股份有限公司/江苏海安农村商业银行股份有限公司/江苏涟水农村商业银行股份有限公司/江苏仪征农村商业银行股份有限公司/江苏溧水农村商业银行股份有限公司/江苏盱眙农村商业银行股份有限公司/江苏紫金农村商业银行股份有限公司/江苏泰兴农村商业银行股份有限公司/江苏东台农村商业银行股份有限公司/江苏银行股份有限公司/江苏邳州农村商业银行股份有限公司/九江银行股份有限公司/江苏沭阳农村商业银行股份有限公司/江苏淮安农村商业银行股份有限公司/江苏如东农村商业银行股份有限公司/江苏洪泽农村商业银行股份有限公司/江苏新沂农村商业银行股份有限公司/宁波东海银行股份有限公司/齐鲁银行股份有限公司/上海农村商业银行股份有限公司/上海银行股份有限公司/苏银理财有限责任公司/威海银行股份有限公司/兴业银行股份有限公司钱大/徐州农村商业银行股份有限公司/兴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B份额:江苏苏州农村商业银行股份有限公司/江苏如皋农村商业银行股份有限公司/江苏高淳农村商业银行股份有限公司/江苏常熟农村商业银行股份有限公司/江苏扬州农村商业银行股份有限公司/江苏句容农村商业银行股份有限公司/江苏南通农村商业银行股份有限公司/江苏阜宁农村商业银行股份有限公司/江苏丹阳农村商业银行股份有限公司/江苏高邮农村商业银行股份有限公司/江苏宜兴农村商业银行股份有限公司/江苏扬中农村商业银行股份有限公司/江苏靖江农村商业银行股份有限公司/江苏海安农村商业银行股份有限公司/江苏涟水农村商业银行股份有限公司/江苏仪征农村商业银行股份有限公司/江苏溧水农村商业银行股份有限公司/江苏盱眙农村商业银行股份有限公司/江苏紫金农村商业银行股份有限公司/江苏泰兴农村商业银行股份有限公司/江苏东台农村商业银行股份有限公司/江苏银行股份有限公司/江苏邳州农村商业银行股份有限公司/江苏沭阳农村商业银行股份有限公司/江苏淮安农村商业银行股份有限公司/江苏如东农村商业银行股份有限公司/江苏洪泽农村商业银行股份有限公司/江苏新沂农村商业银行股份有限公司/宁波东海银行股份有限公司/齐鲁银行股份有限公司/苏银理财有限责任公司/威海银行股份有限公司/兴业银行股份有限公司钱大/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C份额:江苏银行股份有限公司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D份额:江苏银行股份有限公司/江苏江阴农村商业银行股份有限公司/上海银行股份有限公司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F份额:北京农村商业银行股份有限公司/广州银行股份有限公司/广州农村商业银行股份有限公司/甘肃银行股份有限公司/杭州联合农村商业银行股份有限公司/华侨银行有限公司/九江银行股份有限公司/交通银行股份有限公司/宁波余姚农村商业银行股份有限公司/宁波慈溪农村商业银行股份有限公司/宁波通商银行股份有限公司/宁波镇海农村商业银行股份有限公司/日照银行股份有限公司/深圳农村商业银行股份有限公司/山西银行股份有限公司/苏州银行股份有限公司/天津滨海农村商业银行股份有限公司/台州银行股份有限公司/泰安银行股份有限公司/潍坊银行股份有限公司/兴业银行股份有限公司/浙江杭州余杭农村商业银行股份有限公司/浙江桐庐农村商业银行股份有限公司/浙江长兴农村商业银行股份有限公司/浙江乐清农村商业银行股份有限公司/浙商银行股份有限公司/浙江德清农村商业银行股份有限公司/浙江临海农村商业银行股份有限公司/中邮邮惠万家银行有限责任公司/浙江青田农村商业银行股份有限公司/浙江绍兴瑞丰农村商业银行股份有限公司/浙江泰顺农村商业银行股份有限公司/浙江永康农村商业银行股份有限公司/浙江永嘉农村商业银行股份有限公司/浙江嘉善农村商业银行股份有限公司/浙江海宁农村商业银行股份有限公司/浙江上虞农村商业银行股份有限公司/浙江温州龙湾农村商业银行股份有限公司/浙江岱山农村商业银行股份有限公司/浙江舟山定海海洋农村商业银行股份有限公司/浙江江山农村商业银行股份有限公司/浙江武义农村商业银行股份有限公司/浙江淳安农村商业银行股份有限公司/浙江开化农村商业银行股份有限公司/浙江萧山农村商业银行股份有限公司/浙江义乌农村商业银行股份有限公司/浙江温州瓯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份额:广州农村商业银行股份有限公司/徽商银行股份有限公司/杭州联合农村商业银行股份有限公司/宁波通商银行股份有限公司/山西银行股份有限公司/深圳农村商业银行股份有限公司/兴业银行股份有限公司/浙江绍兴瑞丰农村商业银行股份有限公司/浙江杭州余杭农村商业银行股份有限公司/浙商银行股份有限公司/浙江德清农村商业银行股份有限公司/浙江嘉善农村商业银行股份有限公司/浙江海宁农村商业银行股份有限公司/浙江温州瓯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J份额:江苏银行股份有限公司/江苏如皋农村商业银行股份有限公司/上海银行股份有限公司/威海银行股份有限公司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M份额:杭州联合农村商业银行股份有限公司/宁波通商银行股份有限公司/兴业银行股份有限公司/浙江萧山农村商业银行股份有限公司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P份额:甘肃银行股份有限公司/徽商银行股份有限公司/泰安银行股份有限公司/郑州银行股份有限公司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GS份额:甘肃银行股份有限公司/秦皇岛银行股份有限公司/日照银行股份有限公司/兰州银行股份有限公司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S份额:晋商银行股份有限公司/山西银行股份有限公司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U份额:徽商银行股份有限公司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L份额:深圳农村商业银行股份有限公司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Z份额:江苏东台农村商业银行股份有限公司/上海农村商业银行股份有限公司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Z1份额:上海农村商业银行股份有限公司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Z2份额:上海农村商业银行股份有限公司    </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ZA份额:江苏江都农村商业银行股份有限公司/江苏灌南农村商业银行股份有限公司/江苏苏州农村商业银行股份有限公司/江苏建湖农村商业银行股份有限公司/江苏如皋农村商业银行股份有限公司/江苏高淳农村商业银行股份有限公司/江苏常熟农村商业银行股份有限公司/江苏启东农村商业银行股份有限公司/江苏扬州农村商业银行股份有限公司/江苏姜堰农村商业银行股份有限公司/江苏金湖农村商业银行股份有限公司/江苏句容农村商业银行股份有限公司/江苏响水农村商业银行股份有限公司/江苏丰县农村商业银行股份有限公司/江苏南通农村商业银行股份有限公司/江苏阜宁农村商业银行股份有限公司/江苏丹阳农村商业银行股份有限公司/江苏高邮农村商业银行股份有限公司/江苏宜兴农村商业银行股份有限公司/江苏扬中农村商业银行股份有限公司/江苏泗洪农村商业银行股份有限公司/江苏靖江农村商业银行股份有限公司/江苏镇江农村商业银行股份有限公司/江苏涟水农村商业银行股份有限公司/江苏海安农村商业银行股份有限公司/江苏仪征农村商业银行股份有限公司/江苏民丰农村商业银行股份有限公司/江苏溧水农村商业银行股份有限公司/江苏睢宁农村商业银行股份有限公司/江苏东海农村商业银行股份有限公司/江苏盐城农村商业银行股份有限公司/江苏盱眙农村商业银行股份有限公司/江苏紫金农村商业银行股份有限公司/江苏泰兴农村商业银行股份有限公司/江苏东台农村商业银行股份有限公司/江苏大丰农村商业银行股份有限公司/江苏灌云农村商业银行股份有限公司/江苏邳州农村商业银行股份有限公司/江苏泗阳农村商业银行股份有限公司/江苏沭阳农村商业银行股份有限公司/江苏淮安农村商业银行股份有限公司/江苏如东农村商业银行股份有限公司/江苏洪泽农村商业银行股份有限公司/江苏海门农村商业银行股份有限公司/江苏新沂农村商业银行股份有限公司/连云港东方农村商业银行股份有限公司/宁波东海银行股份有限公司/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份额:汉口银行股份有限公司/河北银行股份有限公司/嘉兴银行股份有限公司/江苏江南农村商业银行股份有限公司/江苏张家港农村商业银行股份有限公司/莱商银行股份有限公司/宁波余姚农村商业银行股份有限公司/宁波慈溪农村商业银行股份有限公司/宁波甬城农村商业银行股份有限公司/宁波镇海农村商业银行股份有限公司/厦门银行股份有限公司/苏州银行股份有限公司/兴业银行股份有限公司/浙江杭州余杭农村商业银行股份有限公司/浙江嵊州农村商业银行股份有限公司/浙江德清农村商业银行股份有限公司/浙江临海农村商业银行股份有限公司/浙江东阳农村商业银行股份有限公司/浙江衢州柯城农村商业银行股份有限公司/浙江青田农村商业银行股份有限公司/浙江泰顺农村商业银行股份有限公司/浙江永康农村商业银行股份有限公司/浙江新昌农村商业银行股份有限公司/浙江嘉善农村商业银行股份有限公司/浙江临安农村商业银行股份有限公司/浙江上虞农村商业银行股份有限公司/浙江温州龙湾农村商业银行股份有限公司/浙江岱山农村商业银行股份有限公司/浙江衢州衢江农村商业银行股份有限公司/浙江江山农村商业银行股份有限公司/浙江武义农村商业银行股份有限公司/浙江开化农村商业银行股份有限公司/浙江萧山农村商业银行股份有限公司/浙江浦江农村商业银行股份有限公司/浙江龙泉农村商业银行股份有限公司/浙江义乌农村商业银行股份有限公司/浙江兰溪农村商业银行股份有限公司/浙江温岭农村商业银行股份有限公司/浙江南浔农村商业银行股份有限公司/浙江民泰商业银行股份有限公司/浙江温州瓯海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ZF2份额:石嘴山银行股份有限公司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3份额:江门农村商业银行股份有限公司/浙江青田农村商业银行股份有限公司/浙江浦江农村商业银行股份有限公司/浙江嵊州农村商业银行股份有限公司/浙江龙泉农村商业银行股份有限公司/浙江衢州柯城农村商业银行股份有限公司/浙江衢州衢江农村商业银行股份有限公司/浙江南浔农村商业银行股份有限公司/浙江兰溪农村商业银行股份有限公司/浙江泰顺农村商业银行股份有限公司/浙江武义农村商业银行股份有限公司/中山农村商业银行股份有限公司/浙江开化农村商业银行股份有限公司/浙江新昌农村商业银行股份有限公司/浙江东阳农村商业银行股份有限公司/浙江临海农村商业银行股份有限公司/浙江松阳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ZF4份额:石嘴山银行股份有限公司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ZF5份额：嘉兴银行股份有限公司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sz w:val="21"/>
          <w:szCs w:val="21"/>
          <w:highlight w:val="none"/>
          <w:lang w:val="en-US" w:eastAsia="zh-CN"/>
        </w:rPr>
        <w:t>ZJ份额:湖州吴兴农村商业银行股份有限公司/宁波通商银行股份有限公司/苏银理财有限责任公司/泰安银行股份有限公司/浙江嵊州农村商业银行股份有限公司/浙江温州鹿城农村商业银行股份有限公司/浙江金华成泰农村商业银行股份有限公司/浙江长兴农村商业银行股份有限公司/浙江乐清农村商业银行股份有限公司/浙江舟山普陀农村商业银行股份有限公司/浙江德清农村商业银行股份有限公司/浙江东阳农村商业银行股份有限公司/浙江临海农村商业银行股份有限公司/浙江衢州柯城农村商业银行股份有限公司/浙江瑞安农村商业银行股份有限公司/浙江青田农村商业银行股份有限公司/浙江绍兴瑞丰农村商业银行股份有限公司/浙江绍兴恒信农村商业银行股份有限公司/浙江文成农村商业银行股份有限公司/浙江仙居农村商业银行股份有限公司/浙江泰顺农村商业银行股份有限公司/浙江永康农村商业银行股份有限公司/浙江永嘉农村商业银行股份有限公司/浙江新昌农村商业银行股份有限公司/浙江桐乡农村商业银行股份有限公司/浙江嘉善农村商业银行股份有限公司/浙江海宁农村商业银行股份有限公司/浙江上虞农村商业银行股份有限公司/浙江禾城农村商业银行股份有限公司/浙江温州龙湾农村商业银行股份有限公司/浙江岱山农村商业银行股份有限公司/浙江舟山定海海洋农村商业银行股份有限公司/浙江衢州衢江农村商业银行股份有限公司/浙江江山农村商业银行股份有限公司/浙江武义农村商业银行股份有限公司/浙江海盐农村商业银行股份有限公司/浙江开化农村商业银行股份有限公司/浙江遂昌农村商业银行股份有限公司/浙江台州黄岩农村商业银行股份有限公司/浙江龙游农村商业银行股份有限公司/浙江缙云农村商业银行股份有限公司/浙江浦江农村商业银行股份有限公司/浙江龙泉农村商业银行股份有限公司/浙江义乌农村商业银行股份有限公司/浙江兰溪农村商业银行股份有限公司/浙江温岭农村商业银行股份有限公司/浙江天台农村商业银行股份有限公司/浙江南浔农村商业银行股份有限公司/浙江台州路桥农村商业银行股份有限公司/浙江平湖农村商业银行股份有限公司/浙江安吉农村商业银行股份有限公司/浙江温州瓯海农村商业银行股份有限公司/浙江诸暨农村商业银行股份有限公司/浙江苍南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ZL份额:苏州银行股份有限公司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天府·优选份额:成都农村商业银行股份有限公司/苏银理财有限责任公司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ZN份额:广西北部湾银行股份有限公司/河北银行股份有限公司/宁波通商银行股份有限公司/浙江萧山农村商业银行股份有限公司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ZQ份额:江苏苏州农村商业银行股份有限公司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C份额:江苏江都农村商业银行股份有限公司/江苏灌南农村商业银行股份有限公司/江苏建湖农村商业银行股份有限公司/江苏如皋农村商业银行股份有限公司/江苏高淳农村商业银行股份有限公司/江苏常熟农村商业银行股份有限公司/江苏扬州农村商业银行股份有限公司/江苏姜堰农村商业银行股份有限公司/江苏兴化农村商业银行股份有限公司/江苏响水农村商业银行股份有限公司/江苏阜宁农村商业银行股份有限公司/江苏丹阳农村商业银行股份有限公司/江苏高邮农村商业银行股份有限公司/江苏宜兴农村商业银行股份有限公司/江苏海安农村商业银行股份有限公司/江苏仪征农村商业银行股份有限公司/江苏民丰农村商业银行股份有限公司/江苏溧水农村商业银行股份有限公司/江苏东海农村商业银行股份有限公司/江苏盐城农村商业银行股份有限公司/江苏紫金农村商业银行股份有限公司/江苏泰兴农村商业银行股份有限公司/江苏东台农村商业银行股份有限公司/江苏大丰农村商业银行股份有限公司/江苏泗阳农村商业银行股份有限公司/江苏沛县农村商业银行股份有限公司/江苏滨海农村商业银行股份有限公司/江苏如东农村商业银行股份有限公司/江苏新沂农村商业银行股份有限公司/连云港东方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K份额:江苏江都农村商业银行股份有限公司/江苏灌南农村商业银行股份有限公司/江苏建湖农村商业银行股份有限公司/江苏如皋农村商业银行股份有限公司/江苏高淳农村商业银行股份有限公司/江苏常熟农村商业银行股份有限公司/江苏扬州农村商业银行股份有限公司/江苏姜堰农村商业银行股份有限公司/江苏兴化农村商业银行股份有限公司/江苏响水农村商业银行股份有限公司/江苏南通农村商业银行股份有限公司/江苏阜宁农村商业银行股份有限公司/江苏丹阳农村商业银行股份有限公司/江苏高邮农村商业银行股份有限公司/江苏宜兴农村商业银行股份有限公司/江苏海安农村商业银行股份有限公司/江苏仪征农村商业银行股份有限公司/江苏民丰农村商业银行股份有限公司/江苏溧水农村商业银行股份有限公司/江苏盐城农村商业银行股份有限公司/江苏紫金农村商业银行股份有限公司/江苏泰兴农村商业银行股份有限公司/江苏东台农村商业银行股份有限公司/江苏大丰农村商业银行股份有限公司/江苏泗阳农村商业银行股份有限公司/江苏沛县农村商业银行股份有限公司/江苏滨海农村商业银行股份有限公司/江苏如东农村商业银行股份有限公司/江苏新沂农村商业银行股份有限公司/连云港东方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名词释义</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销售代码：指本理财产品可能设置一</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或多</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产品份额，管理人在理财产品销售管理过程中对各</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份额设置的</w:t>
      </w:r>
      <w:r>
        <w:rPr>
          <w:rFonts w:hint="eastAsia" w:ascii="楷体" w:hAnsi="楷体" w:eastAsia="楷体" w:cs="Calibri"/>
          <w:sz w:val="21"/>
          <w:szCs w:val="21"/>
          <w:highlight w:val="none"/>
          <w:lang w:val="en-US" w:eastAsia="zh-CN"/>
        </w:rPr>
        <w:t>内部代</w:t>
      </w:r>
      <w:r>
        <w:rPr>
          <w:rFonts w:hint="eastAsia" w:ascii="楷体" w:hAnsi="楷体" w:eastAsia="楷体" w:cs="Calibri"/>
          <w:sz w:val="21"/>
          <w:szCs w:val="21"/>
          <w:highlight w:val="none"/>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交易日：</w:t>
      </w:r>
      <w:r>
        <w:rPr>
          <w:rFonts w:ascii="楷体" w:hAnsi="楷体" w:eastAsia="楷体" w:cs="Calibri"/>
          <w:sz w:val="21"/>
          <w:szCs w:val="21"/>
          <w:highlight w:val="none"/>
        </w:rPr>
        <w:t>指上海证券交易所和深圳证券交易所的正常开盘交易日</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份额登记日/份额确认日：</w:t>
      </w:r>
      <w:r>
        <w:rPr>
          <w:rFonts w:hint="eastAsia" w:ascii="楷体" w:hAnsi="楷体" w:eastAsia="楷体" w:cs="Calibri"/>
          <w:color w:val="auto"/>
          <w:sz w:val="21"/>
          <w:szCs w:val="21"/>
          <w:highlight w:val="none"/>
        </w:rPr>
        <w:t>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投资管理</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本理财产品计划通过债券、非标准化债权类资产的配置获取稳健收益，同时适时适量配置银行存款，包括同业存</w:t>
      </w:r>
      <w:r>
        <w:rPr>
          <w:rFonts w:hint="eastAsia" w:ascii="楷体" w:hAnsi="楷体" w:eastAsia="楷体"/>
          <w:sz w:val="21"/>
          <w:szCs w:val="21"/>
          <w:highlight w:val="none"/>
          <w:lang w:val="en-US" w:eastAsia="zh-CN"/>
        </w:rPr>
        <w:t>款</w:t>
      </w:r>
      <w:r>
        <w:rPr>
          <w:rFonts w:hint="default" w:ascii="楷体" w:hAnsi="楷体" w:eastAsia="楷体"/>
          <w:sz w:val="21"/>
          <w:szCs w:val="21"/>
          <w:highlight w:val="none"/>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none"/>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7"/>
        </w:numPr>
        <w:ind w:firstLine="420" w:firstLineChars="20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非标准化债权类资产：融资人为绍兴市镜湖开发集团有限公司。融资人经营正常，是依法设立的国有公司，主要股东为绍兴市人民政府国有资产监督管理委员会，实际控制人为绍兴市人民政府国有资产监督管理委员会。（2）非标准化债权类资产：融资人为泰兴市城市投资发展集团有限公司。融资人经营正常，是依法设立的国有公司，主要股东为江苏平仲科技发展集团有限公司，实际控制人为泰兴市人民政府国有资产监督管理办公室。（3）非标准化债权类资产：融资人为湖州经开投资发展集团有限公司。融资人经营正常，是依法设立的国有公司，主要股东为湖州南太湖国有控股集团有限公司，实际控制人为湖州市人民政府国有资产监督管理委员会。（4）非标准化债权类资产：融资人为湖州吴兴城市投资发展集团有限公司。融资人经营正常，是依法设立的国有公司，主要股东为湖州吴兴国控投资运营发展集团有限公司，实际控制人为湖州市吴兴区财政局。（5）非标准化债权类资产：融资人为江苏皋开投资发展集团有限公司。融资人经营正常，是依法设立的国有公司，主要股东为如皋市人民政府，实际控制人为如皋市人民政府。（6）非标准化债权类资产：融资人为燕舞集团有限公司。融资人经营正常，是依法设立的国有公司，主要股东为盐城市人民政府、盐城市城市资产投资集团有限公司、江苏悦达集团有限公司，实际控制人为盐城市人民政府。（7）非标准化债权类资产：融资人为兰溪市城市投资集团有限公司。融资人经营正常，是依法设立的国有公司，主要股东为兰溪市城市发展集团有限公司，实际控制人为兰溪市人民政府国有资产监督管理办公室。（8）非标准化债权类资产：融资人为绍兴市越城区城市发展建设集团有限公司。融资人经营正常，是依法设立的国有公司，主要股东为绍兴市越城区财政局，实际控制人为绍兴市越城区财政局。（9）非标准化债权类资产：融资人为桐庐县城市建设投资集团有限公司。融资人经营正常，是依法设立的国有公司，主要股东为桐庐投资建设发展集团有限公司，实际控制人为桐庐县人民政府国有资产监督管理委员会。（10）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11）非标准化债权类资产：融资人为扬州新盛投资集团有限公司。融资人经营正常，是依法设立的国有公司，主要股东为扬州市城建国有资产控股(集团)有限责任公司、扬州易盛德产业投资集团有限公司、扬州市扬子江文旅投资发展集团有限责任公司，实际控制人为扬州市人民政府国有资产监督管理委员会。（12）非标准化债权类资产：融资人为张家港市高铁投资发展(集团)有限公司。融资人经营正常，是依法设立的国有公司，主要股东为张家港市交通控股有限公司、张家港市城市投资发展集团有限公司、张家港高新区投资控股有限公司，张家港市城镇发展集团有限公司，实际控制人为张家港市国有资产管理中心。（13）非标准化债权类资产：融资人为海安市城建开发投资集团有限公司。融资人经营正常，是依法设立的国有公司，主要股东为海安市政府国有资产监督管理办公室，实际控制人为海安市政府国有资产监督管理办公室。（14）非标准化债权类资产：融资人为徐州金龙湖控股集团有限公司。融资人经营正常，是依法设立的国有公司，主要股东为徐州市产业发展控股集团有限公司，实际控制人为徐州市人民政府国有资产监督管理委员会。（15）非标准化债权类资产：融资人为杭州富阳城市建设投资集团有限公司。融资人经营正常，是依法设立的国有公司，主要股东为杭州市富阳区人民政府国有资产监督管理办公室，实际控制人为杭州市富阳区人民政府国有资产监督管理办公室。（16）非标准化债权类资产：融资人为盐城市盐都区国有资产控股集团有限公司。融资人经营正常，是依法设立的国有公司，主要股东为盐城市盐都区政府国有资产监督管理办公室，实际控制人为盐城市盐都区政府国有资产监督管理办公室。（17）非标准化债权类资产：融资人为台州循环经济发展有限公司。融资人经营正常，是依法设立的国有公司，主要股东为台州市商贸核心区开发建设投资集团有限公司、台州市路桥公共资产投资管理集团有限公司、台州市城市建设投资发展集团有限公司，台州市开投城市开发有限公司，实际控制人为台州市人民政府。（18）非标准化债权类资产：融资人为泰州高教投资发展有限公司。融资人经营正常，是依法设立的国有公司，主要股东为泰州市城市建设投资控股有限公司、工银金融资产投资有限公司，实际控制人为泰州市政府国有资产监督管理委员会。（19）非标准化债权类资产：融资人为扬州江淮建设发展有限公司。融资人经营正常，是依法设立的国有公司，主要股东为扬州市国联控股集团有限公司，实际控制人为扬州市人民政府。（20）非标准化债权类资产：融资人为高邮市交通产业投资集团有限公司。融资人经营正常，是依法设立的国有公司，主要股东为高邮市国有资产投资管理控股(集团)有限公司，实际控制人为高邮市财政局(高邮市政府国有资产监督管理办公室)。（21）同业借款：融资人为中国中信金融资产管理股份有限公司。融资人经营正常，是依法成立的国有公司，主要股东为中国中信集团有限公司、财政局、中国融信私募基金有限公司，实际控制人为财政部。（22）同业借款：融资人为中国东方资产管理股份有限公司。融资人经营正常，是依法成立的国有公司，主要股东为中央汇金投资有限责任公司、全国社会保障基金理事会、中国电信集团有限公司，实际控制人为国务院。（23）同业借款：融资人为中国信达资产管理股份有限公司。融资人经营正常，是依法成立的国有公司，主要股东为中央汇金投资有限责任公司，实际控制人为国务院。（24）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25）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26）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27）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28）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29）收益凭证：融资人为华泰证券股份有限公司。融资人经营正常，是依法设立的持牌金融机构，主要股东为江苏省国信集团有限公司、香港中央结算（代理人）有限公司、江苏交通控股有限公司，无实际控制人。（30）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31）收益凭证：融资人为申万宏源证券有限公司。融资人经营正常，是依法设立的持牌金融机构，主要股东为申万宏源集团股份有限公司，实际控制人为中央汇金投资有限责任公司。（32）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33）收益凭证：融资人为浙商证券股份有限公司。融资人经营正常，是依法设立的持牌金融机构，主要股东为浙江上三高速公路有限公司、台州市金融投资集团有限公司，实际控制人为浙江省交通投资集团有限公司。（34）收益凭证：融资人为国投证券股份有限公司。融资人经营正常，是依法设立的持牌金融机构，主要股东为国投资本股份有限公司、上海毅胜投资有限公司，实际控制人为国家开发投资集团有限公司。（35）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36）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37）收益凭证：融资人为兴业证券股份有限公司。融资人经营正常，是依法设立的持牌金融机构，主要股东为福建省财政厅、福建省投资开发集团有限责任公司、上海申新（集团）有限公司，实际控制人为福建省财政厅。（38）收益凭证：融资人为财通证券股份有限公司。融资人经营正常，是依法设立的持牌金融机构，主要股东为浙江省创新投资集团有限公司、浙江省财开集团有限公司、台州市金融投资集团有限公司，实际控制人为浙江省财政厅。（39）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w:t>
      </w:r>
      <w:r>
        <w:rPr>
          <w:rFonts w:hint="eastAsia" w:ascii="楷体" w:hAnsi="楷体" w:eastAsia="楷体" w:cs="楷体"/>
          <w:color w:val="auto"/>
          <w:kern w:val="2"/>
          <w:sz w:val="21"/>
          <w:szCs w:val="21"/>
          <w:highlight w:val="none"/>
          <w:lang w:val="en-US" w:eastAsia="zh-CN" w:bidi="ar-SA"/>
        </w:rPr>
        <w:t>司。（40）收益凭证：融资人为东海证券股份有限公司。融资人经营正常，是依法设立的持牌金融机构，主要股东为常州投资集团有限公司、山东金控资本管理有限公司，实际控制人为常州投资集团有限公司。（41）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42）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43）收益凭证：融资人为长城证券股份有限公司。融资人经营正常，是依法设立的持牌金融机构，主要股东为华能资本服务有限公司、深圳新江南投资有限公司、深圳能源集团股份有限公司，实际控制人为中央汇金投资有限责任公司。（44）收益凭证：融资人为中国中金财富证券有限公司。融资人经营正常，是依法设立的持牌金融机构，主要股东为中国国际金融股份有限公司，实际控制人为中央汇金投资有限责任公司。（45）收益凭证：融资人为山西证券股份有限公司。融资人经营正常，是依法设立的持牌金融机构，主要股东为山西金融投资控股集团有限公司、太原钢铁（集团）有限公司、山西国际电力集团有限公司，实际控制人为山西省财政厅。（46）收益凭证：融资人为国都证券股份有限公司。融资人经营正常，是依法设立的持牌金融机构，主要股东为浙商证券股份有限公司、中诚信托有限责任公司、北京国际信托有限公司，实际控制人为浙江省交通投资集团有限公司。（47）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48）收益凭证：融资人为华鑫证券有限责任公司。融资人经营正常，是依法设立的持牌金融机构，主要股东为上海华鑫股份有限公司，实际控制人为上海市国有资产监督管理委员会。（49）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50）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51）收益凭证：融资人为广发证券股份有限公司。融资人经营正常，是依法设立的持牌金融机构，主要股东为香港中央结算（代理人）有限公司、吉林敖东药业集团股份有限公司、辽宁成大股份有限公司，无实际控制人。（52）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53）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keepNext w:val="0"/>
        <w:keepLines w:val="0"/>
        <w:pageBreakBefore w:val="0"/>
        <w:widowControl w:val="0"/>
        <w:numPr>
          <w:numId w:val="0"/>
        </w:numPr>
        <w:kinsoku/>
        <w:wordWrap/>
        <w:overflowPunct/>
        <w:topLinePunct w:val="0"/>
        <w:autoSpaceDE/>
        <w:autoSpaceDN/>
        <w:bidi w:val="0"/>
        <w:adjustRightInd/>
        <w:snapToGrid/>
        <w:ind w:firstLine="420" w:firstLineChars="200"/>
        <w:textAlignment w:val="auto"/>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（1）-（24）各资产到期日不超过理财产品投资周期终止日，定期付息、到期一次性还本；（25）-（53）各资产到期日不超过理财产品投资周期终止日，到期一次性还本付息。</w:t>
      </w:r>
      <w:bookmarkStart w:id="0" w:name="_GoBack"/>
      <w:bookmarkEnd w:id="0"/>
      <w:r>
        <w:rPr>
          <w:rFonts w:hint="eastAsia" w:ascii="楷体" w:hAnsi="楷体" w:eastAsia="楷体" w:cs="楷体"/>
          <w:color w:val="auto"/>
          <w:kern w:val="2"/>
          <w:sz w:val="21"/>
          <w:szCs w:val="21"/>
          <w:highlight w:val="none"/>
          <w:lang w:val="en-US" w:eastAsia="zh-CN" w:bidi="ar-SA"/>
        </w:rPr>
        <w:br w:type="textWrapping"/>
      </w:r>
      <w:r>
        <w:rPr>
          <w:rFonts w:hint="eastAsia" w:ascii="楷体" w:hAnsi="楷体" w:eastAsia="楷体" w:cs="楷体"/>
          <w:color w:val="auto"/>
          <w:kern w:val="2"/>
          <w:sz w:val="21"/>
          <w:szCs w:val="21"/>
          <w:highlight w:val="none"/>
          <w:lang w:val="en-US" w:eastAsia="zh-CN" w:bidi="ar-SA"/>
        </w:rPr>
        <w:t xml:space="preserve">    产品存续期内若本理财产品投资的非标准化债权类资产有所调整，管理人将选择优质企业作为融资人，且融资项目已履行管理人内部审批流程，融资人业务经营正常，融资项目还款来源明确，并在本理财产品的定期报告中披露。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numPr>
          <w:ilvl w:val="0"/>
          <w:numId w:val="0"/>
        </w:numPr>
        <w:ind w:firstLine="420" w:firstLineChars="200"/>
        <w:rPr>
          <w:rFonts w:hint="eastAsia" w:ascii="楷体" w:hAnsi="楷体" w:eastAsia="楷体"/>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r>
        <w:rPr>
          <w:rFonts w:hint="eastAsia" w:ascii="楷体" w:hAnsi="楷体" w:eastAsia="楷体"/>
          <w:sz w:val="21"/>
          <w:szCs w:val="21"/>
          <w:highlight w:val="none"/>
        </w:rPr>
        <w:t>：</w:t>
      </w:r>
    </w:p>
    <w:p>
      <w:pPr>
        <w:ind w:firstLine="420" w:firstLineChars="200"/>
        <w:rPr>
          <w:rFonts w:hint="eastAsia"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1 \* GB3 \* MERGEFORMAT </w:instrText>
      </w:r>
      <w:r>
        <w:rPr>
          <w:rFonts w:hint="default" w:ascii="Calibri" w:hAnsi="Calibri" w:eastAsia="楷体" w:cs="Calibri"/>
          <w:b w:val="0"/>
          <w:bCs w:val="0"/>
          <w:sz w:val="21"/>
          <w:szCs w:val="21"/>
          <w:highlight w:val="none"/>
        </w:rPr>
        <w:fldChar w:fldCharType="separate"/>
      </w:r>
      <w:r>
        <w:rPr>
          <w:highlight w:val="none"/>
        </w:rPr>
        <w:t>①</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江苏省国际信托有限责任公司</w:t>
      </w:r>
      <w:r>
        <w:rPr>
          <w:rFonts w:hint="eastAsia" w:ascii="楷体" w:hAnsi="楷体" w:eastAsia="楷体"/>
          <w:b w:val="0"/>
          <w:bCs w:val="0"/>
          <w:sz w:val="21"/>
          <w:szCs w:val="21"/>
          <w:highlight w:val="none"/>
          <w:lang w:eastAsia="zh-CN"/>
        </w:rPr>
        <w:t>：</w:t>
      </w:r>
      <w:r>
        <w:rPr>
          <w:rFonts w:hint="eastAsia" w:ascii="楷体" w:hAnsi="楷体" w:eastAsia="楷体"/>
          <w:b w:val="0"/>
          <w:bCs w:val="0"/>
          <w:sz w:val="21"/>
          <w:szCs w:val="21"/>
          <w:highlight w:val="none"/>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2 \* GB3 \* MERGEFORMAT </w:instrText>
      </w:r>
      <w:r>
        <w:rPr>
          <w:rFonts w:hint="default" w:ascii="Calibri" w:hAnsi="Calibri" w:eastAsia="楷体" w:cs="Calibri"/>
          <w:b w:val="0"/>
          <w:bCs w:val="0"/>
          <w:sz w:val="21"/>
          <w:szCs w:val="21"/>
          <w:highlight w:val="none"/>
        </w:rPr>
        <w:fldChar w:fldCharType="separate"/>
      </w:r>
      <w:r>
        <w:rPr>
          <w:highlight w:val="none"/>
        </w:rPr>
        <w:t>②</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创金合信基金管理有限公司</w:t>
      </w:r>
      <w:r>
        <w:rPr>
          <w:rFonts w:hint="eastAsia" w:ascii="楷体" w:hAnsi="楷体" w:eastAsia="楷体"/>
          <w:b w:val="0"/>
          <w:bCs w:val="0"/>
          <w:sz w:val="21"/>
          <w:szCs w:val="21"/>
          <w:highlight w:val="none"/>
          <w:lang w:eastAsia="zh-CN"/>
        </w:rPr>
        <w:t>：</w:t>
      </w:r>
      <w:r>
        <w:rPr>
          <w:rFonts w:ascii="楷体" w:hAnsi="楷体" w:eastAsia="楷体"/>
          <w:b w:val="0"/>
          <w:bCs w:val="0"/>
          <w:sz w:val="21"/>
          <w:szCs w:val="21"/>
          <w:highlight w:val="none"/>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b w:val="0"/>
          <w:bCs w:val="0"/>
          <w:sz w:val="21"/>
          <w:szCs w:val="21"/>
          <w:highlight w:val="none"/>
          <w:lang w:val="en-US" w:eastAsia="zh-CN"/>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3 \* GB3 \* MERGEFORMAT </w:instrText>
      </w:r>
      <w:r>
        <w:rPr>
          <w:rFonts w:hint="default" w:ascii="Calibri" w:hAnsi="Calibri" w:eastAsia="楷体" w:cs="Calibri"/>
          <w:b w:val="0"/>
          <w:bCs w:val="0"/>
          <w:sz w:val="21"/>
          <w:szCs w:val="21"/>
          <w:highlight w:val="none"/>
        </w:rPr>
        <w:fldChar w:fldCharType="separate"/>
      </w:r>
      <w:r>
        <w:rPr>
          <w:highlight w:val="none"/>
        </w:rPr>
        <w:t>③</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b w:val="0"/>
          <w:bCs w:val="0"/>
          <w:sz w:val="21"/>
          <w:szCs w:val="21"/>
          <w:highlight w:val="none"/>
          <w:lang w:val="en-US" w:eastAsia="zh-CN"/>
        </w:rPr>
      </w:pPr>
      <w:r>
        <w:rPr>
          <w:rFonts w:ascii="楷体" w:hAnsi="楷体" w:eastAsia="楷体"/>
          <w:b w:val="0"/>
          <w:bCs w:val="0"/>
          <w:sz w:val="21"/>
          <w:szCs w:val="21"/>
          <w:highlight w:val="none"/>
        </w:rPr>
        <w:fldChar w:fldCharType="begin"/>
      </w:r>
      <w:r>
        <w:rPr>
          <w:rFonts w:ascii="楷体" w:hAnsi="楷体" w:eastAsia="楷体"/>
          <w:b w:val="0"/>
          <w:bCs w:val="0"/>
          <w:sz w:val="21"/>
          <w:szCs w:val="21"/>
          <w:highlight w:val="none"/>
        </w:rPr>
        <w:instrText xml:space="preserve"> = 4 \* GB3 \* MERGEFORMAT </w:instrText>
      </w:r>
      <w:r>
        <w:rPr>
          <w:rFonts w:ascii="楷体" w:hAnsi="楷体" w:eastAsia="楷体"/>
          <w:b w:val="0"/>
          <w:bCs w:val="0"/>
          <w:sz w:val="21"/>
          <w:szCs w:val="21"/>
          <w:highlight w:val="none"/>
        </w:rPr>
        <w:fldChar w:fldCharType="separate"/>
      </w:r>
      <w:r>
        <w:rPr>
          <w:highlight w:val="none"/>
        </w:rPr>
        <w:t>④</w:t>
      </w:r>
      <w:r>
        <w:rPr>
          <w:rFonts w:ascii="楷体" w:hAnsi="楷体" w:eastAsia="楷体"/>
          <w:b w:val="0"/>
          <w:bCs w:val="0"/>
          <w:sz w:val="21"/>
          <w:szCs w:val="21"/>
          <w:highlight w:val="none"/>
        </w:rPr>
        <w:fldChar w:fldCharType="end"/>
      </w:r>
      <w:r>
        <w:rPr>
          <w:rFonts w:hint="eastAsia" w:ascii="楷体" w:hAnsi="楷体" w:eastAsia="楷体"/>
          <w:b w:val="0"/>
          <w:bCs w:val="0"/>
          <w:sz w:val="21"/>
          <w:szCs w:val="21"/>
          <w:highlight w:val="none"/>
          <w:lang w:val="en-US" w:eastAsia="zh-CN"/>
        </w:rPr>
        <w:t>中国国际金融股份有限公司：中国国际金融股份有限公司于1995年7月31日成立，实际控制人为中央汇金投资有限责任公司，注册资本4,827,256,868元。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5 \* GB3 \* MERGEFORMAT </w:instrText>
      </w:r>
      <w:r>
        <w:rPr>
          <w:rFonts w:hint="eastAsia" w:ascii="楷体" w:hAnsi="楷体" w:eastAsia="楷体"/>
          <w:b w:val="0"/>
          <w:bCs w:val="0"/>
          <w:sz w:val="21"/>
          <w:szCs w:val="21"/>
          <w:highlight w:val="none"/>
          <w:lang w:val="en-US" w:eastAsia="zh-CN"/>
        </w:rPr>
        <w:fldChar w:fldCharType="separate"/>
      </w:r>
      <w:r>
        <w:rPr>
          <w:highlight w:val="none"/>
        </w:rPr>
        <w:t>⑤</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6 \* GB3 \* MERGEFORMAT </w:instrText>
      </w:r>
      <w:r>
        <w:rPr>
          <w:rFonts w:hint="eastAsia" w:ascii="楷体" w:hAnsi="楷体" w:eastAsia="楷体"/>
          <w:b w:val="0"/>
          <w:bCs w:val="0"/>
          <w:sz w:val="21"/>
          <w:szCs w:val="21"/>
          <w:highlight w:val="none"/>
          <w:lang w:val="en-US" w:eastAsia="zh-CN"/>
        </w:rPr>
        <w:fldChar w:fldCharType="separate"/>
      </w:r>
      <w:r>
        <w:rPr>
          <w:highlight w:val="none"/>
        </w:rPr>
        <w:t>⑥</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7 \* GB3 \* MERGEFORMAT </w:instrText>
      </w:r>
      <w:r>
        <w:rPr>
          <w:rFonts w:hint="eastAsia" w:ascii="楷体" w:hAnsi="楷体" w:eastAsia="楷体"/>
          <w:b w:val="0"/>
          <w:bCs w:val="0"/>
          <w:sz w:val="21"/>
          <w:szCs w:val="21"/>
          <w:highlight w:val="none"/>
          <w:lang w:val="en-US" w:eastAsia="zh-CN"/>
        </w:rPr>
        <w:fldChar w:fldCharType="separate"/>
      </w:r>
      <w:r>
        <w:rPr>
          <w:highlight w:val="none"/>
        </w:rPr>
        <w:t>⑦</w:t>
      </w:r>
      <w:r>
        <w:rPr>
          <w:rFonts w:hint="eastAsia" w:ascii="楷体" w:hAnsi="楷体" w:eastAsia="楷体"/>
          <w:b w:val="0"/>
          <w:bCs w:val="0"/>
          <w:sz w:val="21"/>
          <w:szCs w:val="21"/>
          <w:highlight w:val="none"/>
          <w:lang w:val="en-US" w:eastAsia="zh-CN"/>
        </w:rPr>
        <w:fldChar w:fldCharType="end"/>
      </w:r>
      <w:r>
        <w:rPr>
          <w:rFonts w:hint="default" w:ascii="楷体" w:hAnsi="楷体" w:eastAsia="楷体"/>
          <w:b w:val="0"/>
          <w:bCs w:val="0"/>
          <w:sz w:val="21"/>
          <w:szCs w:val="21"/>
          <w:highlight w:val="none"/>
          <w:lang w:val="en-US" w:eastAsia="zh-CN"/>
        </w:rPr>
        <w:t>南方资本管理有限公司</w:t>
      </w:r>
      <w:r>
        <w:rPr>
          <w:rFonts w:hint="eastAsia" w:ascii="楷体" w:hAnsi="楷体" w:eastAsia="楷体"/>
          <w:b w:val="0"/>
          <w:bCs w:val="0"/>
          <w:sz w:val="21"/>
          <w:szCs w:val="21"/>
          <w:highlight w:val="none"/>
          <w:lang w:val="en-US" w:eastAsia="zh-CN"/>
        </w:rPr>
        <w:t>：</w:t>
      </w:r>
      <w:r>
        <w:rPr>
          <w:rFonts w:hint="default" w:ascii="楷体" w:hAnsi="楷体" w:eastAsia="楷体"/>
          <w:b w:val="0"/>
          <w:bCs w:val="0"/>
          <w:sz w:val="21"/>
          <w:szCs w:val="21"/>
          <w:highlight w:val="none"/>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投资限制</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w:t>
      </w:r>
      <w:r>
        <w:rPr>
          <w:rFonts w:hint="eastAsia" w:ascii="楷体" w:hAnsi="楷体" w:eastAsia="楷体" w:cs="Calibri"/>
          <w:b w:val="0"/>
          <w:bCs/>
          <w:sz w:val="21"/>
          <w:szCs w:val="21"/>
          <w:highlight w:val="none"/>
          <w:lang w:val="en-US" w:eastAsia="zh-CN"/>
        </w:rPr>
        <w:t>管理</w:t>
      </w:r>
      <w:r>
        <w:rPr>
          <w:rFonts w:hint="eastAsia" w:ascii="楷体" w:hAnsi="楷体" w:eastAsia="楷体" w:cs="Calibri"/>
          <w:b w:val="0"/>
          <w:bCs/>
          <w:sz w:val="21"/>
          <w:szCs w:val="21"/>
          <w:highlight w:val="none"/>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产品认购</w:t>
      </w:r>
    </w:p>
    <w:p>
      <w:pPr>
        <w:numPr>
          <w:ilvl w:val="0"/>
          <w:numId w:val="9"/>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认购方式</w:t>
      </w:r>
      <w:r>
        <w:rPr>
          <w:rFonts w:hint="eastAsia" w:ascii="楷体" w:hAnsi="楷体" w:eastAsia="楷体" w:cs="Calibri"/>
          <w:color w:val="auto"/>
          <w:sz w:val="21"/>
          <w:szCs w:val="21"/>
          <w:highlight w:val="none"/>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9"/>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认购份额的计算</w:t>
      </w:r>
    </w:p>
    <w:p>
      <w:pPr>
        <w:numPr>
          <w:ilvl w:val="-1"/>
          <w:numId w:val="0"/>
        </w:numPr>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highlight w:val="none"/>
        </w:rPr>
      </w:pPr>
      <w:r>
        <w:rPr>
          <w:rFonts w:hint="eastAsia" w:ascii="楷体" w:hAnsi="楷体" w:eastAsia="楷体"/>
          <w:b/>
          <w:sz w:val="21"/>
          <w:szCs w:val="21"/>
          <w:highlight w:val="none"/>
        </w:rPr>
        <w:t>产品申购、赎回</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投资周期、开放计划</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本产品在每个投资周期结束前设置开放计划，时间为投资周期终止日前</w:t>
      </w:r>
      <w:r>
        <w:rPr>
          <w:rFonts w:hint="eastAsia" w:ascii="楷体" w:hAnsi="楷体" w:eastAsia="楷体"/>
          <w:sz w:val="21"/>
          <w:szCs w:val="21"/>
          <w:highlight w:val="none"/>
          <w:lang w:val="en-US" w:eastAsia="zh-CN"/>
        </w:rPr>
        <w:t>7个工作</w:t>
      </w:r>
      <w:r>
        <w:rPr>
          <w:rFonts w:hint="eastAsia" w:ascii="楷体" w:hAnsi="楷体" w:eastAsia="楷体"/>
          <w:sz w:val="21"/>
          <w:szCs w:val="21"/>
          <w:highlight w:val="none"/>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highlight w:val="none"/>
          <w:u w:val="single"/>
        </w:rPr>
        <w:t>除开放计划外的其他时间，管理人不接受投资者申购、赎回申请。</w:t>
      </w:r>
      <w:r>
        <w:rPr>
          <w:rFonts w:hint="eastAsia" w:ascii="楷体" w:hAnsi="楷体" w:eastAsia="楷体" w:cs="Calibri"/>
          <w:sz w:val="21"/>
          <w:szCs w:val="21"/>
          <w:highlight w:val="none"/>
        </w:rPr>
        <w:t>后续投资周期及开放计划受资产运作情况、节假日安排等要素限制，管理人将在每个投资周期结束前通过本理财产品说明书约定的方式披露下一周期开放计划。</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申购、赎回的规则</w:t>
      </w:r>
    </w:p>
    <w:p>
      <w:pPr>
        <w:keepNext w:val="0"/>
        <w:keepLines w:val="0"/>
        <w:pageBreakBefore w:val="0"/>
        <w:widowControl w:val="0"/>
        <w:numPr>
          <w:ilvl w:val="0"/>
          <w:numId w:val="11"/>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申购、赎回的原则：投资者必须在产品开放计划内提出申购、赎回申请</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采用金额申购、份额赎回的原则，即申购以金额申请，赎回以份额申请。投资者提出申购申请时，须备足购买资金</w:t>
      </w:r>
      <w:r>
        <w:rPr>
          <w:rFonts w:hint="eastAsia" w:ascii="楷体" w:hAnsi="楷体" w:eastAsia="楷体" w:cs="Calibri"/>
          <w:sz w:val="21"/>
          <w:szCs w:val="21"/>
          <w:highlight w:val="none"/>
          <w:lang w:val="en-US" w:eastAsia="zh-CN"/>
        </w:rPr>
        <w:t>；</w:t>
      </w:r>
      <w:r>
        <w:rPr>
          <w:rFonts w:hint="eastAsia" w:ascii="楷体" w:hAnsi="楷体" w:eastAsia="楷体" w:cs="Calibri"/>
          <w:sz w:val="21"/>
          <w:szCs w:val="21"/>
          <w:highlight w:val="none"/>
        </w:rPr>
        <w:t>投资者提出赎回申请时，须有足够的理财产品份额余额。在开放计划内提交的申购/赎回申请可以在产品开放日</w:t>
      </w:r>
      <w:r>
        <w:rPr>
          <w:rFonts w:hint="eastAsia" w:ascii="楷体" w:hAnsi="楷体" w:eastAsia="楷体" w:cs="Calibri"/>
          <w:sz w:val="21"/>
          <w:szCs w:val="21"/>
          <w:highlight w:val="none"/>
          <w:lang w:val="en-US" w:eastAsia="zh-CN"/>
        </w:rPr>
        <w:t>闭市</w:t>
      </w:r>
      <w:r>
        <w:rPr>
          <w:rFonts w:hint="eastAsia" w:ascii="楷体" w:hAnsi="楷体" w:eastAsia="楷体" w:cs="Calibri"/>
          <w:sz w:val="21"/>
          <w:szCs w:val="21"/>
          <w:highlight w:val="none"/>
        </w:rPr>
        <w:t>前撤销，之后不得撤销。</w:t>
      </w:r>
      <w:r>
        <w:rPr>
          <w:rFonts w:hint="eastAsia" w:ascii="楷体" w:hAnsi="楷体" w:eastAsia="楷体"/>
          <w:sz w:val="21"/>
          <w:szCs w:val="21"/>
          <w:highlight w:val="none"/>
        </w:rPr>
        <w:t>（</w:t>
      </w:r>
      <w:r>
        <w:rPr>
          <w:rFonts w:hint="eastAsia" w:ascii="楷体" w:hAnsi="楷体" w:eastAsia="楷体" w:cs="Calibri"/>
          <w:sz w:val="21"/>
          <w:szCs w:val="21"/>
          <w:highlight w:val="none"/>
          <w:lang w:val="en-US" w:eastAsia="zh-CN"/>
        </w:rPr>
        <w:t>闭市时间</w:t>
      </w:r>
      <w:r>
        <w:rPr>
          <w:rFonts w:hint="eastAsia" w:ascii="楷体" w:hAnsi="楷体" w:eastAsia="楷体"/>
          <w:sz w:val="21"/>
          <w:szCs w:val="21"/>
          <w:highlight w:val="none"/>
        </w:rPr>
        <w:t>以各销售机构设置为准）</w:t>
      </w:r>
    </w:p>
    <w:p>
      <w:pPr>
        <w:keepNext w:val="0"/>
        <w:keepLines w:val="0"/>
        <w:pageBreakBefore w:val="0"/>
        <w:widowControl w:val="0"/>
        <w:numPr>
          <w:ilvl w:val="0"/>
          <w:numId w:val="11"/>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申购份额的计算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申购份额=申购金额/开放日产品单位净值</w:t>
      </w:r>
      <w:r>
        <w:rPr>
          <w:rFonts w:hint="eastAsia" w:ascii="楷体" w:hAnsi="楷体" w:eastAsia="楷体"/>
          <w:sz w:val="21"/>
          <w:szCs w:val="21"/>
          <w:highlight w:val="none"/>
          <w:lang w:eastAsia="zh-CN"/>
        </w:rPr>
        <w:t>，</w:t>
      </w:r>
      <w:r>
        <w:rPr>
          <w:rFonts w:hint="eastAsia" w:ascii="楷体" w:hAnsi="楷体" w:eastAsia="楷体"/>
          <w:sz w:val="21"/>
          <w:szCs w:val="21"/>
          <w:highlight w:val="none"/>
        </w:rPr>
        <w:t>申购份额以四舍五入的方法保留到小数点后两位</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赎回金额的计算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sz w:val="21"/>
          <w:szCs w:val="21"/>
          <w:highlight w:val="none"/>
          <w:lang w:eastAsia="zh-CN"/>
        </w:rPr>
        <w:t>，</w:t>
      </w:r>
      <w:r>
        <w:rPr>
          <w:rFonts w:hint="eastAsia" w:ascii="楷体" w:hAnsi="楷体" w:eastAsia="楷体"/>
          <w:sz w:val="21"/>
          <w:szCs w:val="21"/>
          <w:highlight w:val="none"/>
        </w:rPr>
        <w:t>赎回金额以四舍五入的方法保留到小数点后两位</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巨额赎回</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详见“产品要素”</w:t>
      </w:r>
    </w:p>
    <w:p>
      <w:pPr>
        <w:numPr>
          <w:ilvl w:val="0"/>
          <w:numId w:val="10"/>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特殊情形及处理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w:t>
      </w:r>
      <w:r>
        <w:rPr>
          <w:rFonts w:hint="eastAsia" w:ascii="楷体" w:hAnsi="楷体" w:eastAsia="楷体"/>
          <w:sz w:val="21"/>
          <w:szCs w:val="21"/>
          <w:highlight w:val="none"/>
          <w:lang w:val="en-US" w:eastAsia="zh-CN"/>
        </w:rPr>
        <w:t>计划</w:t>
      </w:r>
      <w:r>
        <w:rPr>
          <w:rFonts w:hint="eastAsia" w:ascii="楷体" w:hAnsi="楷体" w:eastAsia="楷体"/>
          <w:sz w:val="21"/>
          <w:szCs w:val="21"/>
          <w:highlight w:val="none"/>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highlight w:val="none"/>
          <w:lang w:eastAsia="zh-CN"/>
        </w:rPr>
      </w:pPr>
      <w:r>
        <w:rPr>
          <w:rFonts w:hint="eastAsia" w:ascii="楷体" w:hAnsi="楷体" w:eastAsia="楷体"/>
          <w:b/>
          <w:sz w:val="21"/>
          <w:szCs w:val="21"/>
          <w:highlight w:val="none"/>
          <w:u w:val="single"/>
        </w:rPr>
        <w:t>以下示例均为假设情况，不代表本产品实际投资业绩</w:t>
      </w:r>
      <w:r>
        <w:rPr>
          <w:rFonts w:hint="eastAsia" w:ascii="楷体" w:hAnsi="楷体" w:eastAsia="楷体"/>
          <w:b/>
          <w:sz w:val="21"/>
          <w:szCs w:val="21"/>
          <w:highlight w:val="none"/>
          <w:u w:val="single"/>
          <w:lang w:eastAsia="zh-CN"/>
        </w:rPr>
        <w:t>。</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1.情景一</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20。理财产品单位净值大于面值，管理人可进行现金分红，每份额可获得的现金分红为0.0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该投资周期投资者可得分红=10,000.00×0.0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20.00（元）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2.情景二</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highlight w:val="none"/>
        </w:rPr>
      </w:pPr>
      <w:r>
        <w:rPr>
          <w:rFonts w:hint="eastAsia" w:ascii="楷体" w:hAnsi="楷体" w:eastAsia="楷体"/>
          <w:b/>
          <w:sz w:val="21"/>
          <w:szCs w:val="21"/>
          <w:highlight w:val="none"/>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highlight w:val="none"/>
          <w:u w:val="single"/>
          <w:lang w:val="en-US" w:eastAsia="zh-CN"/>
        </w:rPr>
        <w:t>收益</w:t>
      </w:r>
      <w:r>
        <w:rPr>
          <w:rFonts w:hint="eastAsia" w:ascii="楷体" w:hAnsi="楷体" w:eastAsia="楷体"/>
          <w:b/>
          <w:sz w:val="21"/>
          <w:szCs w:val="21"/>
          <w:highlight w:val="none"/>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产品终止</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numPr>
          <w:ilvl w:val="0"/>
          <w:numId w:val="0"/>
        </w:numPr>
        <w:ind w:left="0" w:firstLine="420" w:firstLineChars="200"/>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widowControl w:val="0"/>
        <w:numPr>
          <w:ilvl w:val="0"/>
          <w:numId w:val="0"/>
        </w:numPr>
        <w:tabs>
          <w:tab w:val="left" w:pos="1092"/>
        </w:tabs>
        <w:jc w:val="both"/>
        <w:rPr>
          <w:rFonts w:hint="eastAsia" w:ascii="楷体" w:hAnsi="楷体" w:eastAsia="楷体" w:cs="Calibri"/>
          <w:color w:val="auto"/>
          <w:sz w:val="21"/>
          <w:szCs w:val="21"/>
          <w:highlight w:val="none"/>
          <w:lang w:eastAsia="zh-CN"/>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lang w:val="en-US" w:eastAsia="zh-CN"/>
        </w:rPr>
        <w:t>情景示例</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以下示例均为假设情况，不代表本产品实际投资业绩。</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1.情景一</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-10,000.00=</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2.情景二</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-10,000.00=-</w:t>
      </w:r>
      <w:r>
        <w:rPr>
          <w:rFonts w:ascii="楷体" w:hAnsi="楷体" w:eastAsia="楷体"/>
          <w:color w:val="auto"/>
          <w:sz w:val="21"/>
          <w:szCs w:val="21"/>
          <w:highlight w:val="none"/>
        </w:rPr>
        <w:t>2</w:t>
      </w:r>
      <w:r>
        <w:rPr>
          <w:rFonts w:hint="eastAsia" w:ascii="楷体" w:hAnsi="楷体" w:eastAsia="楷体"/>
          <w:color w:val="auto"/>
          <w:sz w:val="21"/>
          <w:szCs w:val="21"/>
          <w:highlight w:val="none"/>
          <w:lang w:val="en-US" w:eastAsia="zh-CN"/>
        </w:rPr>
        <w:t>4</w:t>
      </w:r>
      <w:r>
        <w:rPr>
          <w:rFonts w:hint="eastAsia" w:ascii="楷体" w:hAnsi="楷体" w:eastAsia="楷体"/>
          <w:color w:val="auto"/>
          <w:sz w:val="21"/>
          <w:szCs w:val="21"/>
          <w:highlight w:val="none"/>
        </w:rPr>
        <w:t>.</w:t>
      </w:r>
      <w:r>
        <w:rPr>
          <w:rFonts w:ascii="楷体" w:hAnsi="楷体" w:eastAsia="楷体"/>
          <w:color w:val="auto"/>
          <w:sz w:val="21"/>
          <w:szCs w:val="21"/>
          <w:highlight w:val="none"/>
        </w:rPr>
        <w:t>0</w:t>
      </w:r>
      <w:r>
        <w:rPr>
          <w:rFonts w:hint="eastAsia" w:ascii="楷体" w:hAnsi="楷体" w:eastAsia="楷体"/>
          <w:color w:val="auto"/>
          <w:sz w:val="21"/>
          <w:szCs w:val="21"/>
          <w:highlight w:val="none"/>
          <w:lang w:val="en-US" w:eastAsia="zh-CN"/>
        </w:rPr>
        <w:t>6</w:t>
      </w:r>
      <w:r>
        <w:rPr>
          <w:rFonts w:hint="eastAsia" w:ascii="楷体" w:hAnsi="楷体" w:eastAsia="楷体"/>
          <w:color w:val="auto"/>
          <w:sz w:val="21"/>
          <w:szCs w:val="21"/>
          <w:highlight w:val="none"/>
        </w:rPr>
        <w:t>（元）</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最不利的情形下，投资者可能损失100%本金。</w:t>
      </w:r>
    </w:p>
    <w:p>
      <w:pPr>
        <w:ind w:left="0" w:leftChars="0" w:firstLine="422" w:firstLineChars="200"/>
        <w:rPr>
          <w:highlight w:val="none"/>
        </w:rPr>
      </w:pPr>
      <w:r>
        <w:rPr>
          <w:rFonts w:hint="eastAsia" w:ascii="楷体" w:hAnsi="楷体" w:eastAsia="楷体"/>
          <w:b/>
          <w:color w:val="auto"/>
          <w:sz w:val="21"/>
          <w:szCs w:val="21"/>
          <w:highlight w:val="none"/>
          <w:u w:val="single"/>
        </w:rPr>
        <w:t>上述情况假设仅用于向投资者示例收益计算方法之用，并不代表管理人对实际投资情况的预期判断，</w:t>
      </w:r>
      <w:r>
        <w:rPr>
          <w:rFonts w:hint="eastAsia" w:ascii="楷体" w:hAnsi="楷体" w:eastAsia="楷体"/>
          <w:b/>
          <w:color w:val="auto"/>
          <w:sz w:val="21"/>
          <w:szCs w:val="21"/>
          <w:highlight w:val="none"/>
          <w:u w:val="single"/>
          <w:lang w:val="en-US" w:eastAsia="zh-CN"/>
        </w:rPr>
        <w:t>也不代表</w:t>
      </w:r>
      <w:r>
        <w:rPr>
          <w:rFonts w:hint="eastAsia" w:ascii="楷体" w:hAnsi="楷体" w:eastAsia="楷体"/>
          <w:b/>
          <w:color w:val="auto"/>
          <w:sz w:val="21"/>
          <w:szCs w:val="21"/>
          <w:highlight w:val="none"/>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highlight w:val="none"/>
        </w:rPr>
      </w:pPr>
      <w:r>
        <w:rPr>
          <w:rFonts w:hint="eastAsia" w:ascii="楷体" w:hAnsi="楷体" w:eastAsia="楷体"/>
          <w:b/>
          <w:sz w:val="21"/>
          <w:szCs w:val="21"/>
          <w:highlight w:val="none"/>
        </w:rPr>
        <w:t>产品费用</w:t>
      </w:r>
    </w:p>
    <w:p>
      <w:pPr>
        <w:ind w:firstLine="420" w:firstLineChars="200"/>
        <w:rPr>
          <w:rFonts w:hint="default" w:ascii="楷体" w:hAnsi="楷体" w:eastAsia="楷体" w:cs="Calibri"/>
          <w:b w:val="0"/>
          <w:bCs/>
          <w:sz w:val="21"/>
          <w:szCs w:val="21"/>
          <w:highlight w:val="none"/>
          <w:lang w:val="en-US" w:eastAsia="zh-CN"/>
        </w:rPr>
      </w:pPr>
      <w:r>
        <w:rPr>
          <w:rFonts w:hint="eastAsia" w:ascii="楷体" w:hAnsi="楷体" w:eastAsia="楷体"/>
          <w:b w:val="0"/>
          <w:bCs/>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b w:val="0"/>
          <w:bCs/>
          <w:sz w:val="21"/>
          <w:szCs w:val="21"/>
          <w:highlight w:val="none"/>
        </w:rPr>
        <w:t>计提方法</w:t>
      </w:r>
      <w:r>
        <w:rPr>
          <w:rFonts w:hint="eastAsia" w:ascii="楷体" w:hAnsi="楷体" w:eastAsia="楷体" w:cs="Calibri"/>
          <w:b w:val="0"/>
          <w:bCs/>
          <w:sz w:val="21"/>
          <w:szCs w:val="21"/>
          <w:highlight w:val="none"/>
          <w:lang w:val="en-US" w:eastAsia="zh-CN"/>
        </w:rPr>
        <w:t>如下：</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highlight w:val="none"/>
          <w:lang w:val="en-US" w:eastAsia="zh-CN"/>
        </w:rPr>
      </w:pPr>
      <w:r>
        <w:rPr>
          <w:rFonts w:hint="eastAsia" w:ascii="楷体" w:hAnsi="楷体" w:eastAsia="楷体"/>
          <w:sz w:val="21"/>
          <w:szCs w:val="21"/>
          <w:highlight w:val="none"/>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产品估值</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本产品所拥有的各类证券、银行存款、应收款项及其它资产及负债。</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估值要求</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r>
        <w:rPr>
          <w:rFonts w:hint="eastAsia" w:ascii="楷体" w:hAnsi="楷体" w:eastAsia="楷体" w:cs="Calibri"/>
          <w:sz w:val="21"/>
          <w:szCs w:val="21"/>
          <w:highlight w:val="none"/>
        </w:rPr>
        <w:t>。</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位后截位。</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存款类资产、货币市场工具：以本金列示，逐日计提利息。</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货币市场基金：以估值截止时间点能够取得的最新每万份收益进行估值。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债权类资产：按公允价值进行估值，采用合理的估值技术或监管机构认可的估值方法进行估值。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6"/>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如有新增事项或变更事项，按国家法律法规及监管最新规定执行。</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4"/>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信息披露</w:t>
      </w:r>
    </w:p>
    <w:p>
      <w:pPr>
        <w:numPr>
          <w:ilvl w:val="0"/>
          <w:numId w:val="17"/>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方式</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highlight w:val="none"/>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7"/>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内容及时间</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其他</w:t>
      </w:r>
    </w:p>
    <w:p>
      <w:pPr>
        <w:numPr>
          <w:ilvl w:val="0"/>
          <w:numId w:val="20"/>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追索条款</w:t>
      </w:r>
    </w:p>
    <w:p>
      <w:pPr>
        <w:ind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20"/>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苏银理财及</w:t>
      </w:r>
      <w:r>
        <w:rPr>
          <w:rFonts w:hint="eastAsia" w:ascii="楷体" w:hAnsi="楷体" w:eastAsia="楷体"/>
          <w:color w:val="auto"/>
          <w:sz w:val="21"/>
          <w:szCs w:val="21"/>
          <w:highlight w:val="none"/>
          <w:lang w:val="en-US" w:eastAsia="zh-CN"/>
        </w:rPr>
        <w:t>销售</w:t>
      </w:r>
      <w:r>
        <w:rPr>
          <w:rFonts w:hint="eastAsia" w:ascii="楷体" w:hAnsi="楷体" w:eastAsia="楷体"/>
          <w:color w:val="auto"/>
          <w:sz w:val="21"/>
          <w:szCs w:val="21"/>
          <w:highlight w:val="none"/>
        </w:rPr>
        <w:t>机构将据相关法律、法规严格履行投资者信息保密责任，除监管机构或司法机关等有权机构外，不得对其他第三方提供任何投资者信息。</w:t>
      </w:r>
    </w:p>
    <w:p>
      <w:pPr>
        <w:numPr>
          <w:ilvl w:val="0"/>
          <w:numId w:val="20"/>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争议解决</w:t>
      </w:r>
    </w:p>
    <w:p>
      <w:pPr>
        <w:ind w:firstLine="420" w:firstLineChars="200"/>
        <w:jc w:val="left"/>
        <w:rPr>
          <w:rFonts w:hint="eastAsia"/>
          <w:highlight w:val="none"/>
        </w:rPr>
      </w:pP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的订立、生效、履行、解释、修改和终止等事项均适用中华人民共和国（</w:t>
      </w:r>
      <w:r>
        <w:rPr>
          <w:rFonts w:hint="eastAsia" w:ascii="楷体" w:hAnsi="楷体" w:eastAsia="楷体"/>
          <w:color w:val="auto"/>
          <w:sz w:val="21"/>
          <w:szCs w:val="21"/>
          <w:highlight w:val="none"/>
          <w:lang w:val="en-US" w:eastAsia="zh-CN"/>
        </w:rPr>
        <w:t>为本合同目的，</w:t>
      </w:r>
      <w:r>
        <w:rPr>
          <w:rFonts w:hint="eastAsia" w:ascii="楷体" w:hAnsi="楷体" w:eastAsia="楷体"/>
          <w:color w:val="auto"/>
          <w:sz w:val="21"/>
          <w:szCs w:val="21"/>
          <w:highlight w:val="none"/>
        </w:rPr>
        <w:t>不包括香港特别行政区、澳门特别行政区和台湾地区）法律。</w:t>
      </w:r>
      <w:r>
        <w:rPr>
          <w:rFonts w:hint="eastAsia" w:ascii="楷体" w:hAnsi="楷体" w:eastAsia="楷体"/>
          <w:color w:val="auto"/>
          <w:sz w:val="21"/>
          <w:szCs w:val="21"/>
          <w:highlight w:val="none"/>
          <w:lang w:val="en-US" w:eastAsia="zh-CN"/>
        </w:rPr>
        <w:t>因本产品说明书</w:t>
      </w:r>
      <w:r>
        <w:rPr>
          <w:rFonts w:hint="eastAsia" w:ascii="楷体" w:hAnsi="楷体" w:eastAsia="楷体"/>
          <w:color w:val="auto"/>
          <w:sz w:val="21"/>
          <w:szCs w:val="21"/>
          <w:highlight w:val="none"/>
        </w:rPr>
        <w:t>引起的或与</w:t>
      </w: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有关的任何争议，应当首先通过双方之间的友好协商解决；协商不成的，双方均有权提交产品管理人</w:t>
      </w:r>
      <w:r>
        <w:rPr>
          <w:rFonts w:hint="eastAsia" w:ascii="楷体" w:hAnsi="楷体" w:eastAsia="楷体"/>
          <w:color w:val="auto"/>
          <w:sz w:val="21"/>
          <w:szCs w:val="21"/>
          <w:highlight w:val="none"/>
          <w:lang w:val="en-US" w:eastAsia="zh-CN"/>
        </w:rPr>
        <w:t>住所地</w:t>
      </w:r>
      <w:r>
        <w:rPr>
          <w:rFonts w:hint="eastAsia" w:ascii="楷体" w:hAnsi="楷体" w:eastAsia="楷体"/>
          <w:color w:val="auto"/>
          <w:sz w:val="21"/>
          <w:szCs w:val="21"/>
          <w:highlight w:val="none"/>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CBFA9E"/>
    <w:multiLevelType w:val="singleLevel"/>
    <w:tmpl w:val="82CBFA9E"/>
    <w:lvl w:ilvl="0" w:tentative="0">
      <w:start w:val="1"/>
      <w:numFmt w:val="decimal"/>
      <w:suff w:val="nothing"/>
      <w:lvlText w:val="（%1）"/>
      <w:lvlJc w:val="left"/>
    </w:lvl>
  </w:abstractNum>
  <w:abstractNum w:abstractNumId="1">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10">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3">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9"/>
  </w:num>
  <w:num w:numId="2">
    <w:abstractNumId w:val="8"/>
  </w:num>
  <w:num w:numId="3">
    <w:abstractNumId w:val="16"/>
  </w:num>
  <w:num w:numId="4">
    <w:abstractNumId w:val="17"/>
  </w:num>
  <w:num w:numId="5">
    <w:abstractNumId w:val="19"/>
  </w:num>
  <w:num w:numId="6">
    <w:abstractNumId w:val="18"/>
  </w:num>
  <w:num w:numId="7">
    <w:abstractNumId w:val="0"/>
  </w:num>
  <w:num w:numId="8">
    <w:abstractNumId w:val="12"/>
  </w:num>
  <w:num w:numId="9">
    <w:abstractNumId w:val="11"/>
  </w:num>
  <w:num w:numId="10">
    <w:abstractNumId w:val="7"/>
  </w:num>
  <w:num w:numId="11">
    <w:abstractNumId w:val="3"/>
  </w:num>
  <w:num w:numId="12">
    <w:abstractNumId w:val="5"/>
  </w:num>
  <w:num w:numId="13">
    <w:abstractNumId w:val="1"/>
  </w:num>
  <w:num w:numId="14">
    <w:abstractNumId w:val="15"/>
  </w:num>
  <w:num w:numId="15">
    <w:abstractNumId w:val="13"/>
  </w:num>
  <w:num w:numId="16">
    <w:abstractNumId w:val="6"/>
  </w:num>
  <w:num w:numId="17">
    <w:abstractNumId w:val="14"/>
  </w:num>
  <w:num w:numId="18">
    <w:abstractNumId w:val="2"/>
  </w:num>
  <w:num w:numId="19">
    <w:abstractNumId w:val="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2A7F52"/>
    <w:rsid w:val="005610EB"/>
    <w:rsid w:val="00B73039"/>
    <w:rsid w:val="00F02299"/>
    <w:rsid w:val="00FD53CA"/>
    <w:rsid w:val="01081DDE"/>
    <w:rsid w:val="01916153"/>
    <w:rsid w:val="01C11F94"/>
    <w:rsid w:val="01DA571A"/>
    <w:rsid w:val="01F11ABC"/>
    <w:rsid w:val="02342294"/>
    <w:rsid w:val="02394C4E"/>
    <w:rsid w:val="023B31B5"/>
    <w:rsid w:val="02706D07"/>
    <w:rsid w:val="027B1BEB"/>
    <w:rsid w:val="02B04479"/>
    <w:rsid w:val="02BB217A"/>
    <w:rsid w:val="02E47F25"/>
    <w:rsid w:val="02EE64DC"/>
    <w:rsid w:val="030516AD"/>
    <w:rsid w:val="03B26B31"/>
    <w:rsid w:val="03E91BF7"/>
    <w:rsid w:val="03FC3F39"/>
    <w:rsid w:val="04351FFD"/>
    <w:rsid w:val="04860B34"/>
    <w:rsid w:val="04862D7A"/>
    <w:rsid w:val="049E6222"/>
    <w:rsid w:val="04A92EE3"/>
    <w:rsid w:val="05120775"/>
    <w:rsid w:val="0522647B"/>
    <w:rsid w:val="052D480C"/>
    <w:rsid w:val="0537036B"/>
    <w:rsid w:val="05397409"/>
    <w:rsid w:val="05A60B08"/>
    <w:rsid w:val="05AB50DB"/>
    <w:rsid w:val="05C22B02"/>
    <w:rsid w:val="05DF682E"/>
    <w:rsid w:val="06411C20"/>
    <w:rsid w:val="06917613"/>
    <w:rsid w:val="06A93A70"/>
    <w:rsid w:val="06FF25F4"/>
    <w:rsid w:val="07363BBD"/>
    <w:rsid w:val="07770ECE"/>
    <w:rsid w:val="07963995"/>
    <w:rsid w:val="07DC6E8D"/>
    <w:rsid w:val="07DE1B77"/>
    <w:rsid w:val="07E626A5"/>
    <w:rsid w:val="083C4181"/>
    <w:rsid w:val="08494B4C"/>
    <w:rsid w:val="08545039"/>
    <w:rsid w:val="087E378B"/>
    <w:rsid w:val="08C87576"/>
    <w:rsid w:val="099730C7"/>
    <w:rsid w:val="09BB6FD3"/>
    <w:rsid w:val="09E64105"/>
    <w:rsid w:val="0AA20035"/>
    <w:rsid w:val="0B3550F2"/>
    <w:rsid w:val="0B426C20"/>
    <w:rsid w:val="0B471607"/>
    <w:rsid w:val="0B493D92"/>
    <w:rsid w:val="0B521344"/>
    <w:rsid w:val="0B7873E7"/>
    <w:rsid w:val="0BE46D3E"/>
    <w:rsid w:val="0C2A04AF"/>
    <w:rsid w:val="0C383A1B"/>
    <w:rsid w:val="0C3C461F"/>
    <w:rsid w:val="0C8B2263"/>
    <w:rsid w:val="0C8C56A3"/>
    <w:rsid w:val="0CB3468E"/>
    <w:rsid w:val="0D460355"/>
    <w:rsid w:val="0D5044E7"/>
    <w:rsid w:val="0D5B3087"/>
    <w:rsid w:val="0DCA2B2C"/>
    <w:rsid w:val="0DDD75CE"/>
    <w:rsid w:val="0DE6245C"/>
    <w:rsid w:val="0E324ADA"/>
    <w:rsid w:val="0E8C12CF"/>
    <w:rsid w:val="0E995783"/>
    <w:rsid w:val="0EA24D8E"/>
    <w:rsid w:val="0EFD7A26"/>
    <w:rsid w:val="0F1B4A58"/>
    <w:rsid w:val="0F1B4AB3"/>
    <w:rsid w:val="0F2D7FC5"/>
    <w:rsid w:val="0FA551A3"/>
    <w:rsid w:val="0FD22F01"/>
    <w:rsid w:val="100459CF"/>
    <w:rsid w:val="106A7BFD"/>
    <w:rsid w:val="109A102D"/>
    <w:rsid w:val="10B72620"/>
    <w:rsid w:val="10D208A6"/>
    <w:rsid w:val="10FF266F"/>
    <w:rsid w:val="11022343"/>
    <w:rsid w:val="111D76A0"/>
    <w:rsid w:val="1137604C"/>
    <w:rsid w:val="1167461D"/>
    <w:rsid w:val="11C449B6"/>
    <w:rsid w:val="12136ABA"/>
    <w:rsid w:val="121A7943"/>
    <w:rsid w:val="121F3DCB"/>
    <w:rsid w:val="12627D38"/>
    <w:rsid w:val="126807AF"/>
    <w:rsid w:val="126877DE"/>
    <w:rsid w:val="12705D8B"/>
    <w:rsid w:val="12E2190B"/>
    <w:rsid w:val="130762C7"/>
    <w:rsid w:val="130A1945"/>
    <w:rsid w:val="132C05F4"/>
    <w:rsid w:val="133603BC"/>
    <w:rsid w:val="13512072"/>
    <w:rsid w:val="13566046"/>
    <w:rsid w:val="1363315E"/>
    <w:rsid w:val="13813EDF"/>
    <w:rsid w:val="13BA3C51"/>
    <w:rsid w:val="142E3B87"/>
    <w:rsid w:val="14497ECB"/>
    <w:rsid w:val="149161AA"/>
    <w:rsid w:val="14AE7D5C"/>
    <w:rsid w:val="14E76B1D"/>
    <w:rsid w:val="14EA3140"/>
    <w:rsid w:val="14ED722A"/>
    <w:rsid w:val="151627A4"/>
    <w:rsid w:val="15250560"/>
    <w:rsid w:val="15452BE9"/>
    <w:rsid w:val="15661276"/>
    <w:rsid w:val="15961DF8"/>
    <w:rsid w:val="15C23F41"/>
    <w:rsid w:val="15D43799"/>
    <w:rsid w:val="15D95D65"/>
    <w:rsid w:val="16321C77"/>
    <w:rsid w:val="16452649"/>
    <w:rsid w:val="165A010B"/>
    <w:rsid w:val="16DB02E7"/>
    <w:rsid w:val="16E82A20"/>
    <w:rsid w:val="17E11F5A"/>
    <w:rsid w:val="17F83B61"/>
    <w:rsid w:val="18563155"/>
    <w:rsid w:val="18766114"/>
    <w:rsid w:val="18790C37"/>
    <w:rsid w:val="18903A4D"/>
    <w:rsid w:val="18925467"/>
    <w:rsid w:val="18D417E2"/>
    <w:rsid w:val="191E3445"/>
    <w:rsid w:val="19525097"/>
    <w:rsid w:val="19765916"/>
    <w:rsid w:val="19B25954"/>
    <w:rsid w:val="19D011E9"/>
    <w:rsid w:val="19DA1846"/>
    <w:rsid w:val="19DF46F8"/>
    <w:rsid w:val="19E8300C"/>
    <w:rsid w:val="1A1254D5"/>
    <w:rsid w:val="1A2331F2"/>
    <w:rsid w:val="1A74679E"/>
    <w:rsid w:val="1AA527A3"/>
    <w:rsid w:val="1AB40CBF"/>
    <w:rsid w:val="1BB6506B"/>
    <w:rsid w:val="1BC003D1"/>
    <w:rsid w:val="1BC94B68"/>
    <w:rsid w:val="1BF53974"/>
    <w:rsid w:val="1C1B3B29"/>
    <w:rsid w:val="1C4231EC"/>
    <w:rsid w:val="1C512181"/>
    <w:rsid w:val="1CB5609A"/>
    <w:rsid w:val="1D17073A"/>
    <w:rsid w:val="1D505225"/>
    <w:rsid w:val="1DA43FDF"/>
    <w:rsid w:val="1DD47B29"/>
    <w:rsid w:val="1E0972D4"/>
    <w:rsid w:val="1E1E7279"/>
    <w:rsid w:val="1E315B06"/>
    <w:rsid w:val="1E3C6829"/>
    <w:rsid w:val="1E5B385B"/>
    <w:rsid w:val="1E747638"/>
    <w:rsid w:val="1F111238"/>
    <w:rsid w:val="1F603109"/>
    <w:rsid w:val="1F9E2BED"/>
    <w:rsid w:val="1FBB7F9F"/>
    <w:rsid w:val="1FC73DB2"/>
    <w:rsid w:val="1FC85FB0"/>
    <w:rsid w:val="1FCD5CBB"/>
    <w:rsid w:val="200E39C9"/>
    <w:rsid w:val="20220C48"/>
    <w:rsid w:val="203F2777"/>
    <w:rsid w:val="205E2E63"/>
    <w:rsid w:val="20862AD5"/>
    <w:rsid w:val="208D0A85"/>
    <w:rsid w:val="20A5280C"/>
    <w:rsid w:val="20D359FB"/>
    <w:rsid w:val="20E556F1"/>
    <w:rsid w:val="21361C5E"/>
    <w:rsid w:val="2185500C"/>
    <w:rsid w:val="21893A13"/>
    <w:rsid w:val="219707AA"/>
    <w:rsid w:val="21F94FCB"/>
    <w:rsid w:val="22046BDF"/>
    <w:rsid w:val="22081D62"/>
    <w:rsid w:val="22386D07"/>
    <w:rsid w:val="22480419"/>
    <w:rsid w:val="22965783"/>
    <w:rsid w:val="22DC376E"/>
    <w:rsid w:val="22ED32DA"/>
    <w:rsid w:val="22FD3574"/>
    <w:rsid w:val="231C6AB5"/>
    <w:rsid w:val="233F30E4"/>
    <w:rsid w:val="23593C8E"/>
    <w:rsid w:val="23727724"/>
    <w:rsid w:val="239F40F6"/>
    <w:rsid w:val="23AA2793"/>
    <w:rsid w:val="23ED3B3C"/>
    <w:rsid w:val="24CA7BB8"/>
    <w:rsid w:val="24FA6D92"/>
    <w:rsid w:val="250550E5"/>
    <w:rsid w:val="251364E2"/>
    <w:rsid w:val="2536069B"/>
    <w:rsid w:val="25374980"/>
    <w:rsid w:val="254734B9"/>
    <w:rsid w:val="2550672C"/>
    <w:rsid w:val="25624188"/>
    <w:rsid w:val="25BD0FD2"/>
    <w:rsid w:val="263B5F44"/>
    <w:rsid w:val="265A1DE6"/>
    <w:rsid w:val="26690F27"/>
    <w:rsid w:val="26694895"/>
    <w:rsid w:val="26A12F28"/>
    <w:rsid w:val="26AC79F8"/>
    <w:rsid w:val="26B91D54"/>
    <w:rsid w:val="26C45E5E"/>
    <w:rsid w:val="26E75D9A"/>
    <w:rsid w:val="26E90667"/>
    <w:rsid w:val="26F43175"/>
    <w:rsid w:val="274A0B5C"/>
    <w:rsid w:val="279142F8"/>
    <w:rsid w:val="27C55A4B"/>
    <w:rsid w:val="27FA7E2E"/>
    <w:rsid w:val="280B1A43"/>
    <w:rsid w:val="287A6F6C"/>
    <w:rsid w:val="288E0F4E"/>
    <w:rsid w:val="28B0474F"/>
    <w:rsid w:val="28EF5796"/>
    <w:rsid w:val="28F60FCD"/>
    <w:rsid w:val="29522941"/>
    <w:rsid w:val="29855A2C"/>
    <w:rsid w:val="29B92A03"/>
    <w:rsid w:val="29CE7219"/>
    <w:rsid w:val="2A5C719F"/>
    <w:rsid w:val="2A832D10"/>
    <w:rsid w:val="2AF12700"/>
    <w:rsid w:val="2B221E6C"/>
    <w:rsid w:val="2B3631F4"/>
    <w:rsid w:val="2B575927"/>
    <w:rsid w:val="2B797161"/>
    <w:rsid w:val="2B9D3E9D"/>
    <w:rsid w:val="2CE341B5"/>
    <w:rsid w:val="2D11017C"/>
    <w:rsid w:val="2D2626A0"/>
    <w:rsid w:val="2DDC0B49"/>
    <w:rsid w:val="2E407A81"/>
    <w:rsid w:val="2E6D5504"/>
    <w:rsid w:val="2E835E5F"/>
    <w:rsid w:val="2E8A38BB"/>
    <w:rsid w:val="2E9559D9"/>
    <w:rsid w:val="2E9F679E"/>
    <w:rsid w:val="2EA56E27"/>
    <w:rsid w:val="2F0313A8"/>
    <w:rsid w:val="2F3015A3"/>
    <w:rsid w:val="2F5219B0"/>
    <w:rsid w:val="2F6A13F9"/>
    <w:rsid w:val="2FC41CB0"/>
    <w:rsid w:val="302144DC"/>
    <w:rsid w:val="30405DB5"/>
    <w:rsid w:val="30426D1D"/>
    <w:rsid w:val="30CF5A24"/>
    <w:rsid w:val="31097378"/>
    <w:rsid w:val="311D7D22"/>
    <w:rsid w:val="31312245"/>
    <w:rsid w:val="31376781"/>
    <w:rsid w:val="31526B96"/>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01613"/>
    <w:rsid w:val="34291F23"/>
    <w:rsid w:val="342E5D80"/>
    <w:rsid w:val="344806D1"/>
    <w:rsid w:val="34727D99"/>
    <w:rsid w:val="34750B27"/>
    <w:rsid w:val="347A39E3"/>
    <w:rsid w:val="349E222E"/>
    <w:rsid w:val="34B33411"/>
    <w:rsid w:val="34C51A78"/>
    <w:rsid w:val="34E0563C"/>
    <w:rsid w:val="34EB675E"/>
    <w:rsid w:val="351055D8"/>
    <w:rsid w:val="355F3301"/>
    <w:rsid w:val="35CD3B0F"/>
    <w:rsid w:val="35D344DD"/>
    <w:rsid w:val="35F40894"/>
    <w:rsid w:val="35F53BC7"/>
    <w:rsid w:val="35FC56A1"/>
    <w:rsid w:val="36771768"/>
    <w:rsid w:val="36D265FE"/>
    <w:rsid w:val="36E01197"/>
    <w:rsid w:val="37195DD0"/>
    <w:rsid w:val="37396667"/>
    <w:rsid w:val="375223CF"/>
    <w:rsid w:val="375F35B5"/>
    <w:rsid w:val="379E3A7A"/>
    <w:rsid w:val="37CA14FC"/>
    <w:rsid w:val="37F6376B"/>
    <w:rsid w:val="38005C99"/>
    <w:rsid w:val="3806789C"/>
    <w:rsid w:val="38324F36"/>
    <w:rsid w:val="396430B4"/>
    <w:rsid w:val="398C207A"/>
    <w:rsid w:val="399651CC"/>
    <w:rsid w:val="39E64E78"/>
    <w:rsid w:val="3A2F3A82"/>
    <w:rsid w:val="3A2F453A"/>
    <w:rsid w:val="3A6A61E5"/>
    <w:rsid w:val="3AC86100"/>
    <w:rsid w:val="3ACC2A06"/>
    <w:rsid w:val="3B20468F"/>
    <w:rsid w:val="3B316DAA"/>
    <w:rsid w:val="3B372FD2"/>
    <w:rsid w:val="3BAF51F7"/>
    <w:rsid w:val="3BC8097B"/>
    <w:rsid w:val="3C565716"/>
    <w:rsid w:val="3CA73211"/>
    <w:rsid w:val="3CC938CE"/>
    <w:rsid w:val="3CD97263"/>
    <w:rsid w:val="3D19224B"/>
    <w:rsid w:val="3DAB17BA"/>
    <w:rsid w:val="3DC06319"/>
    <w:rsid w:val="3E390124"/>
    <w:rsid w:val="3E3C7880"/>
    <w:rsid w:val="3E491BE7"/>
    <w:rsid w:val="3E4F4139"/>
    <w:rsid w:val="3ED33ABA"/>
    <w:rsid w:val="3EDC31B1"/>
    <w:rsid w:val="3EEA1626"/>
    <w:rsid w:val="3F366D42"/>
    <w:rsid w:val="3F3B3EDB"/>
    <w:rsid w:val="3F522DEF"/>
    <w:rsid w:val="3F8A45CE"/>
    <w:rsid w:val="3FBD5D22"/>
    <w:rsid w:val="3FD352E5"/>
    <w:rsid w:val="3FFF7279"/>
    <w:rsid w:val="40456F00"/>
    <w:rsid w:val="405B780B"/>
    <w:rsid w:val="407A2131"/>
    <w:rsid w:val="40B93161"/>
    <w:rsid w:val="40BB01C3"/>
    <w:rsid w:val="41670A1F"/>
    <w:rsid w:val="420B0DEA"/>
    <w:rsid w:val="423A0CFF"/>
    <w:rsid w:val="42414BD8"/>
    <w:rsid w:val="427B00CF"/>
    <w:rsid w:val="42DB23BC"/>
    <w:rsid w:val="43016A94"/>
    <w:rsid w:val="430644A8"/>
    <w:rsid w:val="43076EE2"/>
    <w:rsid w:val="432F1E46"/>
    <w:rsid w:val="43484F6E"/>
    <w:rsid w:val="43562586"/>
    <w:rsid w:val="43A60B8B"/>
    <w:rsid w:val="43CA7AC6"/>
    <w:rsid w:val="43DD1CAC"/>
    <w:rsid w:val="43ED3FBD"/>
    <w:rsid w:val="44044239"/>
    <w:rsid w:val="442A5561"/>
    <w:rsid w:val="44524527"/>
    <w:rsid w:val="447F71E8"/>
    <w:rsid w:val="451A06ED"/>
    <w:rsid w:val="45245151"/>
    <w:rsid w:val="456926CF"/>
    <w:rsid w:val="458B1600"/>
    <w:rsid w:val="45A31E9F"/>
    <w:rsid w:val="45E06380"/>
    <w:rsid w:val="46132E83"/>
    <w:rsid w:val="46F648FA"/>
    <w:rsid w:val="47A4705A"/>
    <w:rsid w:val="480D1D44"/>
    <w:rsid w:val="4835453B"/>
    <w:rsid w:val="48652264"/>
    <w:rsid w:val="48683357"/>
    <w:rsid w:val="489F12B3"/>
    <w:rsid w:val="48B60ED8"/>
    <w:rsid w:val="48E038AF"/>
    <w:rsid w:val="49287F12"/>
    <w:rsid w:val="49466806"/>
    <w:rsid w:val="49582C60"/>
    <w:rsid w:val="495D6DB6"/>
    <w:rsid w:val="496E5595"/>
    <w:rsid w:val="497B6BF6"/>
    <w:rsid w:val="499F73AD"/>
    <w:rsid w:val="49B83F7E"/>
    <w:rsid w:val="4A007BF5"/>
    <w:rsid w:val="4A06662F"/>
    <w:rsid w:val="4A0D148A"/>
    <w:rsid w:val="4A4009DF"/>
    <w:rsid w:val="4A6F5CAB"/>
    <w:rsid w:val="4ABD162D"/>
    <w:rsid w:val="4B2733EE"/>
    <w:rsid w:val="4B80633B"/>
    <w:rsid w:val="4BA86CAC"/>
    <w:rsid w:val="4BD02064"/>
    <w:rsid w:val="4BF23C29"/>
    <w:rsid w:val="4BF673B5"/>
    <w:rsid w:val="4C0A2CBC"/>
    <w:rsid w:val="4C0B3EB6"/>
    <w:rsid w:val="4C281795"/>
    <w:rsid w:val="4C4F3FC2"/>
    <w:rsid w:val="4CAB3057"/>
    <w:rsid w:val="4CC732A2"/>
    <w:rsid w:val="4D077EEE"/>
    <w:rsid w:val="4D0B68F4"/>
    <w:rsid w:val="4D0E0101"/>
    <w:rsid w:val="4D3C02CC"/>
    <w:rsid w:val="4D7311CC"/>
    <w:rsid w:val="4DB35E08"/>
    <w:rsid w:val="4DBC05B9"/>
    <w:rsid w:val="4DFD4F82"/>
    <w:rsid w:val="4E046B0C"/>
    <w:rsid w:val="4E1131A0"/>
    <w:rsid w:val="4E470622"/>
    <w:rsid w:val="4E5E45D2"/>
    <w:rsid w:val="4E66112F"/>
    <w:rsid w:val="4EB57E15"/>
    <w:rsid w:val="4EFB1622"/>
    <w:rsid w:val="4F1D45B9"/>
    <w:rsid w:val="4F3141FC"/>
    <w:rsid w:val="4F3B33EB"/>
    <w:rsid w:val="4F5E5E3A"/>
    <w:rsid w:val="4F833B49"/>
    <w:rsid w:val="504D489E"/>
    <w:rsid w:val="505C2070"/>
    <w:rsid w:val="50AC6DEA"/>
    <w:rsid w:val="50B618F8"/>
    <w:rsid w:val="50B9327D"/>
    <w:rsid w:val="50D13718"/>
    <w:rsid w:val="50D71E2D"/>
    <w:rsid w:val="514805FC"/>
    <w:rsid w:val="517B26E0"/>
    <w:rsid w:val="51950F66"/>
    <w:rsid w:val="5219373E"/>
    <w:rsid w:val="524C0A95"/>
    <w:rsid w:val="52780153"/>
    <w:rsid w:val="52EF7092"/>
    <w:rsid w:val="52F50359"/>
    <w:rsid w:val="53155F5F"/>
    <w:rsid w:val="532064EF"/>
    <w:rsid w:val="539677B2"/>
    <w:rsid w:val="539B5F4C"/>
    <w:rsid w:val="53C2259E"/>
    <w:rsid w:val="53F44044"/>
    <w:rsid w:val="53FB4F58"/>
    <w:rsid w:val="54047DE6"/>
    <w:rsid w:val="54BF0519"/>
    <w:rsid w:val="55F51240"/>
    <w:rsid w:val="561B6485"/>
    <w:rsid w:val="56376A81"/>
    <w:rsid w:val="566B4A32"/>
    <w:rsid w:val="567D1A39"/>
    <w:rsid w:val="56812378"/>
    <w:rsid w:val="56A64B36"/>
    <w:rsid w:val="56EF4E6F"/>
    <w:rsid w:val="575431DF"/>
    <w:rsid w:val="57597E5D"/>
    <w:rsid w:val="576079D6"/>
    <w:rsid w:val="57C205D4"/>
    <w:rsid w:val="57E25806"/>
    <w:rsid w:val="581A432A"/>
    <w:rsid w:val="58381A4A"/>
    <w:rsid w:val="58B925EB"/>
    <w:rsid w:val="58DF20B1"/>
    <w:rsid w:val="58EF2ED0"/>
    <w:rsid w:val="5910752F"/>
    <w:rsid w:val="59144A6B"/>
    <w:rsid w:val="59205884"/>
    <w:rsid w:val="597317D1"/>
    <w:rsid w:val="597E4543"/>
    <w:rsid w:val="598A3524"/>
    <w:rsid w:val="59D963B1"/>
    <w:rsid w:val="59EE2A23"/>
    <w:rsid w:val="59F60EF3"/>
    <w:rsid w:val="5A093EC3"/>
    <w:rsid w:val="5A1070D1"/>
    <w:rsid w:val="5A650D5A"/>
    <w:rsid w:val="5A86434D"/>
    <w:rsid w:val="5A8702A8"/>
    <w:rsid w:val="5ADF54B5"/>
    <w:rsid w:val="5AF50649"/>
    <w:rsid w:val="5B591D6B"/>
    <w:rsid w:val="5B8174BD"/>
    <w:rsid w:val="5B956ECD"/>
    <w:rsid w:val="5C6D5D06"/>
    <w:rsid w:val="5C882FDD"/>
    <w:rsid w:val="5C8D0FEA"/>
    <w:rsid w:val="5C98615B"/>
    <w:rsid w:val="5CB22E1D"/>
    <w:rsid w:val="5CBD3C3C"/>
    <w:rsid w:val="5CE337EF"/>
    <w:rsid w:val="5D3922E6"/>
    <w:rsid w:val="5D78775B"/>
    <w:rsid w:val="5D7A4CE1"/>
    <w:rsid w:val="5DCB48EE"/>
    <w:rsid w:val="5DFC162E"/>
    <w:rsid w:val="5E0B4E24"/>
    <w:rsid w:val="5E0F1B60"/>
    <w:rsid w:val="5E7B340D"/>
    <w:rsid w:val="5EB35D09"/>
    <w:rsid w:val="5EC17405"/>
    <w:rsid w:val="5ECB7D14"/>
    <w:rsid w:val="5ECE5416"/>
    <w:rsid w:val="5EEB7403"/>
    <w:rsid w:val="5F095F47"/>
    <w:rsid w:val="5F0C6580"/>
    <w:rsid w:val="5F20411D"/>
    <w:rsid w:val="5F247745"/>
    <w:rsid w:val="5F43566A"/>
    <w:rsid w:val="5F5271CC"/>
    <w:rsid w:val="5FE307E1"/>
    <w:rsid w:val="5FEF45F4"/>
    <w:rsid w:val="5FFB2605"/>
    <w:rsid w:val="600C6122"/>
    <w:rsid w:val="60382A88"/>
    <w:rsid w:val="608C2C29"/>
    <w:rsid w:val="60B91793"/>
    <w:rsid w:val="60CC4D75"/>
    <w:rsid w:val="60E67AA7"/>
    <w:rsid w:val="6124795C"/>
    <w:rsid w:val="61331572"/>
    <w:rsid w:val="613F1997"/>
    <w:rsid w:val="6142619F"/>
    <w:rsid w:val="614D07E8"/>
    <w:rsid w:val="61521F2D"/>
    <w:rsid w:val="61883090"/>
    <w:rsid w:val="618E39BF"/>
    <w:rsid w:val="618F2A1B"/>
    <w:rsid w:val="619E0AB7"/>
    <w:rsid w:val="61B16453"/>
    <w:rsid w:val="61BA0B42"/>
    <w:rsid w:val="61E536FC"/>
    <w:rsid w:val="620C10EB"/>
    <w:rsid w:val="620D0C17"/>
    <w:rsid w:val="624548B3"/>
    <w:rsid w:val="627E6257"/>
    <w:rsid w:val="628D12AE"/>
    <w:rsid w:val="629E645C"/>
    <w:rsid w:val="62C9149E"/>
    <w:rsid w:val="62E5554B"/>
    <w:rsid w:val="631B084A"/>
    <w:rsid w:val="632A023E"/>
    <w:rsid w:val="63894210"/>
    <w:rsid w:val="63CD32CA"/>
    <w:rsid w:val="63DD04FD"/>
    <w:rsid w:val="63E17D6C"/>
    <w:rsid w:val="63F6448F"/>
    <w:rsid w:val="64133A3F"/>
    <w:rsid w:val="643D2685"/>
    <w:rsid w:val="643E4883"/>
    <w:rsid w:val="6495118C"/>
    <w:rsid w:val="64BF1959"/>
    <w:rsid w:val="64C14621"/>
    <w:rsid w:val="64EF46A6"/>
    <w:rsid w:val="65014B04"/>
    <w:rsid w:val="65017F33"/>
    <w:rsid w:val="65143FAD"/>
    <w:rsid w:val="65225514"/>
    <w:rsid w:val="653A47CB"/>
    <w:rsid w:val="655A3D56"/>
    <w:rsid w:val="657938B0"/>
    <w:rsid w:val="65A137B1"/>
    <w:rsid w:val="65CD5630"/>
    <w:rsid w:val="65FC7340"/>
    <w:rsid w:val="662117DA"/>
    <w:rsid w:val="663C214A"/>
    <w:rsid w:val="664A6EE1"/>
    <w:rsid w:val="66682C0E"/>
    <w:rsid w:val="66A065EB"/>
    <w:rsid w:val="66A32DF3"/>
    <w:rsid w:val="66A717F9"/>
    <w:rsid w:val="66A9578C"/>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8718B2"/>
    <w:rsid w:val="69AC4F69"/>
    <w:rsid w:val="69D72936"/>
    <w:rsid w:val="6A4C28F4"/>
    <w:rsid w:val="6A572E84"/>
    <w:rsid w:val="6A5C730C"/>
    <w:rsid w:val="6A8E01AC"/>
    <w:rsid w:val="6ABE3B2D"/>
    <w:rsid w:val="6B2D6E6C"/>
    <w:rsid w:val="6B4F2A74"/>
    <w:rsid w:val="6B7460C1"/>
    <w:rsid w:val="6B7912ED"/>
    <w:rsid w:val="6BA359B8"/>
    <w:rsid w:val="6C035B7A"/>
    <w:rsid w:val="6C303D8F"/>
    <w:rsid w:val="6C6A6233"/>
    <w:rsid w:val="6C6C0792"/>
    <w:rsid w:val="6C9E1E44"/>
    <w:rsid w:val="6CAB2100"/>
    <w:rsid w:val="6CE33832"/>
    <w:rsid w:val="6D106257"/>
    <w:rsid w:val="6D1F1846"/>
    <w:rsid w:val="6D8E77D0"/>
    <w:rsid w:val="6D9A555F"/>
    <w:rsid w:val="6DC70BD2"/>
    <w:rsid w:val="6DFD7CD4"/>
    <w:rsid w:val="6E046353"/>
    <w:rsid w:val="6E3034D4"/>
    <w:rsid w:val="6F5161E8"/>
    <w:rsid w:val="6F722BE7"/>
    <w:rsid w:val="6FF51B3B"/>
    <w:rsid w:val="6FFC72C8"/>
    <w:rsid w:val="704A3BFB"/>
    <w:rsid w:val="709561C1"/>
    <w:rsid w:val="709642CC"/>
    <w:rsid w:val="70CF70D5"/>
    <w:rsid w:val="70F85622"/>
    <w:rsid w:val="711F0324"/>
    <w:rsid w:val="7156627F"/>
    <w:rsid w:val="71812947"/>
    <w:rsid w:val="719B567C"/>
    <w:rsid w:val="72210801"/>
    <w:rsid w:val="72755659"/>
    <w:rsid w:val="72827EA0"/>
    <w:rsid w:val="72CE224D"/>
    <w:rsid w:val="72E91E80"/>
    <w:rsid w:val="73022ABD"/>
    <w:rsid w:val="73E55634"/>
    <w:rsid w:val="7408726D"/>
    <w:rsid w:val="747E7F88"/>
    <w:rsid w:val="74905ACD"/>
    <w:rsid w:val="74C3179F"/>
    <w:rsid w:val="74FF3B82"/>
    <w:rsid w:val="75186CAB"/>
    <w:rsid w:val="755D77B8"/>
    <w:rsid w:val="761D2C35"/>
    <w:rsid w:val="765C023B"/>
    <w:rsid w:val="7684397E"/>
    <w:rsid w:val="76B344CD"/>
    <w:rsid w:val="77150CEF"/>
    <w:rsid w:val="774477A2"/>
    <w:rsid w:val="77492D2D"/>
    <w:rsid w:val="77524F4D"/>
    <w:rsid w:val="775B5A6C"/>
    <w:rsid w:val="777C1998"/>
    <w:rsid w:val="77DA01B2"/>
    <w:rsid w:val="77EF6453"/>
    <w:rsid w:val="78177B29"/>
    <w:rsid w:val="782352CE"/>
    <w:rsid w:val="782A33A6"/>
    <w:rsid w:val="782E17BB"/>
    <w:rsid w:val="783A2119"/>
    <w:rsid w:val="784D09EB"/>
    <w:rsid w:val="78535B94"/>
    <w:rsid w:val="785E0C86"/>
    <w:rsid w:val="786A5D9D"/>
    <w:rsid w:val="787F629A"/>
    <w:rsid w:val="78A83684"/>
    <w:rsid w:val="78AA535B"/>
    <w:rsid w:val="78D9250F"/>
    <w:rsid w:val="78DC2FDD"/>
    <w:rsid w:val="78DC7260"/>
    <w:rsid w:val="7900411B"/>
    <w:rsid w:val="790D0E29"/>
    <w:rsid w:val="79395171"/>
    <w:rsid w:val="79A35C57"/>
    <w:rsid w:val="79A90A44"/>
    <w:rsid w:val="79B85C40"/>
    <w:rsid w:val="7A385137"/>
    <w:rsid w:val="7A4D5F33"/>
    <w:rsid w:val="7AFC2853"/>
    <w:rsid w:val="7B425546"/>
    <w:rsid w:val="7B4A194A"/>
    <w:rsid w:val="7B5016A8"/>
    <w:rsid w:val="7B647B37"/>
    <w:rsid w:val="7B825B7C"/>
    <w:rsid w:val="7B931FE5"/>
    <w:rsid w:val="7B9F28DD"/>
    <w:rsid w:val="7BB80D0E"/>
    <w:rsid w:val="7BBF3DB1"/>
    <w:rsid w:val="7BC24B9B"/>
    <w:rsid w:val="7BD21CD6"/>
    <w:rsid w:val="7BE372CE"/>
    <w:rsid w:val="7C440773"/>
    <w:rsid w:val="7C981154"/>
    <w:rsid w:val="7C9B635C"/>
    <w:rsid w:val="7CB55428"/>
    <w:rsid w:val="7CCC5756"/>
    <w:rsid w:val="7D0C38B8"/>
    <w:rsid w:val="7D466F15"/>
    <w:rsid w:val="7D805BC0"/>
    <w:rsid w:val="7D9A0522"/>
    <w:rsid w:val="7DAE7CF4"/>
    <w:rsid w:val="7DC971F1"/>
    <w:rsid w:val="7DD76804"/>
    <w:rsid w:val="7DEB54A4"/>
    <w:rsid w:val="7E125364"/>
    <w:rsid w:val="7E93243A"/>
    <w:rsid w:val="7EB03B57"/>
    <w:rsid w:val="7EBA0FF5"/>
    <w:rsid w:val="7F2B5BFA"/>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8</TotalTime>
  <ScaleCrop>false</ScaleCrop>
  <LinksUpToDate>false</LinksUpToDate>
  <CharactersWithSpaces>22916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sylc</cp:lastModifiedBy>
  <cp:lastPrinted>2026-01-27T02:32:00Z</cp:lastPrinted>
  <dcterms:modified xsi:type="dcterms:W3CDTF">2026-07-30T03:35:07Z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