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lang w:val="en-US" w:eastAsia="zh-CN"/>
        </w:rPr>
        <w:t>普通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投资者首次购买理财产品需进行开户，可持有效证件</w:t>
      </w:r>
      <w:r>
        <w:rPr>
          <w:rFonts w:hint="eastAsia" w:ascii="楷体" w:hAnsi="楷体" w:eastAsia="楷体" w:cs="楷体"/>
          <w:kern w:val="0"/>
          <w:sz w:val="21"/>
          <w:szCs w:val="21"/>
          <w:lang w:val="en-US" w:eastAsia="zh-CN"/>
        </w:rPr>
        <w:t>和相关材料（具体以代销机构所需材料为准）</w:t>
      </w:r>
      <w:r>
        <w:rPr>
          <w:rFonts w:hint="eastAsia" w:ascii="楷体" w:hAnsi="楷体" w:eastAsia="楷体" w:cs="楷体"/>
          <w:kern w:val="0"/>
          <w:sz w:val="21"/>
          <w:szCs w:val="21"/>
        </w:rPr>
        <w:t>至代销机构营业网点或登录代销机构电子渠道填写《风险承受能力测评问卷》，开立苏银理财有限责任公司理财账户，签字确认开户申请并取得开户凭证。开户完成后可按以下购买流程购买理财产品。</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lang w:val="en-US" w:eastAsia="zh-CN"/>
        </w:rPr>
        <w:t>专业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专业</w:t>
      </w:r>
      <w:r>
        <w:rPr>
          <w:rFonts w:hint="eastAsia" w:ascii="楷体" w:hAnsi="楷体" w:eastAsia="楷体" w:cs="楷体"/>
          <w:kern w:val="0"/>
          <w:sz w:val="21"/>
          <w:szCs w:val="21"/>
        </w:rPr>
        <w:t>投资者首次购买理财产品需进行开户，可持有效</w:t>
      </w:r>
      <w:r>
        <w:rPr>
          <w:rFonts w:hint="eastAsia" w:ascii="楷体" w:hAnsi="楷体" w:eastAsia="楷体" w:cs="楷体"/>
          <w:kern w:val="0"/>
          <w:sz w:val="21"/>
          <w:szCs w:val="21"/>
          <w:lang w:val="en-US" w:eastAsia="zh-CN"/>
        </w:rPr>
        <w:t>证件和相关材料（具体以代销机构所需材料为准）</w:t>
      </w:r>
      <w:r>
        <w:rPr>
          <w:rFonts w:hint="eastAsia" w:ascii="楷体" w:hAnsi="楷体" w:eastAsia="楷体" w:cs="楷体"/>
          <w:kern w:val="0"/>
          <w:sz w:val="21"/>
          <w:szCs w:val="21"/>
        </w:rPr>
        <w:t>至代销机构营业网点或登录代销机构电子渠道开立苏银理财有限责任公司理财账户，签字确认开户申请并取得开户凭证。开户完成后可按以下购买流程购买理财产品。</w:t>
      </w:r>
    </w:p>
    <w:p>
      <w:pPr>
        <w:autoSpaceDE w:val="0"/>
        <w:autoSpaceDN w:val="0"/>
        <w:adjustRightInd w:val="0"/>
        <w:ind w:firstLine="420"/>
        <w:jc w:val="left"/>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318" w:firstLineChars="151"/>
        <w:rPr>
          <w:rFonts w:hint="default" w:ascii="楷体" w:hAnsi="楷体" w:eastAsia="楷体" w:cs="浠垮畫"/>
          <w:b/>
          <w:kern w:val="0"/>
          <w:sz w:val="21"/>
          <w:szCs w:val="21"/>
          <w:lang w:val="en-US" w:eastAsia="zh-CN"/>
        </w:rPr>
      </w:pPr>
      <w:r>
        <w:rPr>
          <w:rFonts w:hint="eastAsia" w:ascii="楷体" w:hAnsi="楷体" w:eastAsia="楷体" w:cs="浠垮畫"/>
          <w:b/>
          <w:kern w:val="0"/>
          <w:sz w:val="21"/>
          <w:szCs w:val="21"/>
        </w:rPr>
        <w:t>二、产品内部风险评级</w:t>
      </w:r>
      <w:r>
        <w:rPr>
          <w:rFonts w:hint="eastAsia" w:ascii="楷体" w:hAnsi="楷体" w:eastAsia="楷体" w:cs="浠垮畫"/>
          <w:b/>
          <w:kern w:val="0"/>
          <w:sz w:val="21"/>
          <w:szCs w:val="21"/>
          <w:lang w:val="en-US" w:eastAsia="zh-CN"/>
        </w:rPr>
        <w:t>与投资者类型</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430"/>
        <w:gridCol w:w="3437"/>
        <w:gridCol w:w="1910"/>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132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43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3437"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lang w:val="en-US" w:eastAsia="zh-CN"/>
              </w:rPr>
            </w:pPr>
            <w:r>
              <w:rPr>
                <w:rFonts w:hint="eastAsia" w:ascii="楷体" w:hAnsi="楷体" w:eastAsia="楷体" w:cs="浠垮畫"/>
                <w:kern w:val="0"/>
                <w:sz w:val="21"/>
                <w:szCs w:val="21"/>
                <w:lang w:val="en-US" w:eastAsia="zh-CN"/>
              </w:rPr>
              <w:t>产品风险评级说明</w:t>
            </w:r>
          </w:p>
        </w:tc>
        <w:tc>
          <w:tcPr>
            <w:tcW w:w="191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1539"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323"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3437"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both"/>
              <w:rPr>
                <w:rFonts w:hint="eastAsia" w:ascii="楷体" w:hAnsi="楷体" w:eastAsia="楷体" w:cs="浠垮畫"/>
                <w:kern w:val="0"/>
                <w:sz w:val="21"/>
                <w:szCs w:val="21"/>
              </w:rPr>
            </w:pPr>
            <w:r>
              <w:rPr>
                <w:rFonts w:hint="eastAsia" w:ascii="楷体" w:hAnsi="楷体" w:eastAsia="楷体" w:cs="浠垮畫"/>
                <w:kern w:val="0"/>
                <w:sz w:val="21"/>
                <w:szCs w:val="21"/>
              </w:rPr>
              <w:t>总体风险程度低，净值波动小，本金遭受损失的可能性低。</w:t>
            </w:r>
          </w:p>
        </w:tc>
        <w:tc>
          <w:tcPr>
            <w:tcW w:w="1910"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1539"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2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3437" w:type="dxa"/>
            <w:noWrap w:val="0"/>
            <w:vAlign w:val="center"/>
          </w:tcPr>
          <w:p>
            <w:pPr>
              <w:keepNext w:val="0"/>
              <w:keepLines w:val="0"/>
              <w:suppressLineNumbers w:val="0"/>
              <w:autoSpaceDE w:val="0"/>
              <w:autoSpaceDN w:val="0"/>
              <w:adjustRightInd w:val="0"/>
              <w:spacing w:before="0" w:beforeAutospacing="0" w:after="0" w:afterAutospacing="0"/>
              <w:ind w:left="0" w:right="0"/>
              <w:jc w:val="both"/>
              <w:rPr>
                <w:rFonts w:hint="eastAsia" w:ascii="楷体" w:hAnsi="楷体" w:eastAsia="楷体" w:cs="浠垮畫"/>
                <w:kern w:val="0"/>
                <w:sz w:val="21"/>
                <w:szCs w:val="21"/>
              </w:rPr>
            </w:pPr>
            <w:r>
              <w:rPr>
                <w:rFonts w:hint="eastAsia" w:ascii="楷体" w:hAnsi="楷体" w:eastAsia="楷体" w:cs="浠垮畫"/>
                <w:kern w:val="0"/>
                <w:sz w:val="21"/>
                <w:szCs w:val="21"/>
              </w:rPr>
              <w:t>总体风险程度较低，净值波动较小，本金遭受损失的可能性较低。</w:t>
            </w:r>
          </w:p>
        </w:tc>
        <w:tc>
          <w:tcPr>
            <w:tcW w:w="191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1539"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2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3437" w:type="dxa"/>
            <w:noWrap w:val="0"/>
            <w:vAlign w:val="center"/>
          </w:tcPr>
          <w:p>
            <w:pPr>
              <w:keepNext w:val="0"/>
              <w:keepLines w:val="0"/>
              <w:suppressLineNumbers w:val="0"/>
              <w:autoSpaceDE w:val="0"/>
              <w:autoSpaceDN w:val="0"/>
              <w:adjustRightInd w:val="0"/>
              <w:spacing w:before="0" w:beforeAutospacing="0" w:after="0" w:afterAutospacing="0"/>
              <w:ind w:left="0" w:right="0"/>
              <w:jc w:val="left"/>
              <w:rPr>
                <w:rFonts w:hint="eastAsia" w:ascii="楷体" w:hAnsi="楷体" w:eastAsia="楷体" w:cs="浠垮畫"/>
                <w:kern w:val="0"/>
                <w:sz w:val="21"/>
                <w:szCs w:val="21"/>
              </w:rPr>
            </w:pPr>
            <w:r>
              <w:rPr>
                <w:rFonts w:hint="eastAsia" w:ascii="楷体" w:hAnsi="楷体" w:eastAsia="楷体" w:cs="浠垮畫"/>
                <w:kern w:val="0"/>
                <w:sz w:val="21"/>
                <w:szCs w:val="21"/>
              </w:rPr>
              <w:t>总体风险程度中等，净值波动中等，本金遭受损失的可能性中等。</w:t>
            </w:r>
          </w:p>
        </w:tc>
        <w:tc>
          <w:tcPr>
            <w:tcW w:w="191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1539"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32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3437" w:type="dxa"/>
            <w:noWrap w:val="0"/>
            <w:vAlign w:val="center"/>
          </w:tcPr>
          <w:p>
            <w:pPr>
              <w:keepNext w:val="0"/>
              <w:keepLines w:val="0"/>
              <w:suppressLineNumbers w:val="0"/>
              <w:autoSpaceDE w:val="0"/>
              <w:autoSpaceDN w:val="0"/>
              <w:adjustRightInd w:val="0"/>
              <w:spacing w:before="0" w:beforeAutospacing="0" w:after="0" w:afterAutospacing="0"/>
              <w:ind w:left="0" w:right="0"/>
              <w:jc w:val="left"/>
              <w:rPr>
                <w:rFonts w:hint="eastAsia" w:ascii="楷体" w:hAnsi="楷体" w:eastAsia="楷体" w:cs="浠垮畫"/>
                <w:kern w:val="0"/>
                <w:sz w:val="21"/>
                <w:szCs w:val="21"/>
              </w:rPr>
            </w:pPr>
            <w:r>
              <w:rPr>
                <w:rFonts w:hint="eastAsia" w:ascii="楷体" w:hAnsi="楷体" w:eastAsia="楷体" w:cs="浠垮畫"/>
                <w:kern w:val="0"/>
                <w:sz w:val="21"/>
                <w:szCs w:val="21"/>
              </w:rPr>
              <w:t>总体风险程度较高，净值波动较大，本金遭受损失的可能性较高。</w:t>
            </w:r>
          </w:p>
        </w:tc>
        <w:tc>
          <w:tcPr>
            <w:tcW w:w="191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1539"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32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3437" w:type="dxa"/>
            <w:noWrap w:val="0"/>
            <w:vAlign w:val="center"/>
          </w:tcPr>
          <w:p>
            <w:pPr>
              <w:keepNext w:val="0"/>
              <w:keepLines w:val="0"/>
              <w:suppressLineNumbers w:val="0"/>
              <w:autoSpaceDE w:val="0"/>
              <w:autoSpaceDN w:val="0"/>
              <w:adjustRightInd w:val="0"/>
              <w:spacing w:before="0" w:beforeAutospacing="0" w:after="0" w:afterAutospacing="0"/>
              <w:ind w:left="0" w:right="0"/>
              <w:rPr>
                <w:rFonts w:hint="eastAsia" w:ascii="楷体" w:hAnsi="楷体" w:eastAsia="楷体" w:cs="浠垮畫"/>
                <w:kern w:val="0"/>
                <w:sz w:val="21"/>
                <w:szCs w:val="21"/>
              </w:rPr>
            </w:pPr>
            <w:r>
              <w:rPr>
                <w:rFonts w:hint="eastAsia" w:ascii="楷体" w:hAnsi="楷体" w:eastAsia="楷体" w:cs="浠垮畫"/>
                <w:kern w:val="0"/>
                <w:sz w:val="21"/>
                <w:szCs w:val="21"/>
              </w:rPr>
              <w:t>总体风险程度高，净值波动大，本金遭受损失的可能性高。</w:t>
            </w:r>
            <w:bookmarkStart w:id="0" w:name="_GoBack"/>
            <w:bookmarkEnd w:id="0"/>
          </w:p>
        </w:tc>
        <w:tc>
          <w:tcPr>
            <w:tcW w:w="191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1539"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numPr>
          <w:ilvl w:val="0"/>
          <w:numId w:val="1"/>
        </w:numPr>
        <w:autoSpaceDE w:val="0"/>
        <w:autoSpaceDN w:val="0"/>
        <w:adjustRightInd w:val="0"/>
        <w:ind w:firstLine="371" w:firstLineChars="177"/>
        <w:rPr>
          <w:rFonts w:hint="eastAsia" w:ascii="楷体" w:hAnsi="楷体" w:eastAsia="楷体" w:cs="浠垮畫"/>
          <w:kern w:val="0"/>
          <w:sz w:val="21"/>
          <w:szCs w:val="21"/>
        </w:rPr>
      </w:pP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numPr>
          <w:ilvl w:val="0"/>
          <w:numId w:val="1"/>
        </w:numPr>
        <w:autoSpaceDE w:val="0"/>
        <w:autoSpaceDN w:val="0"/>
        <w:adjustRightInd w:val="0"/>
        <w:ind w:left="0" w:leftChars="0" w:firstLine="371" w:firstLineChars="177"/>
        <w:rPr>
          <w:rFonts w:hint="eastAsia" w:ascii="楷体" w:hAnsi="楷体" w:eastAsia="楷体" w:cs="浠垮畫"/>
          <w:kern w:val="0"/>
          <w:sz w:val="21"/>
          <w:szCs w:val="21"/>
        </w:rPr>
      </w:pP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numPr>
          <w:ilvl w:val="0"/>
          <w:numId w:val="1"/>
        </w:numPr>
        <w:autoSpaceDE w:val="0"/>
        <w:autoSpaceDN w:val="0"/>
        <w:adjustRightInd w:val="0"/>
        <w:ind w:left="0" w:leftChars="0" w:firstLine="371" w:firstLineChars="177"/>
        <w:rPr>
          <w:rFonts w:hint="eastAsia" w:ascii="楷体" w:hAnsi="楷体" w:eastAsia="楷体" w:cs="浠垮畫"/>
          <w:kern w:val="0"/>
          <w:sz w:val="21"/>
          <w:szCs w:val="21"/>
        </w:rPr>
      </w:pP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numPr>
          <w:ilvl w:val="0"/>
          <w:numId w:val="1"/>
        </w:numPr>
        <w:autoSpaceDE w:val="0"/>
        <w:autoSpaceDN w:val="0"/>
        <w:adjustRightInd w:val="0"/>
        <w:ind w:left="0" w:leftChars="0" w:firstLine="371" w:firstLineChars="177"/>
        <w:rPr>
          <w:rFonts w:hint="eastAsia" w:ascii="楷体" w:hAnsi="楷体" w:eastAsia="楷体" w:cs="浠垮畫"/>
          <w:kern w:val="0"/>
          <w:sz w:val="21"/>
          <w:szCs w:val="21"/>
        </w:rPr>
      </w:pP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numPr>
          <w:ilvl w:val="0"/>
          <w:numId w:val="1"/>
        </w:numPr>
        <w:autoSpaceDE w:val="0"/>
        <w:autoSpaceDN w:val="0"/>
        <w:adjustRightInd w:val="0"/>
        <w:ind w:left="0" w:leftChars="0" w:firstLine="371" w:firstLineChars="177"/>
        <w:rPr>
          <w:rFonts w:hint="eastAsia" w:ascii="楷体" w:hAnsi="楷体" w:eastAsia="楷体" w:cs="浠垮畫"/>
          <w:kern w:val="0"/>
          <w:sz w:val="21"/>
          <w:szCs w:val="21"/>
        </w:rPr>
      </w:pP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投资者风险承受能力评估流程</w:t>
      </w:r>
    </w:p>
    <w:p>
      <w:pPr>
        <w:autoSpaceDE w:val="0"/>
        <w:autoSpaceDN w:val="0"/>
        <w:adjustRightInd w:val="0"/>
        <w:ind w:firstLine="420" w:firstLineChars="200"/>
        <w:jc w:val="left"/>
        <w:rPr>
          <w:rFonts w:hint="eastAsia" w:ascii="楷体" w:hAnsi="楷体" w:eastAsia="楷体" w:cs="浠垮畫"/>
          <w:kern w:val="0"/>
          <w:sz w:val="21"/>
          <w:szCs w:val="21"/>
        </w:rPr>
      </w:pP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投资者首次购买理财产品以及</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投资者超过一年未进行风险承受能力评估或发生可能影响自身风险承受能力的情况，均需进行风险承受能力评估。可至代销机构营业网点或登录电子渠道填写《风险承受能力评测问卷》，在知晓本人</w:t>
      </w:r>
      <w:r>
        <w:rPr>
          <w:rFonts w:hint="eastAsia" w:ascii="楷体" w:hAnsi="楷体" w:eastAsia="楷体" w:cs="楷体"/>
          <w:kern w:val="0"/>
          <w:sz w:val="21"/>
          <w:szCs w:val="21"/>
          <w:lang w:val="en-US" w:eastAsia="zh-CN"/>
        </w:rPr>
        <w:t>/本机构</w:t>
      </w:r>
      <w:r>
        <w:rPr>
          <w:rFonts w:hint="eastAsia" w:ascii="楷体" w:hAnsi="楷体" w:eastAsia="楷体" w:cs="楷体"/>
          <w:kern w:val="0"/>
          <w:sz w:val="21"/>
          <w:szCs w:val="21"/>
        </w:rPr>
        <w:t>风险评测结果后签字或点击确认。</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投资者的风险承受能力等级不低于本产品风险评级。</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243.65pt;width:249.9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8A8ECA"/>
    <w:multiLevelType w:val="singleLevel"/>
    <w:tmpl w:val="FE8A8ECA"/>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5F612C1"/>
    <w:rsid w:val="061606D5"/>
    <w:rsid w:val="06163E98"/>
    <w:rsid w:val="067C4002"/>
    <w:rsid w:val="068635D4"/>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4F13D78"/>
    <w:rsid w:val="158E7E44"/>
    <w:rsid w:val="15CF287D"/>
    <w:rsid w:val="16D34A53"/>
    <w:rsid w:val="173B5283"/>
    <w:rsid w:val="175F5C40"/>
    <w:rsid w:val="18485B9A"/>
    <w:rsid w:val="192B2CC4"/>
    <w:rsid w:val="19C95FDB"/>
    <w:rsid w:val="1B081AAC"/>
    <w:rsid w:val="1B1644A1"/>
    <w:rsid w:val="1B5015DA"/>
    <w:rsid w:val="1EAE1EFC"/>
    <w:rsid w:val="1F5E32BF"/>
    <w:rsid w:val="1F645569"/>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9910BD7"/>
    <w:rsid w:val="39BF24C9"/>
    <w:rsid w:val="3A7007EE"/>
    <w:rsid w:val="3B9519DF"/>
    <w:rsid w:val="3BE57419"/>
    <w:rsid w:val="3C227735"/>
    <w:rsid w:val="3D153712"/>
    <w:rsid w:val="3D205CE9"/>
    <w:rsid w:val="3DF25072"/>
    <w:rsid w:val="3E2D678E"/>
    <w:rsid w:val="3E335F6C"/>
    <w:rsid w:val="3ECF4729"/>
    <w:rsid w:val="3FBE4A8F"/>
    <w:rsid w:val="3FDD0FD4"/>
    <w:rsid w:val="404C5434"/>
    <w:rsid w:val="40CE75B7"/>
    <w:rsid w:val="41520337"/>
    <w:rsid w:val="42CC1880"/>
    <w:rsid w:val="44DF4FDA"/>
    <w:rsid w:val="465E26CD"/>
    <w:rsid w:val="465F29F9"/>
    <w:rsid w:val="46996AFD"/>
    <w:rsid w:val="47665A62"/>
    <w:rsid w:val="4A120FE1"/>
    <w:rsid w:val="4A9D0981"/>
    <w:rsid w:val="4C0F7955"/>
    <w:rsid w:val="4DB908E0"/>
    <w:rsid w:val="4E96120B"/>
    <w:rsid w:val="4EB23DF4"/>
    <w:rsid w:val="50062B08"/>
    <w:rsid w:val="502E27B1"/>
    <w:rsid w:val="50975EFF"/>
    <w:rsid w:val="51603484"/>
    <w:rsid w:val="518566CD"/>
    <w:rsid w:val="51DE4762"/>
    <w:rsid w:val="5271353A"/>
    <w:rsid w:val="52756E32"/>
    <w:rsid w:val="53CF76BD"/>
    <w:rsid w:val="53E64A5C"/>
    <w:rsid w:val="53F520EF"/>
    <w:rsid w:val="53F9098C"/>
    <w:rsid w:val="55221270"/>
    <w:rsid w:val="55B56202"/>
    <w:rsid w:val="577B3BA6"/>
    <w:rsid w:val="57F24C5E"/>
    <w:rsid w:val="59AB3818"/>
    <w:rsid w:val="5A594CC3"/>
    <w:rsid w:val="5E6E1B79"/>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BC0046F"/>
    <w:rsid w:val="6CDB178F"/>
    <w:rsid w:val="6D4B40C0"/>
    <w:rsid w:val="6FAE3061"/>
    <w:rsid w:val="71084330"/>
    <w:rsid w:val="7282195C"/>
    <w:rsid w:val="72D967C4"/>
    <w:rsid w:val="7396760B"/>
    <w:rsid w:val="73A56C56"/>
    <w:rsid w:val="73D33EF5"/>
    <w:rsid w:val="74966354"/>
    <w:rsid w:val="751B0501"/>
    <w:rsid w:val="75213D37"/>
    <w:rsid w:val="755D7996"/>
    <w:rsid w:val="75626B88"/>
    <w:rsid w:val="75784475"/>
    <w:rsid w:val="75B708C9"/>
    <w:rsid w:val="75CD3A2D"/>
    <w:rsid w:val="763900A2"/>
    <w:rsid w:val="767E6C03"/>
    <w:rsid w:val="77667C2A"/>
    <w:rsid w:val="786D6001"/>
    <w:rsid w:val="794569C4"/>
    <w:rsid w:val="7AB620DF"/>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sylc</cp:lastModifiedBy>
  <cp:lastPrinted>2026-07-08T03:07:00Z</cp:lastPrinted>
  <dcterms:modified xsi:type="dcterms:W3CDTF">2026-07-10T06:35:24Z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