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FB12A" w14:textId="6D0F98C6" w:rsidR="00A2049A" w:rsidRDefault="0029186B">
      <w:pPr>
        <w:widowControl/>
        <w:snapToGrid w:val="0"/>
        <w:jc w:val="center"/>
        <w:rPr>
          <w:rFonts w:ascii="方正小标宋简体" w:eastAsia="方正小标宋简体" w:hAnsi="宋体" w:cs="宋体"/>
          <w:bCs/>
          <w:kern w:val="0"/>
          <w:sz w:val="36"/>
          <w:szCs w:val="36"/>
        </w:rPr>
      </w:pPr>
      <w:r>
        <w:rPr>
          <w:rFonts w:ascii="方正小标宋简体" w:eastAsia="方正小标宋简体" w:hAnsi="宋体" w:cs="宋体" w:hint="eastAsia"/>
          <w:bCs/>
          <w:kern w:val="0"/>
          <w:sz w:val="36"/>
          <w:szCs w:val="36"/>
        </w:rPr>
        <w:t>浙</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银</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理</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财</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琮</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简</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富</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春</w:t>
      </w:r>
      <w:r>
        <w:rPr>
          <w:rFonts w:ascii="方正小标宋简体" w:eastAsia="方正小标宋简体" w:hAnsi="宋体" w:cs="宋体" w:hint="eastAsia"/>
          <w:bCs/>
          <w:kern w:val="0"/>
          <w:sz w:val="36"/>
          <w:szCs w:val="36"/>
        </w:rPr>
        <w:t>147</w:t>
      </w:r>
      <w:r>
        <w:rPr>
          <w:rFonts w:ascii="方正小标宋简体" w:eastAsia="方正小标宋简体" w:hAnsi="宋体" w:cs="宋体" w:hint="eastAsia"/>
          <w:bCs/>
          <w:kern w:val="0"/>
          <w:sz w:val="36"/>
          <w:szCs w:val="36"/>
        </w:rPr>
        <w:t>号</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理</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财</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产</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品</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说</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明</w:t>
      </w:r>
      <w:r w:rsidR="00B065B9">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书</w:t>
      </w:r>
    </w:p>
    <w:p w14:paraId="318641CF" w14:textId="77777777" w:rsidR="00A2049A" w:rsidRDefault="0029186B">
      <w:pPr>
        <w:widowControl/>
        <w:jc w:val="center"/>
      </w:pPr>
      <w:r>
        <w:rPr>
          <w:rFonts w:ascii="宋体" w:eastAsia="宋体" w:hAnsi="宋体" w:cs="宋体" w:hint="eastAsia"/>
          <w:b/>
          <w:bCs/>
          <w:kern w:val="0"/>
          <w:sz w:val="28"/>
          <w:szCs w:val="28"/>
          <w:lang w:bidi="ar"/>
        </w:rPr>
        <w:t>（</w:t>
      </w:r>
      <w:r>
        <w:rPr>
          <w:rFonts w:ascii="宋体" w:eastAsia="宋体" w:hAnsi="宋体" w:cs="宋体"/>
          <w:b/>
          <w:bCs/>
          <w:kern w:val="0"/>
          <w:sz w:val="28"/>
          <w:szCs w:val="28"/>
          <w:lang w:bidi="ar"/>
        </w:rPr>
        <w:t>全国银行业理财信息登记系统产品登记编码：</w:t>
      </w:r>
      <w:r>
        <w:rPr>
          <w:rFonts w:ascii="Times New Roman" w:eastAsia="宋体" w:hAnsi="Times New Roman" w:hint="eastAsia"/>
          <w:b/>
          <w:bCs/>
          <w:kern w:val="0"/>
          <w:sz w:val="28"/>
          <w:szCs w:val="28"/>
          <w:lang w:bidi="ar"/>
        </w:rPr>
        <w:t>Z7011826000218</w:t>
      </w:r>
      <w:r>
        <w:rPr>
          <w:rFonts w:ascii="宋体" w:eastAsia="宋体" w:hAnsi="宋体" w:cs="宋体" w:hint="eastAsia"/>
          <w:b/>
          <w:bCs/>
          <w:kern w:val="0"/>
          <w:sz w:val="28"/>
          <w:szCs w:val="28"/>
          <w:lang w:bidi="ar"/>
        </w:rPr>
        <w:t>）</w:t>
      </w:r>
    </w:p>
    <w:p w14:paraId="167E3CB3" w14:textId="77777777" w:rsidR="00A2049A" w:rsidRDefault="0029186B">
      <w:pPr>
        <w:widowControl/>
        <w:jc w:val="center"/>
      </w:pPr>
      <w:r>
        <w:rPr>
          <w:rFonts w:ascii="宋体" w:eastAsia="宋体" w:hAnsi="宋体" w:cs="宋体"/>
          <w:b/>
          <w:bCs/>
          <w:kern w:val="0"/>
          <w:sz w:val="20"/>
          <w:szCs w:val="20"/>
          <w:lang w:bidi="ar"/>
        </w:rPr>
        <w:t>（投资者可依据该编码在中国理财网</w:t>
      </w:r>
      <w:r>
        <w:rPr>
          <w:rFonts w:ascii="宋体" w:eastAsia="宋体" w:hAnsi="宋体" w:cs="宋体"/>
          <w:b/>
          <w:bCs/>
          <w:kern w:val="0"/>
          <w:sz w:val="20"/>
          <w:szCs w:val="20"/>
          <w:lang w:bidi="ar"/>
        </w:rPr>
        <w:t xml:space="preserve"> </w:t>
      </w:r>
      <w:r>
        <w:rPr>
          <w:rFonts w:ascii="Times New Roman" w:eastAsia="宋体" w:hAnsi="Times New Roman"/>
          <w:b/>
          <w:bCs/>
          <w:kern w:val="0"/>
          <w:sz w:val="20"/>
          <w:szCs w:val="20"/>
          <w:lang w:bidi="ar"/>
        </w:rPr>
        <w:t xml:space="preserve">www.chinawealth.com.cn </w:t>
      </w:r>
      <w:r>
        <w:rPr>
          <w:rFonts w:ascii="宋体" w:eastAsia="宋体" w:hAnsi="宋体" w:cs="宋体"/>
          <w:b/>
          <w:bCs/>
          <w:kern w:val="0"/>
          <w:sz w:val="20"/>
          <w:szCs w:val="20"/>
          <w:lang w:bidi="ar"/>
        </w:rPr>
        <w:t>查询产品信息）</w:t>
      </w:r>
    </w:p>
    <w:p w14:paraId="4A524E48" w14:textId="77777777" w:rsidR="00A2049A" w:rsidRDefault="00A2049A">
      <w:pPr>
        <w:widowControl/>
        <w:snapToGrid w:val="0"/>
        <w:jc w:val="center"/>
        <w:rPr>
          <w:rFonts w:ascii="方正小标宋简体" w:eastAsia="方正小标宋简体" w:hAnsi="宋体" w:cs="宋体"/>
          <w:bCs/>
          <w:kern w:val="0"/>
          <w:sz w:val="36"/>
          <w:szCs w:val="36"/>
        </w:rPr>
      </w:pPr>
    </w:p>
    <w:p w14:paraId="45E45FF6" w14:textId="77777777" w:rsidR="00A2049A" w:rsidRDefault="00A2049A">
      <w:pPr>
        <w:widowControl/>
        <w:snapToGrid w:val="0"/>
        <w:ind w:firstLineChars="200" w:firstLine="480"/>
        <w:rPr>
          <w:rFonts w:ascii="黑体" w:eastAsia="黑体" w:hAnsi="宋体" w:cs="宋体"/>
          <w:bCs/>
          <w:kern w:val="0"/>
          <w:szCs w:val="32"/>
        </w:rPr>
      </w:pPr>
    </w:p>
    <w:p w14:paraId="78F52552" w14:textId="77777777" w:rsidR="00A2049A" w:rsidRDefault="0029186B">
      <w:pPr>
        <w:tabs>
          <w:tab w:val="left" w:pos="3119"/>
        </w:tabs>
        <w:autoSpaceDE w:val="0"/>
        <w:autoSpaceDN w:val="0"/>
        <w:snapToGrid w:val="0"/>
        <w:spacing w:line="360" w:lineRule="auto"/>
        <w:ind w:rightChars="15" w:right="36"/>
        <w:jc w:val="center"/>
        <w:rPr>
          <w:rFonts w:ascii="黑体" w:eastAsia="黑体" w:hAnsi="宋体" w:cs="宋体"/>
          <w:bCs/>
          <w:kern w:val="0"/>
          <w:sz w:val="28"/>
          <w:szCs w:val="28"/>
        </w:rPr>
      </w:pPr>
      <w:r>
        <w:rPr>
          <w:rFonts w:ascii="黑体" w:eastAsia="黑体" w:hAnsi="宋体" w:cs="宋体" w:hint="eastAsia"/>
          <w:bCs/>
          <w:kern w:val="0"/>
          <w:sz w:val="28"/>
          <w:szCs w:val="28"/>
        </w:rPr>
        <w:t>重要提示</w:t>
      </w:r>
    </w:p>
    <w:p w14:paraId="2EF752F6" w14:textId="77777777" w:rsidR="00A2049A" w:rsidRDefault="0029186B">
      <w:pPr>
        <w:widowControl/>
        <w:tabs>
          <w:tab w:val="left" w:pos="709"/>
        </w:tabs>
        <w:snapToGrid w:val="0"/>
        <w:spacing w:line="360" w:lineRule="auto"/>
        <w:rPr>
          <w:rFonts w:ascii="仿宋_GB2312" w:hAnsi="宋体" w:cs="宋体"/>
          <w:b/>
          <w:bCs/>
          <w:kern w:val="0"/>
          <w:szCs w:val="24"/>
        </w:rPr>
      </w:pPr>
      <w:r>
        <w:rPr>
          <w:rFonts w:ascii="仿宋_GB2312" w:hAnsi="宋体" w:cs="宋体" w:hint="eastAsia"/>
          <w:b/>
          <w:bCs/>
          <w:kern w:val="0"/>
          <w:szCs w:val="32"/>
        </w:rPr>
        <w:t>●</w:t>
      </w:r>
      <w:r>
        <w:rPr>
          <w:rFonts w:ascii="仿宋_GB2312" w:hAnsi="宋体" w:cs="宋体" w:hint="eastAsia"/>
          <w:b/>
          <w:bCs/>
          <w:kern w:val="0"/>
          <w:szCs w:val="24"/>
        </w:rPr>
        <w:t>理财非存款、产品有风险、投资须谨慎。</w:t>
      </w:r>
    </w:p>
    <w:p w14:paraId="0C432A97" w14:textId="77777777" w:rsidR="00A2049A" w:rsidRDefault="0029186B">
      <w:pPr>
        <w:widowControl/>
        <w:tabs>
          <w:tab w:val="left" w:pos="709"/>
        </w:tabs>
        <w:snapToGrid w:val="0"/>
        <w:spacing w:line="360" w:lineRule="auto"/>
        <w:rPr>
          <w:rFonts w:ascii="仿宋_GB2312" w:hAnsi="宋体" w:cs="宋体"/>
          <w:b/>
          <w:bCs/>
          <w:kern w:val="0"/>
          <w:szCs w:val="24"/>
        </w:rPr>
      </w:pPr>
      <w:r>
        <w:rPr>
          <w:rFonts w:ascii="仿宋_GB2312" w:hAnsi="宋体" w:cs="宋体" w:hint="eastAsia"/>
          <w:b/>
          <w:bCs/>
          <w:kern w:val="0"/>
          <w:szCs w:val="24"/>
        </w:rPr>
        <w:t>●浙银理财有限责任公司（以下称“浙银</w:t>
      </w:r>
      <w:r>
        <w:rPr>
          <w:rFonts w:ascii="仿宋_GB2312" w:hAnsi="宋体" w:cs="宋体"/>
          <w:b/>
          <w:bCs/>
          <w:kern w:val="0"/>
          <w:szCs w:val="24"/>
        </w:rPr>
        <w:t>理财</w:t>
      </w:r>
      <w:r>
        <w:rPr>
          <w:rFonts w:ascii="仿宋_GB2312" w:hAnsi="宋体" w:cs="宋体" w:hint="eastAsia"/>
          <w:b/>
          <w:bCs/>
          <w:kern w:val="0"/>
          <w:szCs w:val="24"/>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rPr>
        <w:t>。</w:t>
      </w:r>
    </w:p>
    <w:p w14:paraId="00B1589D" w14:textId="77777777" w:rsidR="00A2049A" w:rsidRDefault="0029186B">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本理财产品说明书与《风险揭示书》《投资协议书》《投资者权益须知》《（代理）销售协议书》等共同构成本理财产品完整</w:t>
      </w:r>
      <w:r>
        <w:rPr>
          <w:rFonts w:ascii="仿宋_GB2312" w:hAnsi="宋体" w:cs="宋体"/>
          <w:bCs/>
          <w:kern w:val="0"/>
          <w:szCs w:val="24"/>
        </w:rPr>
        <w:t>的</w:t>
      </w:r>
      <w:r>
        <w:rPr>
          <w:rFonts w:ascii="仿宋_GB2312" w:hAnsi="宋体" w:cs="宋体" w:hint="eastAsia"/>
          <w:bCs/>
          <w:kern w:val="0"/>
          <w:szCs w:val="24"/>
        </w:rPr>
        <w:t>、</w:t>
      </w:r>
      <w:r>
        <w:rPr>
          <w:rFonts w:ascii="仿宋_GB2312" w:hAnsi="宋体" w:cs="宋体"/>
          <w:bCs/>
          <w:kern w:val="0"/>
          <w:szCs w:val="24"/>
        </w:rPr>
        <w:t>不可</w:t>
      </w:r>
      <w:r>
        <w:rPr>
          <w:rFonts w:ascii="仿宋_GB2312" w:hAnsi="宋体" w:cs="宋体" w:hint="eastAsia"/>
          <w:bCs/>
          <w:kern w:val="0"/>
          <w:szCs w:val="24"/>
        </w:rPr>
        <w:t>分割</w:t>
      </w:r>
      <w:r>
        <w:rPr>
          <w:rFonts w:ascii="仿宋_GB2312" w:hAnsi="宋体" w:cs="宋体"/>
          <w:bCs/>
          <w:kern w:val="0"/>
          <w:szCs w:val="24"/>
        </w:rPr>
        <w:t>的</w:t>
      </w:r>
      <w:r>
        <w:rPr>
          <w:rFonts w:ascii="仿宋_GB2312" w:hAnsi="宋体" w:cs="宋体" w:hint="eastAsia"/>
          <w:bCs/>
          <w:kern w:val="0"/>
          <w:szCs w:val="24"/>
        </w:rPr>
        <w:t>销售文件。</w:t>
      </w:r>
      <w:r>
        <w:rPr>
          <w:rFonts w:ascii="仿宋_GB2312" w:hAnsi="宋体" w:cs="宋体" w:hint="eastAsia"/>
          <w:b/>
          <w:bCs/>
          <w:kern w:val="0"/>
          <w:szCs w:val="24"/>
        </w:rPr>
        <w:t>为了维护投资者的合法权益，请在投资前仔细阅读本说明书及</w:t>
      </w:r>
      <w:r>
        <w:rPr>
          <w:rFonts w:ascii="仿宋_GB2312" w:hAnsi="宋体" w:cs="宋体" w:hint="eastAsia"/>
          <w:b/>
          <w:bCs/>
          <w:kern w:val="0"/>
          <w:szCs w:val="24"/>
        </w:rPr>
        <w:t>其他销售文件，了解理财产品具体情况。</w:t>
      </w:r>
    </w:p>
    <w:p w14:paraId="17BA1E7F" w14:textId="77777777" w:rsidR="00A2049A" w:rsidRDefault="0029186B">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本理财产品为</w:t>
      </w:r>
      <w:r>
        <w:rPr>
          <w:rFonts w:ascii="仿宋_GB2312" w:hAnsi="宋体" w:cs="宋体" w:hint="eastAsia"/>
          <w:b/>
          <w:bCs/>
          <w:kern w:val="0"/>
          <w:szCs w:val="24"/>
        </w:rPr>
        <w:t>非保本浮动收益型理财产品，与银行存款存在显著区别，不受</w:t>
      </w:r>
      <w:r>
        <w:rPr>
          <w:rFonts w:ascii="仿宋_GB2312" w:hAnsi="宋体" w:cs="宋体" w:hint="eastAsia"/>
          <w:b/>
          <w:bCs/>
          <w:kern w:val="0"/>
          <w:szCs w:val="32"/>
        </w:rPr>
        <w:t>存款保险及其他保障机制的保障。</w:t>
      </w:r>
      <w:r>
        <w:rPr>
          <w:rFonts w:ascii="仿宋_GB2312" w:hAnsi="宋体" w:cs="宋体" w:hint="eastAsia"/>
          <w:b/>
          <w:bCs/>
          <w:kern w:val="0"/>
          <w:szCs w:val="24"/>
        </w:rPr>
        <w:t>本理财产品不保证投资者理财本金安全及最低收益，投资者投资</w:t>
      </w:r>
      <w:r>
        <w:rPr>
          <w:rFonts w:ascii="仿宋_GB2312" w:hAnsi="宋体" w:cs="宋体" w:hint="eastAsia"/>
          <w:b/>
          <w:bCs/>
          <w:kern w:val="0"/>
          <w:szCs w:val="24"/>
        </w:rPr>
        <w:t>/</w:t>
      </w:r>
      <w:r>
        <w:rPr>
          <w:rFonts w:ascii="仿宋_GB2312" w:hAnsi="宋体" w:cs="宋体" w:hint="eastAsia"/>
          <w:b/>
          <w:bCs/>
          <w:kern w:val="0"/>
          <w:szCs w:val="24"/>
        </w:rPr>
        <w:t>持有本理财产品可能因市场变化、突发事件等因素遭受收益乃至本金损失</w:t>
      </w:r>
      <w:r>
        <w:rPr>
          <w:rFonts w:ascii="仿宋_GB2312" w:hAnsi="宋体" w:cs="宋体" w:hint="eastAsia"/>
          <w:b/>
          <w:bCs/>
          <w:kern w:val="0"/>
          <w:szCs w:val="32"/>
        </w:rPr>
        <w:t>，</w:t>
      </w:r>
      <w:r>
        <w:rPr>
          <w:rFonts w:ascii="宋体" w:hAnsi="宋体" w:cs="宋体" w:hint="eastAsia"/>
          <w:b/>
          <w:bCs/>
          <w:kern w:val="0"/>
          <w:szCs w:val="24"/>
        </w:rPr>
        <w:t>请</w:t>
      </w:r>
      <w:r>
        <w:rPr>
          <w:rFonts w:ascii="仿宋_GB2312" w:hAnsi="宋体" w:cs="宋体" w:hint="eastAsia"/>
          <w:b/>
          <w:bCs/>
          <w:kern w:val="0"/>
          <w:szCs w:val="24"/>
        </w:rPr>
        <w:t>投资者充分知晓、理解投资风险，谨慎投资。</w:t>
      </w:r>
    </w:p>
    <w:p w14:paraId="3F484ADD" w14:textId="77777777" w:rsidR="00A2049A" w:rsidRDefault="0029186B">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本理财产品涉及的主要风险包括政策风险、信用风险、市场风险、流动性风险、经营管理风险、交易对手风险、操作风险、代销风险、募集期延长</w:t>
      </w:r>
      <w:r>
        <w:rPr>
          <w:rFonts w:ascii="仿宋_GB2312" w:hAnsi="宋体" w:cs="宋体" w:hint="eastAsia"/>
          <w:bCs/>
          <w:kern w:val="0"/>
          <w:szCs w:val="24"/>
        </w:rPr>
        <w:t>/</w:t>
      </w:r>
      <w:r>
        <w:rPr>
          <w:rFonts w:ascii="仿宋_GB2312" w:hAnsi="宋体" w:cs="宋体" w:hint="eastAsia"/>
          <w:bCs/>
          <w:kern w:val="0"/>
          <w:szCs w:val="24"/>
        </w:rPr>
        <w:t>缩短风险、产品不成立风险、提前终止风险、延期分配风险、信息传递风险、关联关系及关联交易风险、再投资风险、估值风险、托管及清算风险、税务风险、不同理财产品份额类别存在差异的风险、其他风险等，</w:t>
      </w:r>
      <w:r>
        <w:rPr>
          <w:rFonts w:ascii="仿宋_GB2312" w:hAnsi="宋体" w:cs="宋体" w:hint="eastAsia"/>
          <w:b/>
          <w:bCs/>
          <w:kern w:val="0"/>
          <w:szCs w:val="24"/>
        </w:rPr>
        <w:t>请投资者仔细阅读《风险揭示书》。</w:t>
      </w:r>
    </w:p>
    <w:p w14:paraId="2F338DB6" w14:textId="77777777" w:rsidR="00A2049A" w:rsidRDefault="0029186B">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●本理财产品销售文件中的任何“业绩比较基准”“业绩比较基准区间”以及其他类似表述均不代表投资者可能获得的实际收益，亦不构成管理人对本理财产品的任何收益承诺，不具</w:t>
      </w:r>
      <w:r>
        <w:rPr>
          <w:rFonts w:ascii="仿宋_GB2312" w:hAnsi="宋体" w:cs="宋体" w:hint="eastAsia"/>
          <w:b/>
          <w:bCs/>
          <w:kern w:val="0"/>
          <w:szCs w:val="24"/>
        </w:rPr>
        <w:t>有法律效力。</w:t>
      </w:r>
    </w:p>
    <w:p w14:paraId="5253DEE5" w14:textId="77777777" w:rsidR="00A2049A" w:rsidRDefault="0029186B">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●本理财</w:t>
      </w:r>
      <w:r>
        <w:rPr>
          <w:rFonts w:ascii="仿宋_GB2312" w:hAnsi="宋体" w:cs="宋体"/>
          <w:b/>
          <w:bCs/>
          <w:kern w:val="0"/>
          <w:szCs w:val="24"/>
        </w:rPr>
        <w:t>产品的投资运作情况体现为产品净值变化，</w:t>
      </w:r>
      <w:r>
        <w:rPr>
          <w:rFonts w:ascii="仿宋_GB2312" w:hAnsi="宋体" w:cs="宋体" w:hint="eastAsia"/>
          <w:b/>
          <w:bCs/>
          <w:kern w:val="0"/>
          <w:szCs w:val="24"/>
        </w:rPr>
        <w:t>投资者最终理财收益以实际到账为准。本理财产品过往业绩不代表其未来表现，不等于投资者未来可获得的实际收益。</w:t>
      </w:r>
    </w:p>
    <w:p w14:paraId="4A31D5FF" w14:textId="77777777" w:rsidR="00A2049A" w:rsidRDefault="0029186B">
      <w:pPr>
        <w:pStyle w:val="af"/>
        <w:spacing w:line="360" w:lineRule="auto"/>
        <w:ind w:firstLineChars="0" w:firstLine="0"/>
        <w:rPr>
          <w:rFonts w:ascii="仿宋_GB2312" w:hAnsi="宋体" w:cs="宋体"/>
          <w:b/>
          <w:kern w:val="0"/>
          <w:szCs w:val="24"/>
        </w:rPr>
      </w:pPr>
      <w:r>
        <w:rPr>
          <w:rFonts w:ascii="仿宋_GB2312" w:hAnsi="宋体" w:cs="宋体" w:hint="eastAsia"/>
          <w:b/>
          <w:bCs/>
          <w:kern w:val="0"/>
          <w:szCs w:val="24"/>
        </w:rPr>
        <w:t>●本理财产品仅向依据中华人民共和国法律法规及监管规定可以购买本类理财产品的投资者发售。</w:t>
      </w:r>
      <w:r>
        <w:rPr>
          <w:rFonts w:ascii="仿宋_GB2312" w:hAnsi="宋体" w:cs="宋体"/>
          <w:b/>
          <w:kern w:val="0"/>
          <w:szCs w:val="24"/>
        </w:rPr>
        <w:t>投资者通过销售机构与浙银理财签订理财产品销售文件后，销售机构或浙银理财在划款时，不再通过任何方式与投资者进行最后确认，直接划款。</w:t>
      </w:r>
      <w:r>
        <w:rPr>
          <w:rFonts w:hint="eastAsia"/>
          <w:b/>
        </w:rPr>
        <w:t>投</w:t>
      </w:r>
      <w:r>
        <w:rPr>
          <w:rFonts w:ascii="仿宋_GB2312" w:hAnsi="宋体" w:cs="宋体"/>
          <w:b/>
          <w:kern w:val="0"/>
          <w:szCs w:val="24"/>
        </w:rPr>
        <w:t>资者通过销售机构电子渠道购买本理财产品，成功提</w:t>
      </w:r>
      <w:r>
        <w:rPr>
          <w:rFonts w:ascii="仿宋_GB2312" w:hAnsi="宋体" w:cs="宋体"/>
          <w:b/>
          <w:kern w:val="0"/>
          <w:szCs w:val="24"/>
        </w:rPr>
        <w:lastRenderedPageBreak/>
        <w:t>交认购</w:t>
      </w:r>
      <w:r>
        <w:rPr>
          <w:rFonts w:ascii="仿宋_GB2312" w:hAnsi="宋体" w:cs="宋体"/>
          <w:b/>
          <w:kern w:val="0"/>
          <w:szCs w:val="24"/>
        </w:rPr>
        <w:t>/</w:t>
      </w:r>
      <w:r>
        <w:rPr>
          <w:rFonts w:ascii="仿宋_GB2312" w:hAnsi="宋体" w:cs="宋体"/>
          <w:b/>
          <w:kern w:val="0"/>
          <w:szCs w:val="24"/>
        </w:rPr>
        <w:t>申购申请后视同为投资者已完全知悉并接受本理财产品销售文件载明的风险揭示、重要提示以及其他约定，与浙银理财已完成理财产品销售</w:t>
      </w:r>
      <w:r>
        <w:rPr>
          <w:rFonts w:ascii="仿宋_GB2312" w:hAnsi="宋体" w:cs="宋体" w:hint="eastAsia"/>
          <w:b/>
          <w:kern w:val="0"/>
          <w:szCs w:val="24"/>
        </w:rPr>
        <w:t>文件</w:t>
      </w:r>
      <w:r>
        <w:rPr>
          <w:rFonts w:ascii="仿宋_GB2312" w:hAnsi="宋体" w:cs="宋体"/>
          <w:b/>
          <w:kern w:val="0"/>
          <w:szCs w:val="24"/>
        </w:rPr>
        <w:t>的签订。</w:t>
      </w:r>
    </w:p>
    <w:p w14:paraId="0B103239" w14:textId="77777777" w:rsidR="00A2049A" w:rsidRDefault="0029186B">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投资本理财产品后，投资者应随时关注本理财产品的信息披露情况，及时获取相关信息。相关信息以销售文件约定的信息披露方式进行披露。</w:t>
      </w:r>
    </w:p>
    <w:p w14:paraId="70A67BDD" w14:textId="77777777" w:rsidR="00A2049A" w:rsidRDefault="0029186B">
      <w:pPr>
        <w:tabs>
          <w:tab w:val="left" w:pos="709"/>
        </w:tabs>
        <w:snapToGrid w:val="0"/>
        <w:spacing w:line="360" w:lineRule="auto"/>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投资者承诺其用于购买本理财产品的资金来源合法合规，并且其系为合法之目的投资本理财产品，而非为洗钱等违法犯罪目的；投资者应确保用于投资本理财产品的资金不来源于贷款、发行债券等筹集的非自有资金。（</w:t>
      </w:r>
      <w:r>
        <w:rPr>
          <w:rFonts w:ascii="仿宋_GB2312" w:hAnsi="宋体" w:cs="宋体" w:hint="eastAsia"/>
          <w:bCs/>
          <w:kern w:val="0"/>
          <w:szCs w:val="24"/>
        </w:rPr>
        <w:t>受托管理的资产管理产品除外）</w:t>
      </w:r>
    </w:p>
    <w:p w14:paraId="23784CAD" w14:textId="77777777" w:rsidR="00A2049A" w:rsidRDefault="0029186B">
      <w:pPr>
        <w:tabs>
          <w:tab w:val="left" w:pos="709"/>
        </w:tabs>
        <w:snapToGrid w:val="0"/>
        <w:spacing w:line="360" w:lineRule="auto"/>
        <w:rPr>
          <w:rFonts w:ascii="仿宋_GB2312" w:hAnsi="宋体" w:cs="宋体"/>
          <w:bCs/>
          <w:kern w:val="0"/>
          <w:szCs w:val="24"/>
        </w:rPr>
      </w:pPr>
      <w:r>
        <w:rPr>
          <w:rFonts w:ascii="仿宋_GB2312" w:hAnsi="宋体" w:cs="宋体" w:hint="eastAsia"/>
          <w:b/>
          <w:bCs/>
          <w:kern w:val="0"/>
          <w:szCs w:val="24"/>
        </w:rPr>
        <w:t>●</w:t>
      </w:r>
      <w:r>
        <w:rPr>
          <w:rFonts w:ascii="仿宋_GB2312" w:hAnsi="宋体" w:cs="宋体"/>
          <w:b/>
          <w:kern w:val="0"/>
          <w:szCs w:val="24"/>
        </w:rPr>
        <w:t>在本理财产品存续期内，</w:t>
      </w:r>
      <w:r>
        <w:rPr>
          <w:rFonts w:ascii="仿宋_GB2312" w:hAnsi="宋体" w:cs="宋体"/>
          <w:b/>
          <w:kern w:val="0"/>
          <w:szCs w:val="32"/>
        </w:rPr>
        <w:t>如因维持本理财产品正常运营的需要且在不损害投资者利益的前提下，或因监管政策、法律法规发生变化</w:t>
      </w:r>
      <w:r>
        <w:rPr>
          <w:rFonts w:ascii="仿宋_GB2312" w:hAnsi="宋体" w:cs="宋体"/>
          <w:b/>
          <w:kern w:val="0"/>
          <w:szCs w:val="24"/>
        </w:rPr>
        <w:t>，浙银理财有权单方对本理财产品销售文件条款进行修订，并按本理财产品说明书约定的披露方式向投资者进行信息披露。浙银理财按照前述规则发布该信息披露即视为该修订通知已送达投资者并对投资者具有法律约束力。</w:t>
      </w:r>
    </w:p>
    <w:p w14:paraId="0DF65948" w14:textId="77777777" w:rsidR="00A2049A" w:rsidRDefault="0029186B">
      <w:pPr>
        <w:tabs>
          <w:tab w:val="left" w:pos="709"/>
        </w:tabs>
        <w:snapToGrid w:val="0"/>
        <w:spacing w:line="360" w:lineRule="auto"/>
      </w:pPr>
      <w:r>
        <w:rPr>
          <w:rFonts w:ascii="仿宋_GB2312" w:hAnsi="宋体" w:cs="宋体" w:hint="eastAsia"/>
          <w:bCs/>
          <w:kern w:val="0"/>
          <w:szCs w:val="32"/>
        </w:rPr>
        <w:t>●</w:t>
      </w:r>
      <w:r>
        <w:rPr>
          <w:rFonts w:ascii="仿宋_GB2312" w:hAnsiTheme="minorEastAsia" w:cs="宋体" w:hint="eastAsia"/>
          <w:bCs/>
          <w:kern w:val="0"/>
          <w:szCs w:val="32"/>
        </w:rPr>
        <w:t>如对本理财产品、服务有任何疑问、意见或建议，敬请联系您的销售服务机构，具体联系方式以《产品说明书》等销售文件的披露为准；或反馈至浙银理财服务电话：</w:t>
      </w:r>
      <w:r>
        <w:rPr>
          <w:rFonts w:ascii="仿宋_GB2312" w:hAnsiTheme="minorEastAsia" w:cs="宋体" w:hint="eastAsia"/>
          <w:bCs/>
          <w:kern w:val="0"/>
          <w:szCs w:val="32"/>
        </w:rPr>
        <w:t>0571-57192881</w:t>
      </w:r>
      <w:r>
        <w:rPr>
          <w:rFonts w:ascii="仿宋_GB2312" w:hAnsiTheme="minorEastAsia" w:cs="宋体" w:hint="eastAsia"/>
          <w:bCs/>
          <w:kern w:val="0"/>
          <w:szCs w:val="32"/>
        </w:rPr>
        <w:t>。</w:t>
      </w:r>
    </w:p>
    <w:p w14:paraId="16DBFCA9" w14:textId="77777777" w:rsidR="00A2049A" w:rsidRDefault="0029186B">
      <w:r>
        <w:br w:type="page"/>
      </w:r>
    </w:p>
    <w:p w14:paraId="7682A2E5" w14:textId="77777777" w:rsidR="00A2049A" w:rsidRDefault="0029186B">
      <w:pPr>
        <w:pStyle w:val="1"/>
      </w:pPr>
      <w:r>
        <w:rPr>
          <w:rFonts w:hint="eastAsia"/>
        </w:rPr>
        <w:lastRenderedPageBreak/>
        <w:t>释义</w:t>
      </w:r>
    </w:p>
    <w:p w14:paraId="224013BE"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本说明书中，除非另有明确说明，否则下列词语或简称具有如下含义：</w:t>
      </w:r>
    </w:p>
    <w:p w14:paraId="3A48C1BA" w14:textId="77777777" w:rsidR="00A2049A" w:rsidRDefault="0029186B">
      <w:pPr>
        <w:pStyle w:val="2"/>
        <w:ind w:firstLine="482"/>
        <w:rPr>
          <w:rFonts w:ascii="仿宋_GB2312" w:hAnsi="宋体" w:cs="宋体"/>
          <w:bCs/>
          <w:kern w:val="0"/>
          <w:szCs w:val="24"/>
        </w:rPr>
      </w:pPr>
      <w:r>
        <w:rPr>
          <w:rFonts w:ascii="仿宋_GB2312" w:hAnsi="宋体" w:cs="宋体" w:hint="eastAsia"/>
          <w:bCs/>
          <w:kern w:val="0"/>
          <w:szCs w:val="24"/>
        </w:rPr>
        <w:t>产品参与主体用语</w:t>
      </w:r>
    </w:p>
    <w:p w14:paraId="3358B351"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管理人</w:t>
      </w:r>
      <w:r>
        <w:rPr>
          <w:rFonts w:ascii="仿宋_GB2312" w:hAnsi="宋体" w:cs="宋体"/>
          <w:bCs/>
          <w:kern w:val="0"/>
          <w:szCs w:val="24"/>
        </w:rPr>
        <w:t>/</w:t>
      </w:r>
      <w:r>
        <w:rPr>
          <w:rFonts w:ascii="仿宋_GB2312" w:hAnsi="宋体" w:cs="宋体"/>
          <w:bCs/>
          <w:kern w:val="0"/>
          <w:szCs w:val="24"/>
        </w:rPr>
        <w:t>产品管理人</w:t>
      </w:r>
      <w:r>
        <w:rPr>
          <w:rFonts w:ascii="仿宋_GB2312" w:hAnsi="宋体" w:cs="宋体"/>
          <w:bCs/>
          <w:kern w:val="0"/>
          <w:szCs w:val="24"/>
        </w:rPr>
        <w:t>/</w:t>
      </w:r>
      <w:r>
        <w:rPr>
          <w:rFonts w:ascii="仿宋_GB2312" w:hAnsi="宋体" w:cs="宋体"/>
          <w:bCs/>
          <w:kern w:val="0"/>
          <w:szCs w:val="24"/>
        </w:rPr>
        <w:t>理财产品管理人：指浙银理财有限责任公司（简称</w:t>
      </w:r>
      <w:r>
        <w:rPr>
          <w:rFonts w:ascii="仿宋_GB2312" w:hAnsi="宋体" w:cs="宋体"/>
          <w:bCs/>
          <w:kern w:val="0"/>
          <w:szCs w:val="24"/>
        </w:rPr>
        <w:t>“</w:t>
      </w:r>
      <w:r>
        <w:rPr>
          <w:rFonts w:ascii="仿宋_GB2312" w:hAnsi="宋体" w:cs="宋体"/>
          <w:bCs/>
          <w:kern w:val="0"/>
          <w:szCs w:val="24"/>
        </w:rPr>
        <w:t>浙银理财</w:t>
      </w:r>
      <w:r>
        <w:rPr>
          <w:rFonts w:ascii="仿宋_GB2312" w:hAnsi="宋体" w:cs="宋体"/>
          <w:bCs/>
          <w:kern w:val="0"/>
          <w:szCs w:val="24"/>
        </w:rPr>
        <w:t>”</w:t>
      </w:r>
      <w:r>
        <w:rPr>
          <w:rFonts w:ascii="仿宋_GB2312" w:hAnsi="宋体" w:cs="宋体"/>
          <w:bCs/>
          <w:kern w:val="0"/>
          <w:szCs w:val="24"/>
        </w:rPr>
        <w:t>）。</w:t>
      </w:r>
    </w:p>
    <w:p w14:paraId="44B10A48"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销售机构</w:t>
      </w:r>
      <w:r>
        <w:rPr>
          <w:rFonts w:ascii="仿宋_GB2312" w:hAnsi="宋体" w:cs="宋体" w:hint="eastAsia"/>
          <w:bCs/>
          <w:kern w:val="0"/>
          <w:szCs w:val="24"/>
        </w:rPr>
        <w:t>/</w:t>
      </w:r>
      <w:r>
        <w:rPr>
          <w:rFonts w:ascii="仿宋_GB2312" w:hAnsi="宋体" w:cs="宋体" w:hint="eastAsia"/>
          <w:bCs/>
          <w:kern w:val="0"/>
          <w:szCs w:val="24"/>
        </w:rPr>
        <w:t>理财产品销售机构：指符合</w:t>
      </w:r>
      <w:r>
        <w:rPr>
          <w:rFonts w:ascii="仿宋_GB2312" w:hAnsi="宋体" w:cs="宋体"/>
          <w:bCs/>
          <w:kern w:val="0"/>
          <w:szCs w:val="24"/>
        </w:rPr>
        <w:t>监管</w:t>
      </w:r>
      <w:r>
        <w:rPr>
          <w:rFonts w:ascii="仿宋_GB2312" w:hAnsi="宋体" w:cs="宋体" w:hint="eastAsia"/>
          <w:bCs/>
          <w:kern w:val="0"/>
          <w:szCs w:val="24"/>
        </w:rPr>
        <w:t>规定</w:t>
      </w:r>
      <w:r>
        <w:rPr>
          <w:rFonts w:ascii="仿宋_GB2312" w:hAnsi="宋体" w:cs="宋体"/>
          <w:bCs/>
          <w:kern w:val="0"/>
          <w:szCs w:val="24"/>
        </w:rPr>
        <w:t>具备理财产品销售资格</w:t>
      </w:r>
      <w:r>
        <w:rPr>
          <w:rFonts w:ascii="仿宋_GB2312" w:hAnsi="宋体" w:cs="宋体" w:hint="eastAsia"/>
          <w:bCs/>
          <w:kern w:val="0"/>
          <w:szCs w:val="24"/>
        </w:rPr>
        <w:t>的</w:t>
      </w:r>
      <w:r>
        <w:rPr>
          <w:rFonts w:ascii="仿宋_GB2312" w:hAnsi="宋体" w:cs="宋体"/>
          <w:bCs/>
          <w:kern w:val="0"/>
          <w:szCs w:val="24"/>
        </w:rPr>
        <w:t>机构</w:t>
      </w:r>
      <w:r>
        <w:rPr>
          <w:rFonts w:ascii="仿宋_GB2312" w:hAnsi="宋体" w:cs="宋体" w:hint="eastAsia"/>
          <w:bCs/>
          <w:kern w:val="0"/>
          <w:szCs w:val="24"/>
        </w:rPr>
        <w:t>，</w:t>
      </w:r>
      <w:r>
        <w:rPr>
          <w:rFonts w:ascii="仿宋_GB2312" w:hAnsi="宋体" w:cs="宋体"/>
          <w:bCs/>
          <w:kern w:val="0"/>
          <w:szCs w:val="24"/>
        </w:rPr>
        <w:t>销售机构在其渠道开展向投资者</w:t>
      </w:r>
      <w:r>
        <w:rPr>
          <w:rFonts w:ascii="仿宋_GB2312" w:hAnsi="宋体" w:cs="宋体" w:hint="eastAsia"/>
          <w:bCs/>
          <w:kern w:val="0"/>
          <w:szCs w:val="24"/>
        </w:rPr>
        <w:t>进行</w:t>
      </w:r>
      <w:r>
        <w:rPr>
          <w:rFonts w:ascii="仿宋_GB2312" w:hAnsi="宋体" w:cs="宋体"/>
          <w:bCs/>
          <w:kern w:val="0"/>
          <w:szCs w:val="24"/>
        </w:rPr>
        <w:t>宣传推介</w:t>
      </w:r>
      <w:r>
        <w:rPr>
          <w:rFonts w:ascii="仿宋_GB2312" w:hAnsi="宋体" w:cs="宋体" w:hint="eastAsia"/>
          <w:bCs/>
          <w:kern w:val="0"/>
          <w:szCs w:val="24"/>
        </w:rPr>
        <w:t>，为</w:t>
      </w:r>
      <w:r>
        <w:rPr>
          <w:rFonts w:ascii="仿宋_GB2312" w:hAnsi="宋体" w:cs="宋体"/>
          <w:bCs/>
          <w:kern w:val="0"/>
          <w:szCs w:val="24"/>
        </w:rPr>
        <w:t>投资者</w:t>
      </w:r>
      <w:r>
        <w:rPr>
          <w:rFonts w:ascii="仿宋_GB2312" w:hAnsi="宋体" w:cs="宋体" w:hint="eastAsia"/>
          <w:bCs/>
          <w:kern w:val="0"/>
          <w:szCs w:val="24"/>
        </w:rPr>
        <w:t>办理理财产品认购、申购和赎回，以及</w:t>
      </w:r>
      <w:r>
        <w:rPr>
          <w:rFonts w:ascii="仿宋_GB2312" w:hAnsi="宋体" w:cs="宋体" w:hint="eastAsia"/>
          <w:bCs/>
          <w:kern w:val="0"/>
          <w:szCs w:val="24"/>
        </w:rPr>
        <w:t>监管许可的其他销售活动。理财</w:t>
      </w:r>
      <w:r>
        <w:rPr>
          <w:rFonts w:ascii="仿宋_GB2312" w:hAnsi="宋体" w:cs="宋体"/>
          <w:bCs/>
          <w:kern w:val="0"/>
          <w:szCs w:val="24"/>
        </w:rPr>
        <w:t>产品</w:t>
      </w:r>
      <w:r>
        <w:rPr>
          <w:rFonts w:ascii="仿宋_GB2312" w:hAnsi="宋体" w:cs="宋体" w:hint="eastAsia"/>
          <w:bCs/>
          <w:kern w:val="0"/>
          <w:szCs w:val="24"/>
        </w:rPr>
        <w:t>销售可分为直销和代理</w:t>
      </w:r>
      <w:r>
        <w:rPr>
          <w:rFonts w:ascii="仿宋_GB2312" w:hAnsi="宋体" w:cs="宋体"/>
          <w:bCs/>
          <w:kern w:val="0"/>
          <w:szCs w:val="24"/>
        </w:rPr>
        <w:t>销售</w:t>
      </w:r>
      <w:r>
        <w:rPr>
          <w:rFonts w:ascii="仿宋_GB2312" w:hAnsi="宋体" w:cs="宋体" w:hint="eastAsia"/>
          <w:bCs/>
          <w:kern w:val="0"/>
          <w:szCs w:val="24"/>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3FAD0293"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hint="eastAsia"/>
          <w:bCs/>
          <w:kern w:val="0"/>
          <w:szCs w:val="24"/>
        </w:rPr>
        <w:t>托管人</w:t>
      </w:r>
      <w:r>
        <w:rPr>
          <w:rFonts w:ascii="仿宋_GB2312" w:hAnsi="宋体" w:cs="宋体"/>
          <w:bCs/>
          <w:kern w:val="0"/>
          <w:szCs w:val="24"/>
        </w:rPr>
        <w:t>/</w:t>
      </w:r>
      <w:r>
        <w:rPr>
          <w:rFonts w:ascii="仿宋_GB2312" w:hAnsi="宋体" w:cs="宋体" w:hint="eastAsia"/>
          <w:bCs/>
          <w:kern w:val="0"/>
          <w:szCs w:val="24"/>
        </w:rPr>
        <w:t>产品托管人</w:t>
      </w:r>
      <w:r>
        <w:rPr>
          <w:rFonts w:ascii="仿宋_GB2312" w:hAnsi="宋体" w:cs="宋体"/>
          <w:bCs/>
          <w:kern w:val="0"/>
          <w:szCs w:val="24"/>
        </w:rPr>
        <w:t>/</w:t>
      </w:r>
      <w:r>
        <w:rPr>
          <w:rFonts w:ascii="仿宋_GB2312" w:hAnsi="宋体" w:cs="宋体" w:hint="eastAsia"/>
          <w:bCs/>
          <w:kern w:val="0"/>
          <w:szCs w:val="24"/>
        </w:rPr>
        <w:t>理财产品托管人：</w:t>
      </w:r>
      <w:r>
        <w:rPr>
          <w:rFonts w:ascii="仿宋_GB2312" w:hAnsi="宋体" w:cs="宋体"/>
          <w:bCs/>
          <w:kern w:val="0"/>
          <w:szCs w:val="24"/>
        </w:rPr>
        <w:t>指</w:t>
      </w:r>
      <w:r>
        <w:rPr>
          <w:rFonts w:ascii="仿宋_GB2312" w:hAnsi="宋体" w:cs="宋体" w:hint="eastAsia"/>
          <w:bCs/>
          <w:kern w:val="0"/>
          <w:szCs w:val="24"/>
        </w:rPr>
        <w:t>根据管理人委托对理财产品财产进行托管的机构。本理财</w:t>
      </w:r>
      <w:r>
        <w:rPr>
          <w:rFonts w:ascii="仿宋_GB2312" w:hAnsi="宋体" w:cs="宋体"/>
          <w:bCs/>
          <w:kern w:val="0"/>
          <w:szCs w:val="24"/>
        </w:rPr>
        <w:t>产品托管人</w:t>
      </w:r>
      <w:r>
        <w:rPr>
          <w:rFonts w:ascii="仿宋_GB2312" w:hAnsi="宋体" w:cs="宋体" w:hint="eastAsia"/>
          <w:bCs/>
          <w:kern w:val="0"/>
          <w:szCs w:val="24"/>
        </w:rPr>
        <w:t>指</w:t>
      </w:r>
      <w:r>
        <w:rPr>
          <w:rFonts w:ascii="仿宋_GB2312" w:hAnsi="宋体" w:cs="宋体" w:hint="eastAsia"/>
          <w:bCs/>
          <w:kern w:val="0"/>
          <w:szCs w:val="24"/>
        </w:rPr>
        <w:t>浙商银行股份有限公司</w:t>
      </w:r>
      <w:r>
        <w:rPr>
          <w:rFonts w:ascii="仿宋_GB2312" w:hAnsi="宋体" w:cs="宋体" w:hint="eastAsia"/>
          <w:bCs/>
          <w:kern w:val="0"/>
          <w:szCs w:val="24"/>
        </w:rPr>
        <w:t>（简称</w:t>
      </w:r>
      <w:r>
        <w:rPr>
          <w:rFonts w:ascii="仿宋_GB2312" w:hAnsi="宋体" w:cs="宋体" w:hint="eastAsia"/>
          <w:bCs/>
          <w:kern w:val="0"/>
          <w:szCs w:val="24"/>
        </w:rPr>
        <w:t>浙商银行</w:t>
      </w:r>
      <w:r>
        <w:rPr>
          <w:rFonts w:ascii="仿宋_GB2312" w:hAnsi="宋体" w:cs="宋体" w:hint="eastAsia"/>
          <w:bCs/>
          <w:kern w:val="0"/>
          <w:szCs w:val="24"/>
        </w:rPr>
        <w:t>）。</w:t>
      </w:r>
      <w:r>
        <w:rPr>
          <w:rFonts w:ascii="仿宋_GB2312" w:hAnsi="宋体" w:cs="宋体" w:hint="eastAsia"/>
          <w:bCs/>
          <w:kern w:val="0"/>
          <w:szCs w:val="24"/>
        </w:rPr>
        <w:t>浙商银行</w:t>
      </w:r>
      <w:r>
        <w:rPr>
          <w:rFonts w:ascii="仿宋_GB2312" w:hAnsi="宋体" w:cs="宋体" w:hint="eastAsia"/>
          <w:bCs/>
          <w:kern w:val="0"/>
          <w:szCs w:val="24"/>
        </w:rPr>
        <w:t>具备理财产品托管资格。</w:t>
      </w:r>
    </w:p>
    <w:p w14:paraId="387F7C3B"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投资者：指符合相关法律法规、监管规定要求的，可以购买理财产品份额的自然人、法人及</w:t>
      </w:r>
      <w:r>
        <w:rPr>
          <w:rFonts w:ascii="仿宋_GB2312" w:hAnsi="宋体" w:cs="宋体"/>
          <w:bCs/>
          <w:kern w:val="0"/>
          <w:szCs w:val="24"/>
        </w:rPr>
        <w:t>依法成立的</w:t>
      </w:r>
      <w:r>
        <w:rPr>
          <w:rFonts w:ascii="仿宋_GB2312" w:hAnsi="宋体" w:cs="宋体" w:hint="eastAsia"/>
          <w:bCs/>
          <w:kern w:val="0"/>
          <w:szCs w:val="24"/>
        </w:rPr>
        <w:t>其他</w:t>
      </w:r>
      <w:r>
        <w:rPr>
          <w:rFonts w:ascii="仿宋_GB2312" w:hAnsi="宋体" w:cs="宋体"/>
          <w:bCs/>
          <w:kern w:val="0"/>
          <w:szCs w:val="24"/>
        </w:rPr>
        <w:t>组织</w:t>
      </w:r>
      <w:r>
        <w:rPr>
          <w:rFonts w:ascii="仿宋_GB2312" w:hAnsi="宋体" w:cs="宋体" w:hint="eastAsia"/>
          <w:bCs/>
          <w:kern w:val="0"/>
          <w:szCs w:val="24"/>
        </w:rPr>
        <w:t>。</w:t>
      </w:r>
      <w:r>
        <w:rPr>
          <w:rFonts w:ascii="仿宋_GB2312" w:hAnsi="宋体" w:cs="宋体" w:hint="eastAsia"/>
          <w:bCs/>
          <w:kern w:val="0"/>
          <w:szCs w:val="24"/>
        </w:rPr>
        <w:t xml:space="preserve"> </w:t>
      </w:r>
    </w:p>
    <w:p w14:paraId="45DF26D0"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合格投资者：合格投资者是指具备相应风险识别能力和风险承受能力，投资于单只理财产品不低于一定金额且符合下列条件的自然人、法人或者依法成立的其他组织：</w:t>
      </w:r>
    </w:p>
    <w:p w14:paraId="0909C3B4"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）具有</w:t>
      </w:r>
      <w:r>
        <w:rPr>
          <w:rFonts w:ascii="仿宋_GB2312" w:hAnsi="宋体" w:cs="宋体" w:hint="eastAsia"/>
          <w:bCs/>
          <w:kern w:val="0"/>
          <w:szCs w:val="24"/>
        </w:rPr>
        <w:t>2</w:t>
      </w:r>
      <w:r>
        <w:rPr>
          <w:rFonts w:ascii="仿宋_GB2312" w:hAnsi="宋体" w:cs="宋体" w:hint="eastAsia"/>
          <w:bCs/>
          <w:kern w:val="0"/>
          <w:szCs w:val="24"/>
        </w:rPr>
        <w:t>年以上投资经历，且满足家庭金融净资产不低于</w:t>
      </w:r>
      <w:r>
        <w:rPr>
          <w:rFonts w:ascii="仿宋_GB2312" w:hAnsi="宋体" w:cs="宋体" w:hint="eastAsia"/>
          <w:bCs/>
          <w:kern w:val="0"/>
          <w:szCs w:val="24"/>
        </w:rPr>
        <w:t>300</w:t>
      </w:r>
      <w:r>
        <w:rPr>
          <w:rFonts w:ascii="仿宋_GB2312" w:hAnsi="宋体" w:cs="宋体" w:hint="eastAsia"/>
          <w:bCs/>
          <w:kern w:val="0"/>
          <w:szCs w:val="24"/>
        </w:rPr>
        <w:t>万元人民币，或者家庭金融资产不低于</w:t>
      </w:r>
      <w:r>
        <w:rPr>
          <w:rFonts w:ascii="仿宋_GB2312" w:hAnsi="宋体" w:cs="宋体" w:hint="eastAsia"/>
          <w:bCs/>
          <w:kern w:val="0"/>
          <w:szCs w:val="24"/>
        </w:rPr>
        <w:t>500</w:t>
      </w:r>
      <w:r>
        <w:rPr>
          <w:rFonts w:ascii="仿宋_GB2312" w:hAnsi="宋体" w:cs="宋体" w:hint="eastAsia"/>
          <w:bCs/>
          <w:kern w:val="0"/>
          <w:szCs w:val="24"/>
        </w:rPr>
        <w:t>万元人民币，或者近</w:t>
      </w:r>
      <w:r>
        <w:rPr>
          <w:rFonts w:ascii="仿宋_GB2312" w:hAnsi="宋体" w:cs="宋体" w:hint="eastAsia"/>
          <w:bCs/>
          <w:kern w:val="0"/>
          <w:szCs w:val="24"/>
        </w:rPr>
        <w:t>3</w:t>
      </w:r>
      <w:r>
        <w:rPr>
          <w:rFonts w:ascii="仿宋_GB2312" w:hAnsi="宋体" w:cs="宋体" w:hint="eastAsia"/>
          <w:bCs/>
          <w:kern w:val="0"/>
          <w:szCs w:val="24"/>
        </w:rPr>
        <w:t>年本人年均收入不低于</w:t>
      </w:r>
      <w:r>
        <w:rPr>
          <w:rFonts w:ascii="仿宋_GB2312" w:hAnsi="宋体" w:cs="宋体" w:hint="eastAsia"/>
          <w:bCs/>
          <w:kern w:val="0"/>
          <w:szCs w:val="24"/>
        </w:rPr>
        <w:t>40</w:t>
      </w:r>
      <w:r>
        <w:rPr>
          <w:rFonts w:ascii="仿宋_GB2312" w:hAnsi="宋体" w:cs="宋体" w:hint="eastAsia"/>
          <w:bCs/>
          <w:kern w:val="0"/>
          <w:szCs w:val="24"/>
        </w:rPr>
        <w:t>万元人民币；</w:t>
      </w:r>
    </w:p>
    <w:p w14:paraId="751F2BE5"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w:t>
      </w:r>
      <w:r>
        <w:rPr>
          <w:rFonts w:ascii="仿宋_GB2312" w:hAnsi="宋体" w:cs="宋体" w:hint="eastAsia"/>
          <w:bCs/>
          <w:kern w:val="0"/>
          <w:szCs w:val="24"/>
        </w:rPr>
        <w:t>最近</w:t>
      </w:r>
      <w:r>
        <w:rPr>
          <w:rFonts w:ascii="仿宋_GB2312" w:hAnsi="宋体" w:cs="宋体" w:hint="eastAsia"/>
          <w:bCs/>
          <w:kern w:val="0"/>
          <w:szCs w:val="24"/>
        </w:rPr>
        <w:t>1</w:t>
      </w:r>
      <w:r>
        <w:rPr>
          <w:rFonts w:ascii="仿宋_GB2312" w:hAnsi="宋体" w:cs="宋体" w:hint="eastAsia"/>
          <w:bCs/>
          <w:kern w:val="0"/>
          <w:szCs w:val="24"/>
        </w:rPr>
        <w:t>年末净资产不低于</w:t>
      </w:r>
      <w:r>
        <w:rPr>
          <w:rFonts w:ascii="仿宋_GB2312" w:hAnsi="宋体" w:cs="宋体" w:hint="eastAsia"/>
          <w:bCs/>
          <w:kern w:val="0"/>
          <w:szCs w:val="24"/>
        </w:rPr>
        <w:t>1000</w:t>
      </w:r>
      <w:r>
        <w:rPr>
          <w:rFonts w:ascii="仿宋_GB2312" w:hAnsi="宋体" w:cs="宋体" w:hint="eastAsia"/>
          <w:bCs/>
          <w:kern w:val="0"/>
          <w:szCs w:val="24"/>
        </w:rPr>
        <w:t>万元人民币的法人或者依法成立的其他组织；</w:t>
      </w:r>
    </w:p>
    <w:p w14:paraId="773C96E7"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w:t>
      </w:r>
      <w:r>
        <w:rPr>
          <w:rFonts w:ascii="仿宋_GB2312" w:hAnsi="宋体" w:cs="宋体" w:hint="eastAsia"/>
          <w:bCs/>
          <w:kern w:val="0"/>
          <w:szCs w:val="24"/>
        </w:rPr>
        <w:t>国务院银行业监督管理机构规定的其他情形。</w:t>
      </w:r>
    </w:p>
    <w:p w14:paraId="2F505AB2"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专业投资者：符合下列条件之一的是专业投资者：</w:t>
      </w:r>
    </w:p>
    <w:p w14:paraId="489BE674"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w:t>
      </w:r>
      <w:r>
        <w:rPr>
          <w:rFonts w:ascii="仿宋_GB2312" w:hAnsi="宋体" w:cs="宋体" w:hint="eastAsia"/>
          <w:bCs/>
          <w:kern w:val="0"/>
          <w:szCs w:val="24"/>
        </w:rPr>
        <w:t>银行业</w:t>
      </w:r>
      <w:r>
        <w:rPr>
          <w:rFonts w:ascii="仿宋_GB2312" w:hAnsi="宋体" w:cs="宋体" w:hint="eastAsia"/>
          <w:bCs/>
          <w:kern w:val="0"/>
          <w:szCs w:val="24"/>
        </w:rPr>
        <w:t>金融机构、保险业金融机构、金融控股公司、证券基金期货经营机构、私募基金管理人；</w:t>
      </w:r>
    </w:p>
    <w:p w14:paraId="41DC048A"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w:t>
      </w:r>
      <w:r>
        <w:rPr>
          <w:rFonts w:ascii="仿宋_GB2312" w:hAnsi="宋体" w:cs="宋体" w:hint="eastAsia"/>
          <w:bCs/>
          <w:kern w:val="0"/>
          <w:szCs w:val="24"/>
        </w:rPr>
        <w:t>上述机构面向投资者发行的金融产品，信托公司管理的资产服务信托、公益慈善信托；</w:t>
      </w:r>
    </w:p>
    <w:p w14:paraId="3AD9336E"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w:t>
      </w:r>
      <w:r>
        <w:rPr>
          <w:rFonts w:ascii="仿宋_GB2312" w:hAnsi="宋体" w:cs="宋体" w:hint="eastAsia"/>
          <w:bCs/>
          <w:kern w:val="0"/>
          <w:szCs w:val="24"/>
        </w:rPr>
        <w:t>社会保障基金、企业年金、职业年金等养老基金，慈善基金等社会公益基金，合格境外机构投资者（</w:t>
      </w:r>
      <w:r>
        <w:rPr>
          <w:rFonts w:ascii="仿宋_GB2312" w:hAnsi="宋体" w:cs="宋体" w:hint="eastAsia"/>
          <w:bCs/>
          <w:kern w:val="0"/>
          <w:szCs w:val="24"/>
        </w:rPr>
        <w:t>QFII</w:t>
      </w:r>
      <w:r>
        <w:rPr>
          <w:rFonts w:ascii="仿宋_GB2312" w:hAnsi="宋体" w:cs="宋体" w:hint="eastAsia"/>
          <w:bCs/>
          <w:kern w:val="0"/>
          <w:szCs w:val="24"/>
        </w:rPr>
        <w:t>）、人民币合格境外机构投资者（</w:t>
      </w:r>
      <w:r>
        <w:rPr>
          <w:rFonts w:ascii="仿宋_GB2312" w:hAnsi="宋体" w:cs="宋体" w:hint="eastAsia"/>
          <w:bCs/>
          <w:kern w:val="0"/>
          <w:szCs w:val="24"/>
        </w:rPr>
        <w:t>RQFII</w:t>
      </w:r>
      <w:r>
        <w:rPr>
          <w:rFonts w:ascii="仿宋_GB2312" w:hAnsi="宋体" w:cs="宋体" w:hint="eastAsia"/>
          <w:bCs/>
          <w:kern w:val="0"/>
          <w:szCs w:val="24"/>
        </w:rPr>
        <w:t>）。</w:t>
      </w:r>
    </w:p>
    <w:p w14:paraId="0C57EE4C"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普通投资者：专业投资者之外的投资者为普通投资者。</w:t>
      </w:r>
    </w:p>
    <w:p w14:paraId="0BA9A8E9"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全国银行业理财信息登记系统：指供商业银行及商业银行理财公司进行理财产品电子化报告和信息登记的电子信息系统。</w:t>
      </w:r>
    </w:p>
    <w:p w14:paraId="735F1A3C" w14:textId="77777777" w:rsidR="00A2049A" w:rsidRDefault="0029186B">
      <w:pPr>
        <w:pStyle w:val="2"/>
        <w:ind w:firstLine="482"/>
        <w:rPr>
          <w:rFonts w:ascii="仿宋_GB2312" w:hAnsi="宋体" w:cs="宋体"/>
          <w:bCs/>
          <w:kern w:val="0"/>
          <w:szCs w:val="24"/>
        </w:rPr>
      </w:pPr>
      <w:r>
        <w:rPr>
          <w:rFonts w:ascii="仿宋_GB2312" w:hAnsi="宋体" w:cs="宋体" w:hint="eastAsia"/>
          <w:bCs/>
          <w:kern w:val="0"/>
          <w:szCs w:val="24"/>
        </w:rPr>
        <w:t>法律文件用语</w:t>
      </w:r>
      <w:r>
        <w:rPr>
          <w:rFonts w:ascii="仿宋_GB2312" w:hAnsi="宋体" w:cs="宋体" w:hint="eastAsia"/>
          <w:bCs/>
          <w:kern w:val="0"/>
          <w:szCs w:val="24"/>
        </w:rPr>
        <w:t xml:space="preserve"> </w:t>
      </w:r>
    </w:p>
    <w:p w14:paraId="10E2B241"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理财产品销售文件</w:t>
      </w:r>
      <w:r>
        <w:rPr>
          <w:rFonts w:ascii="仿宋_GB2312" w:hAnsi="宋体" w:cs="宋体" w:hint="eastAsia"/>
          <w:bCs/>
          <w:kern w:val="0"/>
          <w:szCs w:val="24"/>
        </w:rPr>
        <w:t>/</w:t>
      </w:r>
      <w:r>
        <w:rPr>
          <w:rFonts w:ascii="仿宋_GB2312" w:hAnsi="宋体" w:cs="宋体" w:hint="eastAsia"/>
          <w:bCs/>
          <w:kern w:val="0"/>
          <w:szCs w:val="24"/>
        </w:rPr>
        <w:t>销售文件：指产品管理人向投资者提供的，用于描述产品特征，约定权利义务的文件。具体指浙银理财</w:t>
      </w:r>
      <w:r>
        <w:rPr>
          <w:rFonts w:ascii="仿宋_GB2312" w:hAnsi="宋体" w:cs="宋体" w:hint="eastAsia"/>
          <w:bCs/>
          <w:kern w:val="0"/>
          <w:szCs w:val="24"/>
        </w:rPr>
        <w:t>琮简富春</w:t>
      </w:r>
      <w:r>
        <w:rPr>
          <w:rFonts w:ascii="仿宋_GB2312" w:hAnsi="宋体" w:cs="宋体" w:hint="eastAsia"/>
          <w:bCs/>
          <w:kern w:val="0"/>
          <w:szCs w:val="24"/>
        </w:rPr>
        <w:t>147</w:t>
      </w:r>
      <w:r>
        <w:rPr>
          <w:rFonts w:ascii="仿宋_GB2312" w:hAnsi="宋体" w:cs="宋体" w:hint="eastAsia"/>
          <w:bCs/>
          <w:kern w:val="0"/>
          <w:szCs w:val="24"/>
        </w:rPr>
        <w:t>号</w:t>
      </w:r>
      <w:r>
        <w:rPr>
          <w:rFonts w:ascii="仿宋_GB2312" w:hAnsi="宋体" w:cs="宋体" w:hint="eastAsia"/>
          <w:bCs/>
          <w:kern w:val="0"/>
          <w:szCs w:val="24"/>
        </w:rPr>
        <w:t>理财产品销售文件，包括《投资协议书》、《产品说明</w:t>
      </w:r>
      <w:r>
        <w:rPr>
          <w:rFonts w:ascii="仿宋_GB2312" w:hAnsi="宋体" w:cs="宋体" w:hint="eastAsia"/>
          <w:bCs/>
          <w:kern w:val="0"/>
          <w:szCs w:val="24"/>
        </w:rPr>
        <w:lastRenderedPageBreak/>
        <w:t>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14:paraId="4CBE6EFE"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《投资协议书》：指管理人统一编制的《浙银理财理财产品投资协议书》，以及对该文件的有效</w:t>
      </w:r>
      <w:r>
        <w:rPr>
          <w:rFonts w:ascii="仿宋_GB2312" w:hAnsi="宋体" w:cs="宋体" w:hint="eastAsia"/>
          <w:bCs/>
          <w:kern w:val="0"/>
          <w:szCs w:val="24"/>
        </w:rPr>
        <w:t>修改或补充。</w:t>
      </w:r>
    </w:p>
    <w:p w14:paraId="3D667A76"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《产品说明书》：指管理人统一编制的《浙银理财</w:t>
      </w:r>
      <w:r>
        <w:rPr>
          <w:rFonts w:ascii="仿宋_GB2312" w:hAnsi="宋体" w:cs="宋体" w:hint="eastAsia"/>
          <w:bCs/>
          <w:kern w:val="0"/>
          <w:szCs w:val="24"/>
        </w:rPr>
        <w:t>琮简富春</w:t>
      </w:r>
      <w:r>
        <w:rPr>
          <w:rFonts w:ascii="仿宋_GB2312" w:hAnsi="宋体" w:cs="宋体" w:hint="eastAsia"/>
          <w:bCs/>
          <w:kern w:val="0"/>
          <w:szCs w:val="24"/>
        </w:rPr>
        <w:t>147</w:t>
      </w:r>
      <w:r>
        <w:rPr>
          <w:rFonts w:ascii="仿宋_GB2312" w:hAnsi="宋体" w:cs="宋体" w:hint="eastAsia"/>
          <w:bCs/>
          <w:kern w:val="0"/>
          <w:szCs w:val="24"/>
        </w:rPr>
        <w:t>号</w:t>
      </w:r>
      <w:r>
        <w:rPr>
          <w:rFonts w:ascii="仿宋_GB2312" w:hAnsi="宋体" w:cs="宋体" w:hint="eastAsia"/>
          <w:bCs/>
          <w:kern w:val="0"/>
          <w:szCs w:val="24"/>
        </w:rPr>
        <w:t>理财产品说明书》，以及对该文件的有效修改或补充。</w:t>
      </w:r>
    </w:p>
    <w:p w14:paraId="20568544"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14:paraId="424AD613"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《风险揭示书》：指管理人统一编制的《浙银理财</w:t>
      </w:r>
      <w:r>
        <w:rPr>
          <w:rFonts w:ascii="仿宋_GB2312" w:hAnsi="宋体" w:cs="宋体" w:hint="eastAsia"/>
          <w:bCs/>
          <w:kern w:val="0"/>
          <w:szCs w:val="24"/>
        </w:rPr>
        <w:t>琮简富春</w:t>
      </w:r>
      <w:r>
        <w:rPr>
          <w:rFonts w:ascii="仿宋_GB2312" w:hAnsi="宋体" w:cs="宋体" w:hint="eastAsia"/>
          <w:bCs/>
          <w:kern w:val="0"/>
          <w:szCs w:val="24"/>
        </w:rPr>
        <w:t>147</w:t>
      </w:r>
      <w:r>
        <w:rPr>
          <w:rFonts w:ascii="仿宋_GB2312" w:hAnsi="宋体" w:cs="宋体" w:hint="eastAsia"/>
          <w:bCs/>
          <w:kern w:val="0"/>
          <w:szCs w:val="24"/>
        </w:rPr>
        <w:t>号</w:t>
      </w:r>
      <w:r>
        <w:rPr>
          <w:rFonts w:ascii="仿宋_GB2312" w:hAnsi="宋体" w:cs="宋体" w:hint="eastAsia"/>
          <w:bCs/>
          <w:kern w:val="0"/>
          <w:szCs w:val="24"/>
        </w:rPr>
        <w:t>理财产品风险揭示书》或代理销售机构接受产品管理人委托自行编制的《浙银理财</w:t>
      </w:r>
      <w:r>
        <w:rPr>
          <w:rFonts w:ascii="仿宋_GB2312" w:hAnsi="宋体" w:cs="宋体" w:hint="eastAsia"/>
          <w:bCs/>
          <w:kern w:val="0"/>
          <w:szCs w:val="24"/>
        </w:rPr>
        <w:t>琮简富春</w:t>
      </w:r>
      <w:r>
        <w:rPr>
          <w:rFonts w:ascii="仿宋_GB2312" w:hAnsi="宋体" w:cs="宋体" w:hint="eastAsia"/>
          <w:bCs/>
          <w:kern w:val="0"/>
          <w:szCs w:val="24"/>
        </w:rPr>
        <w:t>147</w:t>
      </w:r>
      <w:r>
        <w:rPr>
          <w:rFonts w:ascii="仿宋_GB2312" w:hAnsi="宋体" w:cs="宋体" w:hint="eastAsia"/>
          <w:bCs/>
          <w:kern w:val="0"/>
          <w:szCs w:val="24"/>
        </w:rPr>
        <w:t>号</w:t>
      </w:r>
      <w:r>
        <w:rPr>
          <w:rFonts w:ascii="仿宋_GB2312" w:hAnsi="宋体" w:cs="宋体" w:hint="eastAsia"/>
          <w:bCs/>
          <w:kern w:val="0"/>
          <w:szCs w:val="24"/>
        </w:rPr>
        <w:t>理财</w:t>
      </w:r>
      <w:r>
        <w:rPr>
          <w:rFonts w:ascii="仿宋_GB2312" w:hAnsi="宋体" w:cs="宋体" w:hint="eastAsia"/>
          <w:bCs/>
          <w:kern w:val="0"/>
          <w:szCs w:val="24"/>
        </w:rPr>
        <w:t>产品风险揭示书》（文件名称以代理销售机构实际编制为准），以及对该文件的有效修改或补充。</w:t>
      </w:r>
    </w:p>
    <w:p w14:paraId="0090DD16"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投资者权益须知》：指管理人统一编制的《浙银理财理财产品投资者权益须知》或代理销售机构接受产品管理人委托自行编制的《浙银理财产品投资者权益须知》（文件名称以代理销售机构实际编制为准），以及对该文件的有效修改或补充。</w:t>
      </w:r>
    </w:p>
    <w:p w14:paraId="6BB14AAB" w14:textId="77777777" w:rsidR="00A2049A" w:rsidRDefault="0029186B">
      <w:pPr>
        <w:pStyle w:val="2"/>
        <w:ind w:firstLine="482"/>
        <w:rPr>
          <w:rFonts w:ascii="仿宋_GB2312" w:hAnsi="宋体" w:cs="宋体"/>
          <w:bCs/>
          <w:kern w:val="0"/>
          <w:szCs w:val="24"/>
        </w:rPr>
      </w:pPr>
      <w:r>
        <w:rPr>
          <w:rFonts w:ascii="仿宋_GB2312" w:hAnsi="宋体" w:cs="宋体" w:hint="eastAsia"/>
          <w:bCs/>
          <w:kern w:val="0"/>
          <w:szCs w:val="24"/>
        </w:rPr>
        <w:t>理财产品用语</w:t>
      </w:r>
      <w:r>
        <w:rPr>
          <w:rFonts w:ascii="仿宋_GB2312" w:hAnsi="宋体" w:cs="宋体" w:hint="eastAsia"/>
          <w:bCs/>
          <w:kern w:val="0"/>
          <w:szCs w:val="24"/>
        </w:rPr>
        <w:t xml:space="preserve"> </w:t>
      </w:r>
    </w:p>
    <w:p w14:paraId="29021C77"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理财产品登记编码：指本款理财产品在全国银行业理财信息登记系统对理财产品进行信息登记后，由全国银行业理财信息登记系统发放的唯一性的理财产品编码。投资者可依据登记编码在中国理财网（</w:t>
      </w:r>
      <w:r>
        <w:rPr>
          <w:rFonts w:ascii="仿宋_GB2312" w:hAnsi="宋体" w:cs="宋体" w:hint="eastAsia"/>
          <w:bCs/>
          <w:kern w:val="0"/>
          <w:szCs w:val="24"/>
        </w:rPr>
        <w:t>www.</w:t>
      </w:r>
      <w:r>
        <w:rPr>
          <w:rFonts w:ascii="仿宋_GB2312" w:hAnsi="宋体" w:cs="宋体" w:hint="eastAsia"/>
          <w:bCs/>
          <w:kern w:val="0"/>
          <w:szCs w:val="24"/>
        </w:rPr>
        <w:t>chinawealth.com.cn</w:t>
      </w:r>
      <w:r>
        <w:rPr>
          <w:rFonts w:ascii="仿宋_GB2312" w:hAnsi="宋体" w:cs="宋体" w:hint="eastAsia"/>
          <w:bCs/>
          <w:kern w:val="0"/>
          <w:szCs w:val="24"/>
        </w:rPr>
        <w:t>）查询产品信息。</w:t>
      </w:r>
    </w:p>
    <w:p w14:paraId="5E60B359"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理财产品代码</w:t>
      </w:r>
      <w:r>
        <w:rPr>
          <w:rFonts w:ascii="仿宋_GB2312" w:hAnsi="宋体" w:cs="宋体" w:hint="eastAsia"/>
          <w:bCs/>
          <w:kern w:val="0"/>
          <w:szCs w:val="24"/>
        </w:rPr>
        <w:t>/</w:t>
      </w:r>
      <w:r>
        <w:rPr>
          <w:rFonts w:ascii="仿宋_GB2312" w:hAnsi="宋体" w:cs="宋体" w:hint="eastAsia"/>
          <w:bCs/>
          <w:kern w:val="0"/>
          <w:szCs w:val="24"/>
        </w:rPr>
        <w:t>产品代码：指产品管理人在全国银行业理财信息登记系统中为理财产品设置的内部识别码。</w:t>
      </w:r>
    </w:p>
    <w:p w14:paraId="12E3CFAE"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理财产品销售代码</w:t>
      </w:r>
      <w:r>
        <w:rPr>
          <w:rFonts w:ascii="仿宋_GB2312" w:hAnsi="宋体" w:cs="宋体" w:hint="eastAsia"/>
          <w:bCs/>
          <w:kern w:val="0"/>
          <w:szCs w:val="24"/>
        </w:rPr>
        <w:t>/</w:t>
      </w:r>
      <w:r>
        <w:rPr>
          <w:rFonts w:ascii="仿宋_GB2312" w:hAnsi="宋体" w:cs="宋体" w:hint="eastAsia"/>
          <w:bCs/>
          <w:kern w:val="0"/>
          <w:szCs w:val="24"/>
        </w:rPr>
        <w:t>销售代码：指本款理财产品若设置不同产品份额类别，为在理财产品销售管理过程中区分不同产品份额类别，管理人在同一理财产品代码项下，为每类份额类别设置的唯一性内部识别码。</w:t>
      </w:r>
    </w:p>
    <w:p w14:paraId="35478FB5"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理财产品风险等级：理财产品风险等级为产品管理人和销售机构经过审慎评估后确定的产品风险等级。若本产品通过代理销售机构销售的，理财产品风险等级以代理销售机构最终披露的风险</w:t>
      </w:r>
      <w:r>
        <w:rPr>
          <w:rFonts w:ascii="仿宋_GB2312" w:hAnsi="宋体" w:cs="宋体" w:hint="eastAsia"/>
          <w:bCs/>
          <w:kern w:val="0"/>
          <w:szCs w:val="24"/>
        </w:rPr>
        <w:t>等级结果为准。产品管理人和代理销售机构对理财产品的风险等级评估结果不一致时，代理销售机构应采用对应较高风险的评级结果。</w:t>
      </w:r>
      <w:r>
        <w:rPr>
          <w:rFonts w:ascii="宋体" w:hAnsi="宋体" w:hint="eastAsia"/>
          <w:b/>
          <w:bCs/>
          <w:szCs w:val="24"/>
        </w:rPr>
        <w:t>产品管理人在符合监管政策的前提下可对产品风险评级进行动态管理，如产品风险等级发生调整，将提前通过本《产品说明书》“信息披露”约定的方式通知投资者。</w:t>
      </w:r>
    </w:p>
    <w:p w14:paraId="44054B4F"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投资者风险承受能力评估：指销售机构对理财投资者的风险承受能力进行评价的过程。</w:t>
      </w:r>
    </w:p>
    <w:p w14:paraId="3FE9A801"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6.</w:t>
      </w:r>
      <w:r>
        <w:rPr>
          <w:rFonts w:ascii="仿宋_GB2312" w:hAnsi="宋体" w:cs="宋体" w:hint="eastAsia"/>
          <w:bCs/>
          <w:kern w:val="0"/>
          <w:szCs w:val="24"/>
        </w:rPr>
        <w:t>理财产品份额：指投资者持有本理财产品的单位数额。投资者基于其所持有的理财产品单位数额享有理财产品利益、承担理财产品风险。理财产品份额四舍五入保留</w:t>
      </w:r>
      <w:r>
        <w:rPr>
          <w:rFonts w:ascii="仿宋_GB2312" w:hAnsi="宋体" w:cs="宋体" w:hint="eastAsia"/>
          <w:bCs/>
          <w:kern w:val="0"/>
          <w:szCs w:val="24"/>
        </w:rPr>
        <w:t>2</w:t>
      </w:r>
      <w:r>
        <w:rPr>
          <w:rFonts w:ascii="仿宋_GB2312" w:hAnsi="宋体" w:cs="宋体" w:hint="eastAsia"/>
          <w:bCs/>
          <w:kern w:val="0"/>
          <w:szCs w:val="24"/>
        </w:rPr>
        <w:t>位小数。</w:t>
      </w:r>
    </w:p>
    <w:p w14:paraId="61015CAE"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理财产品资产净值</w:t>
      </w:r>
      <w:r>
        <w:rPr>
          <w:rFonts w:ascii="仿宋_GB2312" w:hAnsi="宋体" w:cs="宋体" w:hint="eastAsia"/>
          <w:bCs/>
          <w:kern w:val="0"/>
          <w:szCs w:val="24"/>
        </w:rPr>
        <w:t>/</w:t>
      </w:r>
      <w:r>
        <w:rPr>
          <w:rFonts w:ascii="仿宋_GB2312" w:hAnsi="宋体" w:cs="宋体" w:hint="eastAsia"/>
          <w:bCs/>
          <w:kern w:val="0"/>
          <w:szCs w:val="24"/>
        </w:rPr>
        <w:t>理财资产净值</w:t>
      </w:r>
      <w:r>
        <w:rPr>
          <w:rFonts w:ascii="仿宋_GB2312" w:hAnsi="宋体" w:cs="宋体" w:hint="eastAsia"/>
          <w:bCs/>
          <w:kern w:val="0"/>
          <w:szCs w:val="24"/>
        </w:rPr>
        <w:t>/</w:t>
      </w:r>
      <w:r>
        <w:rPr>
          <w:rFonts w:ascii="仿宋_GB2312" w:hAnsi="宋体" w:cs="宋体" w:hint="eastAsia"/>
          <w:bCs/>
          <w:kern w:val="0"/>
          <w:szCs w:val="24"/>
        </w:rPr>
        <w:t>产品资产净值：理财产品资产净值</w:t>
      </w:r>
      <w:r>
        <w:rPr>
          <w:rFonts w:ascii="仿宋_GB2312" w:hAnsi="宋体" w:cs="宋体" w:hint="eastAsia"/>
          <w:bCs/>
          <w:kern w:val="0"/>
          <w:szCs w:val="24"/>
        </w:rPr>
        <w:t>=</w:t>
      </w:r>
      <w:r>
        <w:rPr>
          <w:rFonts w:ascii="仿宋_GB2312" w:hAnsi="宋体" w:cs="宋体" w:hint="eastAsia"/>
          <w:bCs/>
          <w:kern w:val="0"/>
          <w:szCs w:val="24"/>
        </w:rPr>
        <w:t>理财产品资产总值</w:t>
      </w:r>
      <w:r>
        <w:rPr>
          <w:rFonts w:ascii="仿宋_GB2312" w:hAnsi="宋体" w:cs="宋体" w:hint="eastAsia"/>
          <w:bCs/>
          <w:kern w:val="0"/>
          <w:szCs w:val="24"/>
        </w:rPr>
        <w:t>-</w:t>
      </w:r>
      <w:r>
        <w:rPr>
          <w:rFonts w:ascii="仿宋_GB2312" w:hAnsi="宋体" w:cs="宋体" w:hint="eastAsia"/>
          <w:bCs/>
          <w:kern w:val="0"/>
          <w:szCs w:val="24"/>
        </w:rPr>
        <w:t>理财产品负债总值。</w:t>
      </w:r>
    </w:p>
    <w:p w14:paraId="05A96B7F"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理财产品资产总值是指理财产品拥有的各类有价证券、银行存款、应收款项及其他资产的价值总和。</w:t>
      </w:r>
    </w:p>
    <w:p w14:paraId="6138A0E6"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理财产品负债总值是指理财产品运作及融资时形成的负债价值总和，包括融资资金本息、</w:t>
      </w:r>
      <w:r>
        <w:rPr>
          <w:rFonts w:ascii="仿宋_GB2312" w:hAnsi="宋体" w:cs="宋体" w:hint="eastAsia"/>
          <w:bCs/>
          <w:kern w:val="0"/>
          <w:sz w:val="22"/>
        </w:rPr>
        <w:t>应付各项费用</w:t>
      </w:r>
      <w:r>
        <w:rPr>
          <w:rFonts w:ascii="仿宋_GB2312" w:hAnsi="宋体" w:cs="宋体" w:hint="eastAsia"/>
          <w:bCs/>
          <w:kern w:val="0"/>
          <w:szCs w:val="24"/>
        </w:rPr>
        <w:t>（包括产品托管费、认购费、投资管理费、业绩报酬、其他费用等）、应付税金及其他应付款项等。</w:t>
      </w:r>
    </w:p>
    <w:p w14:paraId="3129B25D"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理财产品份额净值</w:t>
      </w:r>
      <w:r>
        <w:rPr>
          <w:rFonts w:ascii="仿宋_GB2312" w:hAnsi="宋体" w:cs="宋体" w:hint="eastAsia"/>
          <w:bCs/>
          <w:kern w:val="0"/>
          <w:szCs w:val="24"/>
        </w:rPr>
        <w:t>/</w:t>
      </w:r>
      <w:r>
        <w:rPr>
          <w:rFonts w:ascii="仿宋_GB2312" w:hAnsi="宋体" w:cs="宋体" w:hint="eastAsia"/>
          <w:bCs/>
          <w:kern w:val="0"/>
          <w:szCs w:val="24"/>
        </w:rPr>
        <w:t>理财份额净值</w:t>
      </w:r>
      <w:r>
        <w:rPr>
          <w:rFonts w:ascii="仿宋_GB2312" w:hAnsi="宋体" w:cs="宋体" w:hint="eastAsia"/>
          <w:bCs/>
          <w:kern w:val="0"/>
          <w:szCs w:val="24"/>
        </w:rPr>
        <w:t>/</w:t>
      </w:r>
      <w:r>
        <w:rPr>
          <w:rFonts w:ascii="仿宋_GB2312" w:hAnsi="宋体" w:cs="宋体" w:hint="eastAsia"/>
          <w:bCs/>
          <w:kern w:val="0"/>
          <w:szCs w:val="24"/>
        </w:rPr>
        <w:t>产品份额净值：指理财产品份额的单位净值，即每</w:t>
      </w:r>
      <w:r>
        <w:rPr>
          <w:rFonts w:ascii="仿宋_GB2312" w:hAnsi="宋体" w:cs="宋体" w:hint="eastAsia"/>
          <w:bCs/>
          <w:kern w:val="0"/>
          <w:szCs w:val="24"/>
        </w:rPr>
        <w:t>1</w:t>
      </w:r>
      <w:r>
        <w:rPr>
          <w:rFonts w:ascii="仿宋_GB2312" w:hAnsi="宋体" w:cs="宋体" w:hint="eastAsia"/>
          <w:bCs/>
          <w:kern w:val="0"/>
          <w:szCs w:val="24"/>
        </w:rPr>
        <w:t>份理财产品份额以人民币计价的价格。理财产品份额净值</w:t>
      </w:r>
      <w:r>
        <w:rPr>
          <w:rFonts w:ascii="仿宋_GB2312" w:hAnsi="宋体" w:cs="宋体" w:hint="eastAsia"/>
          <w:bCs/>
          <w:kern w:val="0"/>
          <w:szCs w:val="24"/>
        </w:rPr>
        <w:t>=</w:t>
      </w:r>
      <w:r>
        <w:rPr>
          <w:rFonts w:ascii="仿宋_GB2312" w:hAnsi="宋体" w:cs="宋体" w:hint="eastAsia"/>
          <w:bCs/>
          <w:kern w:val="0"/>
          <w:szCs w:val="24"/>
        </w:rPr>
        <w:t>理财资</w:t>
      </w:r>
      <w:r>
        <w:rPr>
          <w:rFonts w:ascii="仿宋_GB2312" w:hAnsi="宋体" w:cs="宋体" w:hint="eastAsia"/>
          <w:bCs/>
          <w:kern w:val="0"/>
          <w:szCs w:val="24"/>
        </w:rPr>
        <w:t>产净值</w:t>
      </w:r>
      <w:r>
        <w:rPr>
          <w:rFonts w:ascii="仿宋_GB2312" w:hAnsi="宋体" w:cs="宋体" w:hint="eastAsia"/>
          <w:bCs/>
          <w:kern w:val="0"/>
          <w:szCs w:val="24"/>
        </w:rPr>
        <w:t>/</w:t>
      </w:r>
      <w:r>
        <w:rPr>
          <w:rFonts w:ascii="仿宋_GB2312" w:hAnsi="宋体" w:cs="宋体" w:hint="eastAsia"/>
          <w:bCs/>
          <w:kern w:val="0"/>
          <w:szCs w:val="24"/>
        </w:rPr>
        <w:t>产品总份额。投资者按该份额净值进行理财产品申购、赎回时分配。理财产品份额净值四舍五入保留【</w:t>
      </w:r>
      <w:r>
        <w:rPr>
          <w:rFonts w:ascii="仿宋_GB2312" w:hAnsi="宋体" w:cs="宋体" w:hint="eastAsia"/>
          <w:bCs/>
          <w:kern w:val="0"/>
          <w:szCs w:val="24"/>
        </w:rPr>
        <w:t>6</w:t>
      </w:r>
      <w:r>
        <w:rPr>
          <w:rFonts w:ascii="仿宋_GB2312" w:hAnsi="宋体" w:cs="宋体" w:hint="eastAsia"/>
          <w:bCs/>
          <w:kern w:val="0"/>
          <w:szCs w:val="24"/>
        </w:rPr>
        <w:t>位】小数。</w:t>
      </w:r>
    </w:p>
    <w:p w14:paraId="1CEC6E38"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理财产品份额净值可以展示为</w:t>
      </w:r>
      <w:r>
        <w:rPr>
          <w:rFonts w:ascii="仿宋_GB2312" w:hAnsi="宋体" w:cs="宋体"/>
          <w:b/>
          <w:kern w:val="0"/>
          <w:szCs w:val="24"/>
        </w:rPr>
        <w:t>当前理财产品份额净值</w:t>
      </w:r>
      <w:r>
        <w:rPr>
          <w:rFonts w:ascii="仿宋_GB2312" w:hAnsi="宋体" w:cs="宋体" w:hint="eastAsia"/>
          <w:bCs/>
          <w:kern w:val="0"/>
          <w:szCs w:val="24"/>
        </w:rPr>
        <w:t>和</w:t>
      </w:r>
      <w:r>
        <w:rPr>
          <w:rFonts w:ascii="仿宋_GB2312" w:hAnsi="宋体" w:cs="宋体"/>
          <w:b/>
          <w:kern w:val="0"/>
          <w:szCs w:val="24"/>
        </w:rPr>
        <w:t>累计理财产品份额净值</w:t>
      </w:r>
      <w:r>
        <w:rPr>
          <w:rFonts w:ascii="仿宋_GB2312" w:hAnsi="宋体" w:cs="宋体" w:hint="eastAsia"/>
          <w:bCs/>
          <w:kern w:val="0"/>
          <w:szCs w:val="24"/>
        </w:rPr>
        <w:t>。</w:t>
      </w:r>
    </w:p>
    <w:p w14:paraId="31F83521"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当前理财产品份额净值，指产品当前的份额净值。</w:t>
      </w:r>
    </w:p>
    <w:p w14:paraId="310876E9"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累计理财产品份额净值，指产品当前份额净值及产品成立到现在单位理财产品份额分红之和。</w:t>
      </w:r>
    </w:p>
    <w:p w14:paraId="762FDA47" w14:textId="77777777" w:rsidR="00A2049A" w:rsidRDefault="0029186B">
      <w:pPr>
        <w:tabs>
          <w:tab w:val="left" w:pos="709"/>
        </w:tabs>
        <w:snapToGrid w:val="0"/>
        <w:spacing w:line="360" w:lineRule="auto"/>
        <w:ind w:firstLineChars="200" w:firstLine="482"/>
        <w:rPr>
          <w:rFonts w:ascii="仿宋_GB2312" w:hAnsi="宋体" w:cs="宋体"/>
          <w:b/>
          <w:kern w:val="0"/>
          <w:szCs w:val="24"/>
        </w:rPr>
      </w:pPr>
      <w:r>
        <w:rPr>
          <w:rFonts w:ascii="仿宋_GB2312" w:hAnsi="宋体" w:cs="宋体"/>
          <w:b/>
          <w:kern w:val="0"/>
          <w:szCs w:val="24"/>
        </w:rPr>
        <w:t>（注：若无特别说明，理财产品份额净值通常指当前理财产品份额净值）</w:t>
      </w:r>
    </w:p>
    <w:p w14:paraId="7812B7F1"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w:t>
      </w:r>
      <w:r>
        <w:rPr>
          <w:rFonts w:ascii="仿宋_GB2312" w:hAnsi="宋体" w:cs="宋体" w:hint="eastAsia"/>
          <w:bCs/>
          <w:kern w:val="0"/>
          <w:szCs w:val="24"/>
        </w:rPr>
        <w:t>理财产品估值：指计算评估理财产品资产和理财产品负债的价值，以确定理财产品份额净值的过程。</w:t>
      </w:r>
    </w:p>
    <w:p w14:paraId="2A343ED3" w14:textId="77777777" w:rsidR="00A2049A" w:rsidRDefault="0029186B">
      <w:pPr>
        <w:tabs>
          <w:tab w:val="left" w:pos="709"/>
        </w:tabs>
        <w:snapToGrid w:val="0"/>
        <w:spacing w:line="360" w:lineRule="auto"/>
        <w:ind w:firstLineChars="200" w:firstLine="480"/>
        <w:rPr>
          <w:rFonts w:ascii="仿宋_GB2312" w:hAnsi="宋体" w:cs="宋体"/>
          <w:b/>
          <w:kern w:val="0"/>
          <w:szCs w:val="24"/>
        </w:rPr>
      </w:pPr>
      <w:r>
        <w:rPr>
          <w:rFonts w:ascii="仿宋_GB2312" w:hAnsi="宋体" w:cs="宋体" w:hint="eastAsia"/>
          <w:bCs/>
          <w:kern w:val="0"/>
          <w:szCs w:val="24"/>
        </w:rPr>
        <w:t>10.</w:t>
      </w:r>
      <w:r>
        <w:rPr>
          <w:rFonts w:ascii="仿宋_GB2312" w:hAnsi="宋体" w:cs="宋体" w:hint="eastAsia"/>
          <w:bCs/>
          <w:kern w:val="0"/>
          <w:szCs w:val="24"/>
        </w:rPr>
        <w:t>业绩比较基准：指管理人基于过往投资经验及对产品存续期投资市场波动的预判而对本产品所设定的投资目标。</w:t>
      </w:r>
      <w:r>
        <w:rPr>
          <w:rFonts w:ascii="仿宋_GB2312" w:hAnsi="宋体" w:cs="宋体"/>
          <w:b/>
          <w:kern w:val="0"/>
          <w:szCs w:val="24"/>
        </w:rPr>
        <w:t>业绩比较基准不代表理财产品未来表现，不等于理财产品实际收益，不作为产品收益的业绩保证，投资须谨慎。</w:t>
      </w:r>
    </w:p>
    <w:p w14:paraId="23DC614A" w14:textId="77777777" w:rsidR="00A2049A" w:rsidRDefault="0029186B">
      <w:pPr>
        <w:tabs>
          <w:tab w:val="left" w:pos="709"/>
        </w:tabs>
        <w:snapToGrid w:val="0"/>
        <w:spacing w:line="360" w:lineRule="auto"/>
        <w:ind w:firstLineChars="200" w:firstLine="480"/>
        <w:rPr>
          <w:rFonts w:ascii="仿宋_GB2312" w:hAnsi="宋体" w:cs="宋体"/>
          <w:b/>
          <w:kern w:val="0"/>
          <w:szCs w:val="24"/>
        </w:rPr>
      </w:pPr>
      <w:r>
        <w:rPr>
          <w:rFonts w:ascii="仿宋_GB2312" w:hAnsi="宋体" w:cs="宋体" w:hint="eastAsia"/>
          <w:bCs/>
          <w:kern w:val="0"/>
          <w:szCs w:val="24"/>
        </w:rPr>
        <w:t>11.</w:t>
      </w:r>
      <w:r>
        <w:rPr>
          <w:rFonts w:ascii="仿宋_GB2312" w:hAnsi="宋体" w:cs="宋体" w:hint="eastAsia"/>
          <w:bCs/>
          <w:kern w:val="0"/>
          <w:szCs w:val="24"/>
        </w:rPr>
        <w:t>业绩报酬计提基准：指管理人收取业绩</w:t>
      </w:r>
      <w:r>
        <w:rPr>
          <w:rFonts w:ascii="仿宋_GB2312" w:hAnsi="宋体" w:cs="宋体"/>
          <w:bCs/>
          <w:kern w:val="0"/>
          <w:szCs w:val="24"/>
        </w:rPr>
        <w:t>报酬</w:t>
      </w:r>
      <w:r>
        <w:rPr>
          <w:rFonts w:ascii="仿宋_GB2312" w:hAnsi="宋体" w:cs="宋体" w:hint="eastAsia"/>
          <w:bCs/>
          <w:kern w:val="0"/>
          <w:szCs w:val="24"/>
        </w:rPr>
        <w:t>的参照相关数值标准。</w:t>
      </w:r>
      <w:r>
        <w:rPr>
          <w:rFonts w:ascii="仿宋_GB2312" w:hAnsi="宋体" w:cs="宋体" w:hint="eastAsia"/>
          <w:b/>
          <w:kern w:val="0"/>
          <w:szCs w:val="24"/>
        </w:rPr>
        <w:t>业绩报酬计提基准</w:t>
      </w:r>
      <w:r>
        <w:rPr>
          <w:rFonts w:ascii="仿宋_GB2312" w:hAnsi="宋体" w:cs="宋体"/>
          <w:b/>
          <w:kern w:val="0"/>
          <w:szCs w:val="24"/>
        </w:rPr>
        <w:t>不代表理财产品未来表现，不等于理财产品实际收益，不作为产品收益的业绩保证，投资须谨慎。</w:t>
      </w:r>
    </w:p>
    <w:p w14:paraId="39B6A441"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12.</w:t>
      </w:r>
      <w:r>
        <w:rPr>
          <w:rFonts w:ascii="仿宋_GB2312" w:hAnsi="宋体" w:cs="宋体" w:hint="eastAsia"/>
          <w:bCs/>
          <w:kern w:val="0"/>
          <w:szCs w:val="24"/>
        </w:rPr>
        <w:t>理财产品利益</w:t>
      </w:r>
      <w:r>
        <w:rPr>
          <w:rFonts w:ascii="仿宋_GB2312" w:hAnsi="宋体" w:cs="宋体" w:hint="eastAsia"/>
          <w:bCs/>
          <w:kern w:val="0"/>
          <w:szCs w:val="24"/>
        </w:rPr>
        <w:t>/</w:t>
      </w:r>
      <w:r>
        <w:rPr>
          <w:rFonts w:ascii="仿宋_GB2312" w:hAnsi="宋体" w:cs="宋体" w:hint="eastAsia"/>
          <w:bCs/>
          <w:kern w:val="0"/>
          <w:szCs w:val="24"/>
        </w:rPr>
        <w:t>理财利益：指投资者因持有理财产品份额，按照销售文件约定取得或有权取得的理财产品管理人分配的理财产品资产。</w:t>
      </w:r>
    </w:p>
    <w:p w14:paraId="6E7F4DF0"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13.</w:t>
      </w:r>
      <w:r>
        <w:rPr>
          <w:rFonts w:ascii="仿宋_GB2312" w:hAnsi="宋体" w:cs="宋体" w:hint="eastAsia"/>
          <w:bCs/>
          <w:kern w:val="0"/>
          <w:szCs w:val="24"/>
        </w:rPr>
        <w:t>利益分配：指产品管理人向投资者进行理财产品利益分配。</w:t>
      </w:r>
      <w:r>
        <w:rPr>
          <w:rFonts w:ascii="仿宋_GB2312" w:hAnsi="宋体" w:cs="宋体" w:hint="eastAsia"/>
          <w:bCs/>
          <w:kern w:val="0"/>
          <w:szCs w:val="24"/>
        </w:rPr>
        <w:t xml:space="preserve"> </w:t>
      </w:r>
    </w:p>
    <w:p w14:paraId="2564A198"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14.</w:t>
      </w:r>
      <w:r>
        <w:rPr>
          <w:rFonts w:ascii="仿宋_GB2312" w:hAnsi="宋体" w:cs="宋体" w:hint="eastAsia"/>
          <w:bCs/>
          <w:kern w:val="0"/>
          <w:szCs w:val="24"/>
        </w:rPr>
        <w:t>期间分配：指在理财产品终止日（不含当日）前的理财产品利益分配。</w:t>
      </w:r>
      <w:r>
        <w:rPr>
          <w:rFonts w:ascii="仿宋_GB2312" w:hAnsi="宋体" w:cs="宋体" w:hint="eastAsia"/>
          <w:bCs/>
          <w:kern w:val="0"/>
          <w:szCs w:val="24"/>
        </w:rPr>
        <w:t xml:space="preserve"> </w:t>
      </w:r>
    </w:p>
    <w:p w14:paraId="00FF0EC2"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15.</w:t>
      </w:r>
      <w:r>
        <w:rPr>
          <w:rFonts w:ascii="仿宋_GB2312" w:hAnsi="宋体" w:cs="宋体" w:hint="eastAsia"/>
          <w:bCs/>
          <w:kern w:val="0"/>
          <w:szCs w:val="24"/>
        </w:rPr>
        <w:t>终止分配：指在理财产品终止日当日及之后的理财产品利益分配。</w:t>
      </w:r>
    </w:p>
    <w:p w14:paraId="3F89854E"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16.</w:t>
      </w:r>
      <w:r>
        <w:rPr>
          <w:rFonts w:ascii="仿宋_GB2312" w:hAnsi="宋体" w:cs="宋体" w:hint="eastAsia"/>
          <w:bCs/>
          <w:kern w:val="0"/>
          <w:szCs w:val="24"/>
        </w:rPr>
        <w:t>认购：指投资者根据本协议约定在认购期</w:t>
      </w:r>
      <w:r>
        <w:rPr>
          <w:rFonts w:ascii="仿宋_GB2312" w:hAnsi="宋体" w:cs="宋体" w:hint="eastAsia"/>
          <w:bCs/>
          <w:kern w:val="0"/>
          <w:szCs w:val="24"/>
        </w:rPr>
        <w:t>/</w:t>
      </w:r>
      <w:r>
        <w:rPr>
          <w:rFonts w:ascii="仿宋_GB2312" w:hAnsi="宋体" w:cs="宋体" w:hint="eastAsia"/>
          <w:bCs/>
          <w:kern w:val="0"/>
          <w:szCs w:val="24"/>
        </w:rPr>
        <w:t>募集期内申请购买本产品理财产品份额的行为。</w:t>
      </w:r>
      <w:r>
        <w:rPr>
          <w:rFonts w:ascii="仿宋_GB2312" w:hAnsi="宋体" w:cs="宋体" w:hint="eastAsia"/>
          <w:bCs/>
          <w:kern w:val="0"/>
          <w:szCs w:val="24"/>
        </w:rPr>
        <w:t xml:space="preserve"> </w:t>
      </w:r>
    </w:p>
    <w:p w14:paraId="15D788AC"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17.</w:t>
      </w:r>
      <w:r>
        <w:rPr>
          <w:rFonts w:ascii="仿宋_GB2312" w:hAnsi="宋体" w:cs="宋体" w:hint="eastAsia"/>
          <w:bCs/>
          <w:kern w:val="0"/>
          <w:szCs w:val="24"/>
        </w:rPr>
        <w:t>申购：指理财产品成立后，在理财产品申购期内，投资者申请购买理财产品份额的行为。</w:t>
      </w:r>
    </w:p>
    <w:p w14:paraId="4E79FAD8"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首次申购，指未进行认购的投资者，在理财产品成立后申请购买理财产品份额的行为。投资者全</w:t>
      </w:r>
      <w:r>
        <w:rPr>
          <w:rFonts w:ascii="仿宋_GB2312" w:hAnsi="宋体" w:cs="宋体" w:hint="eastAsia"/>
          <w:bCs/>
          <w:kern w:val="0"/>
          <w:szCs w:val="24"/>
        </w:rPr>
        <w:lastRenderedPageBreak/>
        <w:t>额赎回不再持有理财产品份额后再次申购的，视同首次申购</w:t>
      </w:r>
      <w:r>
        <w:rPr>
          <w:rFonts w:ascii="仿宋_GB2312" w:hAnsi="宋体" w:cs="宋体" w:hint="eastAsia"/>
          <w:bCs/>
          <w:kern w:val="0"/>
          <w:szCs w:val="24"/>
        </w:rPr>
        <w:t>处理。</w:t>
      </w:r>
    </w:p>
    <w:p w14:paraId="7EADB7ED"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追加申购，指已经完成认购或首次申购的投资者，在理财产品成立后申请购买理财产品份额的行为。</w:t>
      </w:r>
    </w:p>
    <w:p w14:paraId="2FE27604"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18.</w:t>
      </w:r>
      <w:r>
        <w:rPr>
          <w:rFonts w:ascii="仿宋_GB2312" w:hAnsi="宋体" w:cs="宋体" w:hint="eastAsia"/>
          <w:bCs/>
          <w:kern w:val="0"/>
          <w:szCs w:val="24"/>
        </w:rPr>
        <w:t>赎回：指理财产品成立后，在理财产品赎回期内，投资者申请赎回理财产品份额的行为，即投资者申请将理财产品份额兑换为现金。</w:t>
      </w:r>
    </w:p>
    <w:p w14:paraId="763FCF70" w14:textId="77777777" w:rsidR="00A2049A" w:rsidRDefault="0029186B">
      <w:pPr>
        <w:pStyle w:val="2"/>
        <w:ind w:firstLine="482"/>
        <w:rPr>
          <w:rFonts w:ascii="仿宋_GB2312" w:hAnsi="宋体" w:cs="宋体"/>
          <w:bCs/>
          <w:kern w:val="0"/>
          <w:szCs w:val="24"/>
        </w:rPr>
      </w:pPr>
      <w:r>
        <w:rPr>
          <w:rFonts w:ascii="仿宋_GB2312" w:hAnsi="宋体" w:cs="宋体" w:hint="eastAsia"/>
          <w:bCs/>
          <w:kern w:val="0"/>
          <w:szCs w:val="24"/>
        </w:rPr>
        <w:t>期间与日期</w:t>
      </w:r>
      <w:r>
        <w:rPr>
          <w:rFonts w:ascii="仿宋_GB2312" w:hAnsi="宋体" w:cs="宋体" w:hint="eastAsia"/>
          <w:bCs/>
          <w:kern w:val="0"/>
          <w:szCs w:val="24"/>
        </w:rPr>
        <w:t xml:space="preserve"> </w:t>
      </w:r>
    </w:p>
    <w:p w14:paraId="2C2940ED"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日：指自然日。</w:t>
      </w:r>
    </w:p>
    <w:p w14:paraId="4E99ABA8"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交易日：指证券交易所的正常开盘交易日。</w:t>
      </w:r>
      <w:r>
        <w:rPr>
          <w:rFonts w:ascii="仿宋_GB2312" w:hAnsi="宋体" w:cs="宋体" w:hint="eastAsia"/>
          <w:bCs/>
          <w:kern w:val="0"/>
          <w:szCs w:val="24"/>
        </w:rPr>
        <w:t xml:space="preserve"> </w:t>
      </w:r>
    </w:p>
    <w:p w14:paraId="77C91F6D"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工作日：指国家法定工作日。</w:t>
      </w:r>
      <w:r>
        <w:rPr>
          <w:rFonts w:ascii="仿宋_GB2312" w:hAnsi="宋体" w:cs="宋体" w:hint="eastAsia"/>
          <w:bCs/>
          <w:kern w:val="0"/>
          <w:szCs w:val="24"/>
        </w:rPr>
        <w:t xml:space="preserve"> </w:t>
      </w:r>
    </w:p>
    <w:p w14:paraId="22B8B365"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成立日：指达到《产品说明书》约定的成立条件后本产品开始运作的日期。</w:t>
      </w:r>
    </w:p>
    <w:p w14:paraId="65D10327"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到期日</w:t>
      </w:r>
      <w:r>
        <w:rPr>
          <w:rFonts w:ascii="仿宋_GB2312" w:hAnsi="宋体" w:cs="宋体" w:hint="eastAsia"/>
          <w:bCs/>
          <w:kern w:val="0"/>
          <w:szCs w:val="24"/>
        </w:rPr>
        <w:t>/</w:t>
      </w:r>
      <w:r>
        <w:rPr>
          <w:rFonts w:ascii="仿宋_GB2312" w:hAnsi="宋体" w:cs="宋体" w:hint="eastAsia"/>
          <w:bCs/>
          <w:kern w:val="0"/>
          <w:szCs w:val="24"/>
        </w:rPr>
        <w:t>终止日：指本产品终止的日期，包括理财产品正常到期之日、提前终止之日及延期终止之日。根据《产品</w:t>
      </w:r>
      <w:r>
        <w:rPr>
          <w:rFonts w:ascii="仿宋_GB2312" w:hAnsi="宋体" w:cs="宋体" w:hint="eastAsia"/>
          <w:bCs/>
          <w:kern w:val="0"/>
          <w:szCs w:val="24"/>
        </w:rPr>
        <w:t>说明书》的约定，管理人有权在发生终止事件时终止该理财产品。如管理人终止理财产品，将通过约定方式向投资者进行信息披露。</w:t>
      </w:r>
    </w:p>
    <w:p w14:paraId="4B8542B1"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分配基准日：指本产品管理人以该日日终产品份额净值计算并确定可供分配的投资期间理财利益的日期。</w:t>
      </w:r>
    </w:p>
    <w:p w14:paraId="4B7E3FDE"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分配日：指产品管理人向投资者进行理财产品利益分配的日期。</w:t>
      </w:r>
    </w:p>
    <w:p w14:paraId="76055F33"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募集期</w:t>
      </w:r>
      <w:r>
        <w:rPr>
          <w:rFonts w:ascii="仿宋_GB2312" w:hAnsi="宋体" w:cs="宋体" w:hint="eastAsia"/>
          <w:bCs/>
          <w:kern w:val="0"/>
          <w:szCs w:val="24"/>
        </w:rPr>
        <w:t>/</w:t>
      </w:r>
      <w:r>
        <w:rPr>
          <w:rFonts w:ascii="仿宋_GB2312" w:hAnsi="宋体" w:cs="宋体" w:hint="eastAsia"/>
          <w:bCs/>
          <w:kern w:val="0"/>
          <w:szCs w:val="24"/>
        </w:rPr>
        <w:t>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日维持</w:t>
      </w:r>
      <w:r>
        <w:rPr>
          <w:rFonts w:ascii="仿宋_GB2312" w:hAnsi="宋体" w:cs="宋体" w:hint="eastAsia"/>
          <w:bCs/>
          <w:kern w:val="0"/>
          <w:szCs w:val="24"/>
        </w:rPr>
        <w:t>《产品说明书》的约定，保持不变。</w:t>
      </w:r>
    </w:p>
    <w:p w14:paraId="3EFCA6D4"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w:t>
      </w:r>
      <w:r>
        <w:rPr>
          <w:rFonts w:ascii="仿宋_GB2312" w:hAnsi="宋体" w:cs="宋体" w:hint="eastAsia"/>
          <w:bCs/>
          <w:kern w:val="0"/>
          <w:szCs w:val="24"/>
        </w:rPr>
        <w:t>持有期：指自产品成立日</w:t>
      </w:r>
      <w:r>
        <w:rPr>
          <w:rFonts w:ascii="仿宋_GB2312" w:hAnsi="宋体" w:cs="宋体" w:hint="eastAsia"/>
          <w:bCs/>
          <w:kern w:val="0"/>
          <w:szCs w:val="24"/>
        </w:rPr>
        <w:t>/</w:t>
      </w:r>
      <w:r>
        <w:rPr>
          <w:rFonts w:ascii="仿宋_GB2312" w:hAnsi="宋体" w:cs="宋体" w:hint="eastAsia"/>
          <w:bCs/>
          <w:kern w:val="0"/>
          <w:szCs w:val="24"/>
        </w:rPr>
        <w:t>申购确认日起，投资者持有该产品份额的期间。</w:t>
      </w:r>
    </w:p>
    <w:p w14:paraId="6CCF755C"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10.</w:t>
      </w:r>
      <w:r>
        <w:rPr>
          <w:rFonts w:ascii="仿宋_GB2312" w:hAnsi="宋体" w:cs="宋体" w:hint="eastAsia"/>
          <w:bCs/>
          <w:kern w:val="0"/>
          <w:szCs w:val="24"/>
        </w:rPr>
        <w:t>产品存续期：指自理财产品成立日起，至理财产品终止日的期间。</w:t>
      </w:r>
    </w:p>
    <w:p w14:paraId="1797C993"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11.</w:t>
      </w:r>
      <w:r>
        <w:rPr>
          <w:rFonts w:ascii="仿宋_GB2312" w:hAnsi="宋体" w:cs="宋体" w:hint="eastAsia"/>
          <w:bCs/>
          <w:kern w:val="0"/>
          <w:szCs w:val="24"/>
        </w:rPr>
        <w:t>清算期：指自本理财产品终止日至投资者理财利益到账日之间的期间。</w:t>
      </w:r>
    </w:p>
    <w:p w14:paraId="0385C6F0"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12.</w:t>
      </w:r>
      <w:r>
        <w:rPr>
          <w:rFonts w:ascii="仿宋_GB2312" w:hAnsi="宋体" w:cs="宋体" w:hint="eastAsia"/>
          <w:bCs/>
          <w:kern w:val="0"/>
          <w:szCs w:val="24"/>
        </w:rPr>
        <w:t>申购</w:t>
      </w:r>
      <w:r>
        <w:rPr>
          <w:rFonts w:ascii="仿宋_GB2312" w:hAnsi="宋体" w:cs="宋体" w:hint="eastAsia"/>
          <w:bCs/>
          <w:kern w:val="0"/>
          <w:szCs w:val="24"/>
        </w:rPr>
        <w:t>/</w:t>
      </w:r>
      <w:r>
        <w:rPr>
          <w:rFonts w:ascii="仿宋_GB2312" w:hAnsi="宋体" w:cs="宋体" w:hint="eastAsia"/>
          <w:bCs/>
          <w:kern w:val="0"/>
          <w:szCs w:val="24"/>
        </w:rPr>
        <w:t>赎回日：指投资者提交申购、赎回申请的日期。</w:t>
      </w:r>
    </w:p>
    <w:p w14:paraId="35DBB058"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13.</w:t>
      </w:r>
      <w:r>
        <w:rPr>
          <w:rFonts w:ascii="仿宋_GB2312" w:hAnsi="宋体" w:cs="宋体" w:hint="eastAsia"/>
          <w:bCs/>
          <w:kern w:val="0"/>
          <w:szCs w:val="24"/>
        </w:rPr>
        <w:t>申购</w:t>
      </w:r>
      <w:r>
        <w:rPr>
          <w:rFonts w:ascii="仿宋_GB2312" w:hAnsi="宋体" w:cs="宋体" w:hint="eastAsia"/>
          <w:bCs/>
          <w:kern w:val="0"/>
          <w:szCs w:val="24"/>
        </w:rPr>
        <w:t>/</w:t>
      </w:r>
      <w:r>
        <w:rPr>
          <w:rFonts w:ascii="仿宋_GB2312" w:hAnsi="宋体" w:cs="宋体" w:hint="eastAsia"/>
          <w:bCs/>
          <w:kern w:val="0"/>
          <w:szCs w:val="24"/>
        </w:rPr>
        <w:t>赎回确认日：指投资者提交申购、赎回申请后，管理人对申购、赎回申请进行确认的日期。</w:t>
      </w:r>
    </w:p>
    <w:p w14:paraId="5DD43D27"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14.T</w:t>
      </w:r>
      <w:r>
        <w:rPr>
          <w:rFonts w:ascii="仿宋_GB2312" w:hAnsi="宋体" w:cs="宋体" w:hint="eastAsia"/>
          <w:bCs/>
          <w:kern w:val="0"/>
          <w:szCs w:val="24"/>
        </w:rPr>
        <w:t>日：指某一事件或行为发生的当日。</w:t>
      </w:r>
    </w:p>
    <w:p w14:paraId="3EAD6F7E"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15.T+n</w:t>
      </w:r>
      <w:r>
        <w:rPr>
          <w:rFonts w:ascii="仿宋_GB2312" w:hAnsi="宋体" w:cs="宋体" w:hint="eastAsia"/>
          <w:bCs/>
          <w:kern w:val="0"/>
          <w:szCs w:val="24"/>
        </w:rPr>
        <w:t>日：指</w:t>
      </w:r>
      <w:r>
        <w:rPr>
          <w:rFonts w:ascii="仿宋_GB2312" w:hAnsi="宋体" w:cs="宋体" w:hint="eastAsia"/>
          <w:bCs/>
          <w:kern w:val="0"/>
          <w:szCs w:val="24"/>
        </w:rPr>
        <w:t>T</w:t>
      </w:r>
      <w:r>
        <w:rPr>
          <w:rFonts w:ascii="仿宋_GB2312" w:hAnsi="宋体" w:cs="宋体" w:hint="eastAsia"/>
          <w:bCs/>
          <w:kern w:val="0"/>
          <w:szCs w:val="24"/>
        </w:rPr>
        <w:t>日后（不包括</w:t>
      </w:r>
      <w:r>
        <w:rPr>
          <w:rFonts w:ascii="仿宋_GB2312" w:hAnsi="宋体" w:cs="宋体" w:hint="eastAsia"/>
          <w:bCs/>
          <w:kern w:val="0"/>
          <w:szCs w:val="24"/>
        </w:rPr>
        <w:t>T</w:t>
      </w:r>
      <w:r>
        <w:rPr>
          <w:rFonts w:ascii="仿宋_GB2312" w:hAnsi="宋体" w:cs="宋体" w:hint="eastAsia"/>
          <w:bCs/>
          <w:kern w:val="0"/>
          <w:szCs w:val="24"/>
        </w:rPr>
        <w:t>日）的第</w:t>
      </w:r>
      <w:r>
        <w:rPr>
          <w:rFonts w:ascii="仿宋_GB2312" w:hAnsi="宋体" w:cs="宋体" w:hint="eastAsia"/>
          <w:bCs/>
          <w:kern w:val="0"/>
          <w:szCs w:val="24"/>
        </w:rPr>
        <w:t>n</w:t>
      </w:r>
      <w:r>
        <w:rPr>
          <w:rFonts w:ascii="仿宋_GB2312" w:hAnsi="宋体" w:cs="宋体" w:hint="eastAsia"/>
          <w:bCs/>
          <w:kern w:val="0"/>
          <w:szCs w:val="24"/>
        </w:rPr>
        <w:t>个工作日。</w:t>
      </w:r>
    </w:p>
    <w:p w14:paraId="07A94AF1"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16.T-n</w:t>
      </w:r>
      <w:r>
        <w:rPr>
          <w:rFonts w:ascii="仿宋_GB2312" w:hAnsi="宋体" w:cs="宋体" w:hint="eastAsia"/>
          <w:bCs/>
          <w:kern w:val="0"/>
          <w:szCs w:val="24"/>
        </w:rPr>
        <w:t>日：指</w:t>
      </w:r>
      <w:r>
        <w:rPr>
          <w:rFonts w:ascii="仿宋_GB2312" w:hAnsi="宋体" w:cs="宋体" w:hint="eastAsia"/>
          <w:bCs/>
          <w:kern w:val="0"/>
          <w:szCs w:val="24"/>
        </w:rPr>
        <w:t>T</w:t>
      </w:r>
      <w:r>
        <w:rPr>
          <w:rFonts w:ascii="仿宋_GB2312" w:hAnsi="宋体" w:cs="宋体" w:hint="eastAsia"/>
          <w:bCs/>
          <w:kern w:val="0"/>
          <w:szCs w:val="24"/>
        </w:rPr>
        <w:t>前（不包括</w:t>
      </w:r>
      <w:r>
        <w:rPr>
          <w:rFonts w:ascii="仿宋_GB2312" w:hAnsi="宋体" w:cs="宋体" w:hint="eastAsia"/>
          <w:bCs/>
          <w:kern w:val="0"/>
          <w:szCs w:val="24"/>
        </w:rPr>
        <w:t>T</w:t>
      </w:r>
      <w:r>
        <w:rPr>
          <w:rFonts w:ascii="仿宋_GB2312" w:hAnsi="宋体" w:cs="宋体" w:hint="eastAsia"/>
          <w:bCs/>
          <w:kern w:val="0"/>
          <w:szCs w:val="24"/>
        </w:rPr>
        <w:t>日）的第</w:t>
      </w:r>
      <w:r>
        <w:rPr>
          <w:rFonts w:ascii="仿宋_GB2312" w:hAnsi="宋体" w:cs="宋体" w:hint="eastAsia"/>
          <w:bCs/>
          <w:kern w:val="0"/>
          <w:szCs w:val="24"/>
        </w:rPr>
        <w:t>n</w:t>
      </w:r>
      <w:r>
        <w:rPr>
          <w:rFonts w:ascii="仿宋_GB2312" w:hAnsi="宋体" w:cs="宋体" w:hint="eastAsia"/>
          <w:bCs/>
          <w:kern w:val="0"/>
          <w:szCs w:val="24"/>
        </w:rPr>
        <w:t>个工作日。</w:t>
      </w:r>
    </w:p>
    <w:p w14:paraId="12F876AC" w14:textId="77777777" w:rsidR="00A2049A" w:rsidRDefault="0029186B">
      <w:pPr>
        <w:pStyle w:val="2"/>
        <w:ind w:firstLine="482"/>
        <w:rPr>
          <w:rFonts w:ascii="仿宋_GB2312" w:hAnsi="宋体" w:cs="宋体"/>
          <w:bCs/>
          <w:kern w:val="0"/>
          <w:szCs w:val="24"/>
        </w:rPr>
      </w:pPr>
      <w:r>
        <w:rPr>
          <w:rFonts w:ascii="仿宋_GB2312" w:hAnsi="宋体" w:cs="宋体" w:hint="eastAsia"/>
          <w:bCs/>
          <w:kern w:val="0"/>
          <w:szCs w:val="24"/>
        </w:rPr>
        <w:t>费用</w:t>
      </w:r>
    </w:p>
    <w:p w14:paraId="2C297B3C"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认购费：指投资者认购产品时需缴纳的费用。</w:t>
      </w:r>
    </w:p>
    <w:p w14:paraId="543FA2AF"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2.</w:t>
      </w:r>
      <w:r>
        <w:rPr>
          <w:rFonts w:ascii="仿宋_GB2312" w:hAnsi="宋体" w:cs="宋体" w:hint="eastAsia"/>
          <w:bCs/>
          <w:kern w:val="0"/>
          <w:szCs w:val="24"/>
        </w:rPr>
        <w:t>申购费：指投资者申购产品时需缴纳的费用。</w:t>
      </w:r>
    </w:p>
    <w:p w14:paraId="4FCE577A"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赎回费：指投资者赎回产品时需缴纳的费用。</w:t>
      </w:r>
    </w:p>
    <w:p w14:paraId="7FB5B1CE"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销售服务费：指因理财产品销售行为产生，销售机构所收取的费用。</w:t>
      </w:r>
    </w:p>
    <w:p w14:paraId="20C8075F"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投资管理费：指因理财产品投资管理产生，管理人所收取的费用。</w:t>
      </w:r>
    </w:p>
    <w:p w14:paraId="44431C31"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产品托管费：指因理财产品进行托管产生，托管人收取的费用。</w:t>
      </w:r>
    </w:p>
    <w:p w14:paraId="43960269"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业绩报酬：指产品管理人依照理财产品销售文件约定规则收取的浮动性质的管理费用。</w:t>
      </w:r>
    </w:p>
    <w:p w14:paraId="25D36EE7" w14:textId="77777777" w:rsidR="00A2049A" w:rsidRDefault="0029186B">
      <w:pPr>
        <w:tabs>
          <w:tab w:val="left" w:pos="709"/>
        </w:tabs>
        <w:snapToGrid w:val="0"/>
        <w:spacing w:line="360" w:lineRule="auto"/>
        <w:ind w:firstLineChars="200" w:firstLine="480"/>
      </w:pPr>
      <w:r>
        <w:rPr>
          <w:rFonts w:ascii="仿宋_GB2312" w:hAnsi="宋体" w:cs="宋体" w:hint="eastAsia"/>
          <w:bCs/>
          <w:kern w:val="0"/>
          <w:szCs w:val="24"/>
        </w:rPr>
        <w:t>8.</w:t>
      </w:r>
      <w:r>
        <w:rPr>
          <w:rFonts w:ascii="仿宋_GB2312" w:hAnsi="宋体" w:cs="宋体" w:hint="eastAsia"/>
          <w:bCs/>
          <w:kern w:val="0"/>
          <w:szCs w:val="24"/>
        </w:rPr>
        <w:t>其他费用（如有）：</w:t>
      </w:r>
      <w:r>
        <w:rPr>
          <w:rFonts w:hint="eastAsia"/>
        </w:rPr>
        <w:t>与理财</w:t>
      </w:r>
      <w:r>
        <w:t>产品相关的</w:t>
      </w:r>
      <w:r>
        <w:rPr>
          <w:rFonts w:hint="eastAsia"/>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301AA8FF" w14:textId="77777777" w:rsidR="00A2049A" w:rsidRDefault="0029186B">
      <w:pPr>
        <w:pStyle w:val="2"/>
        <w:snapToGrid w:val="0"/>
        <w:ind w:firstLineChars="200" w:firstLine="482"/>
        <w:rPr>
          <w:rFonts w:ascii="仿宋_GB2312" w:hAnsi="宋体" w:cs="宋体"/>
          <w:bCs/>
          <w:kern w:val="0"/>
          <w:szCs w:val="24"/>
        </w:rPr>
      </w:pPr>
      <w:r>
        <w:rPr>
          <w:rFonts w:ascii="仿宋_GB2312" w:hAnsi="宋体" w:cs="宋体" w:hint="eastAsia"/>
          <w:bCs/>
          <w:kern w:val="0"/>
          <w:szCs w:val="24"/>
        </w:rPr>
        <w:t>其他</w:t>
      </w:r>
      <w:r>
        <w:rPr>
          <w:rFonts w:ascii="仿宋_GB2312" w:hAnsi="宋体" w:cs="宋体" w:hint="eastAsia"/>
          <w:bCs/>
          <w:kern w:val="0"/>
          <w:szCs w:val="24"/>
        </w:rPr>
        <w:t xml:space="preserve"> </w:t>
      </w:r>
    </w:p>
    <w:p w14:paraId="2CCE8318"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不可抗力：指理财产品各方不能预见、不能避免且不能克服的客观情况，该事件妨碍、影响或延误任何一方依相关理财产品销售文件履行其全部或部分义务。该事件包括但不限于：</w:t>
      </w:r>
    </w:p>
    <w:p w14:paraId="76BD4CED"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A</w:t>
      </w:r>
      <w:r>
        <w:rPr>
          <w:rFonts w:ascii="仿宋_GB2312" w:hAnsi="宋体" w:cs="宋体" w:hint="eastAsia"/>
          <w:bCs/>
          <w:kern w:val="0"/>
          <w:szCs w:val="24"/>
        </w:rPr>
        <w:t>、地震、台风、海啸、洪水、火灾、停电、瘟疫；</w:t>
      </w:r>
    </w:p>
    <w:p w14:paraId="51455BCE"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B</w:t>
      </w:r>
      <w:r>
        <w:rPr>
          <w:rFonts w:ascii="仿宋_GB2312" w:hAnsi="宋体" w:cs="宋体" w:hint="eastAsia"/>
          <w:bCs/>
          <w:kern w:val="0"/>
          <w:szCs w:val="24"/>
        </w:rPr>
        <w:t>、战</w:t>
      </w:r>
      <w:r>
        <w:rPr>
          <w:rFonts w:ascii="仿宋_GB2312" w:hAnsi="宋体" w:cs="宋体" w:hint="eastAsia"/>
          <w:bCs/>
          <w:kern w:val="0"/>
          <w:szCs w:val="24"/>
        </w:rPr>
        <w:t>争、政变、恐怖主义行动、骚乱、罢工；</w:t>
      </w:r>
    </w:p>
    <w:p w14:paraId="1D38AAD4"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C</w:t>
      </w:r>
      <w:r>
        <w:rPr>
          <w:rFonts w:ascii="仿宋_GB2312" w:hAnsi="宋体" w:cs="宋体" w:hint="eastAsia"/>
          <w:bCs/>
          <w:kern w:val="0"/>
          <w:szCs w:val="24"/>
        </w:rPr>
        <w:t>、新的适用法律或国家政策的颁布或实施、对原适用法律或国家政策的修改；</w:t>
      </w:r>
    </w:p>
    <w:p w14:paraId="73DD2D01"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D</w:t>
      </w:r>
      <w:r>
        <w:rPr>
          <w:rFonts w:ascii="仿宋_GB2312" w:hAnsi="宋体" w:cs="宋体" w:hint="eastAsia"/>
          <w:bCs/>
          <w:kern w:val="0"/>
          <w:szCs w:val="24"/>
        </w:rPr>
        <w:t>、金融管理部门强制要求终止理财产品（该等强制要求不可归咎于任何一方）；</w:t>
      </w:r>
    </w:p>
    <w:p w14:paraId="2DE3EDC1"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w:t>
      </w:r>
      <w:r>
        <w:rPr>
          <w:rFonts w:ascii="仿宋_GB2312" w:hAnsi="宋体" w:cs="宋体" w:hint="eastAsia"/>
          <w:bCs/>
          <w:kern w:val="0"/>
          <w:szCs w:val="24"/>
        </w:rPr>
        <w:t>、因理财产品各方和</w:t>
      </w:r>
      <w:r>
        <w:rPr>
          <w:rFonts w:ascii="仿宋_GB2312" w:hAnsi="宋体" w:cs="宋体" w:hint="eastAsia"/>
          <w:bCs/>
          <w:kern w:val="0"/>
          <w:szCs w:val="24"/>
        </w:rPr>
        <w:t>/</w:t>
      </w:r>
      <w:r>
        <w:rPr>
          <w:rFonts w:ascii="仿宋_GB2312" w:hAnsi="宋体" w:cs="宋体" w:hint="eastAsia"/>
          <w:bCs/>
          <w:kern w:val="0"/>
          <w:szCs w:val="24"/>
        </w:rPr>
        <w:t>或其关联方运营网络系统遭受黑客攻击、电信部门技术调整或故障等原因而造成的理财产品各方和</w:t>
      </w:r>
      <w:r>
        <w:rPr>
          <w:rFonts w:ascii="仿宋_GB2312" w:hAnsi="宋体" w:cs="宋体" w:hint="eastAsia"/>
          <w:bCs/>
          <w:kern w:val="0"/>
          <w:szCs w:val="24"/>
        </w:rPr>
        <w:t>/</w:t>
      </w:r>
      <w:r>
        <w:rPr>
          <w:rFonts w:ascii="仿宋_GB2312" w:hAnsi="宋体" w:cs="宋体" w:hint="eastAsia"/>
          <w:bCs/>
          <w:kern w:val="0"/>
          <w:szCs w:val="24"/>
        </w:rPr>
        <w:t>或其关联方之服务、营业的中断或者延迟。</w:t>
      </w:r>
    </w:p>
    <w:p w14:paraId="555BB780"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元：指人民币元。</w:t>
      </w:r>
      <w:r>
        <w:rPr>
          <w:rFonts w:ascii="仿宋_GB2312" w:hAnsi="宋体" w:cs="宋体" w:hint="eastAsia"/>
          <w:bCs/>
          <w:kern w:val="0"/>
          <w:szCs w:val="24"/>
        </w:rPr>
        <w:t xml:space="preserve"> </w:t>
      </w:r>
    </w:p>
    <w:p w14:paraId="30EAFDF8"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适用法律：指在理财产品销售文件签署日和履行过程中，适用中华人民共和国法律（为本协议之目的，在此不包括香港、澳门特别行政区和台湾地区的法律），包括中国任</w:t>
      </w:r>
      <w:r>
        <w:rPr>
          <w:rFonts w:ascii="仿宋_GB2312" w:hAnsi="宋体" w:cs="宋体" w:hint="eastAsia"/>
          <w:bCs/>
          <w:kern w:val="0"/>
          <w:szCs w:val="24"/>
        </w:rPr>
        <w:t>何立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p>
    <w:p w14:paraId="52A82CAF" w14:textId="77777777" w:rsidR="00A2049A" w:rsidRDefault="0029186B">
      <w:pPr>
        <w:rPr>
          <w:rFonts w:ascii="仿宋_GB2312" w:hAnsi="宋体" w:cs="宋体"/>
          <w:bCs/>
          <w:kern w:val="0"/>
          <w:szCs w:val="24"/>
        </w:rPr>
      </w:pPr>
      <w:r>
        <w:rPr>
          <w:rFonts w:ascii="仿宋_GB2312" w:hAnsi="宋体" w:cs="宋体" w:hint="eastAsia"/>
          <w:bCs/>
          <w:kern w:val="0"/>
          <w:szCs w:val="24"/>
        </w:rPr>
        <w:br w:type="page"/>
      </w:r>
    </w:p>
    <w:p w14:paraId="11242D8A" w14:textId="77777777" w:rsidR="00A2049A" w:rsidRDefault="0029186B">
      <w:pPr>
        <w:pStyle w:val="1"/>
      </w:pPr>
      <w:r>
        <w:rPr>
          <w:rFonts w:hint="eastAsia"/>
        </w:rPr>
        <w:lastRenderedPageBreak/>
        <w:t>理财产品基本情况</w:t>
      </w: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885"/>
        <w:gridCol w:w="1885"/>
        <w:gridCol w:w="1885"/>
        <w:gridCol w:w="1886"/>
      </w:tblGrid>
      <w:tr w:rsidR="00A2049A" w14:paraId="6605850F" w14:textId="77777777">
        <w:trPr>
          <w:trHeight w:val="425"/>
        </w:trPr>
        <w:tc>
          <w:tcPr>
            <w:tcW w:w="1673" w:type="dxa"/>
            <w:vAlign w:val="center"/>
          </w:tcPr>
          <w:p w14:paraId="72CDA856" w14:textId="77777777" w:rsidR="00A2049A" w:rsidRDefault="0029186B">
            <w:pPr>
              <w:snapToGrid w:val="0"/>
              <w:ind w:leftChars="26" w:left="77" w:hanging="15"/>
              <w:jc w:val="center"/>
              <w:rPr>
                <w:rFonts w:ascii="宋体" w:hAnsi="宋体" w:cs="宋体"/>
                <w:szCs w:val="24"/>
              </w:rPr>
            </w:pPr>
            <w:r>
              <w:rPr>
                <w:rFonts w:ascii="宋体" w:hAnsi="宋体" w:hint="eastAsia"/>
                <w:szCs w:val="24"/>
              </w:rPr>
              <w:t>产品名称</w:t>
            </w:r>
          </w:p>
        </w:tc>
        <w:tc>
          <w:tcPr>
            <w:tcW w:w="7541" w:type="dxa"/>
            <w:gridSpan w:val="4"/>
            <w:vAlign w:val="center"/>
          </w:tcPr>
          <w:p w14:paraId="71F1FCF5" w14:textId="77777777" w:rsidR="00A2049A" w:rsidRDefault="0029186B">
            <w:pPr>
              <w:snapToGrid w:val="0"/>
              <w:rPr>
                <w:rFonts w:ascii="宋体" w:hAnsi="宋体"/>
                <w:szCs w:val="24"/>
              </w:rPr>
            </w:pPr>
            <w:r>
              <w:rPr>
                <w:rFonts w:ascii="宋体" w:hAnsi="宋体" w:hint="eastAsia"/>
                <w:szCs w:val="24"/>
              </w:rPr>
              <w:t>浙银理财</w:t>
            </w:r>
            <w:r>
              <w:rPr>
                <w:rFonts w:ascii="宋体" w:hAnsi="宋体" w:hint="eastAsia"/>
                <w:szCs w:val="24"/>
              </w:rPr>
              <w:t>琮简富春</w:t>
            </w:r>
            <w:r>
              <w:rPr>
                <w:rFonts w:ascii="宋体" w:hAnsi="宋体" w:hint="eastAsia"/>
                <w:szCs w:val="24"/>
              </w:rPr>
              <w:t>147</w:t>
            </w:r>
            <w:r>
              <w:rPr>
                <w:rFonts w:ascii="宋体" w:hAnsi="宋体" w:hint="eastAsia"/>
                <w:szCs w:val="24"/>
              </w:rPr>
              <w:t>号</w:t>
            </w:r>
            <w:r>
              <w:rPr>
                <w:rFonts w:ascii="宋体" w:hAnsi="宋体" w:hint="eastAsia"/>
                <w:szCs w:val="24"/>
              </w:rPr>
              <w:t>理财产品</w:t>
            </w:r>
          </w:p>
        </w:tc>
      </w:tr>
      <w:tr w:rsidR="00A2049A" w14:paraId="3CFE46D2" w14:textId="77777777">
        <w:trPr>
          <w:trHeight w:val="284"/>
        </w:trPr>
        <w:tc>
          <w:tcPr>
            <w:tcW w:w="1673" w:type="dxa"/>
            <w:vAlign w:val="center"/>
          </w:tcPr>
          <w:p w14:paraId="7270D96E" w14:textId="77777777" w:rsidR="00A2049A" w:rsidRDefault="0029186B">
            <w:pPr>
              <w:snapToGrid w:val="0"/>
              <w:ind w:leftChars="26" w:left="77" w:hanging="15"/>
              <w:jc w:val="center"/>
              <w:rPr>
                <w:rFonts w:ascii="宋体" w:hAnsi="宋体"/>
                <w:szCs w:val="24"/>
              </w:rPr>
            </w:pPr>
            <w:r>
              <w:rPr>
                <w:rFonts w:ascii="宋体" w:hAnsi="宋体" w:hint="eastAsia"/>
                <w:szCs w:val="24"/>
              </w:rPr>
              <w:t>产品代码</w:t>
            </w:r>
          </w:p>
        </w:tc>
        <w:tc>
          <w:tcPr>
            <w:tcW w:w="7541" w:type="dxa"/>
            <w:gridSpan w:val="4"/>
            <w:vAlign w:val="center"/>
          </w:tcPr>
          <w:p w14:paraId="2C9F36B0" w14:textId="77777777" w:rsidR="00A2049A" w:rsidRDefault="0029186B">
            <w:pPr>
              <w:snapToGrid w:val="0"/>
              <w:rPr>
                <w:rFonts w:ascii="宋体" w:hAnsi="宋体"/>
                <w:szCs w:val="24"/>
              </w:rPr>
            </w:pPr>
            <w:r>
              <w:rPr>
                <w:rFonts w:ascii="仿宋_GB2312" w:hAnsi="仿宋_GB2312" w:cs="仿宋_GB2312" w:hint="eastAsia"/>
                <w:szCs w:val="24"/>
              </w:rPr>
              <w:t>ZYFCG01500</w:t>
            </w:r>
          </w:p>
        </w:tc>
      </w:tr>
      <w:tr w:rsidR="00A2049A" w14:paraId="32D2094B" w14:textId="77777777">
        <w:trPr>
          <w:trHeight w:val="425"/>
        </w:trPr>
        <w:tc>
          <w:tcPr>
            <w:tcW w:w="1673" w:type="dxa"/>
            <w:vAlign w:val="center"/>
          </w:tcPr>
          <w:p w14:paraId="4C177EE9" w14:textId="77777777" w:rsidR="00A2049A" w:rsidRDefault="0029186B">
            <w:pPr>
              <w:snapToGrid w:val="0"/>
              <w:ind w:leftChars="26" w:left="77" w:hanging="15"/>
              <w:jc w:val="center"/>
              <w:rPr>
                <w:rFonts w:ascii="宋体" w:hAnsi="宋体"/>
                <w:szCs w:val="24"/>
              </w:rPr>
            </w:pPr>
            <w:r>
              <w:rPr>
                <w:rFonts w:ascii="宋体" w:hAnsi="宋体" w:hint="eastAsia"/>
                <w:szCs w:val="24"/>
              </w:rPr>
              <w:t>理财产品登记编码</w:t>
            </w:r>
          </w:p>
        </w:tc>
        <w:tc>
          <w:tcPr>
            <w:tcW w:w="7541" w:type="dxa"/>
            <w:gridSpan w:val="4"/>
            <w:vAlign w:val="center"/>
          </w:tcPr>
          <w:p w14:paraId="55D88CB9" w14:textId="77777777" w:rsidR="00A2049A" w:rsidRDefault="0029186B">
            <w:pPr>
              <w:snapToGrid w:val="0"/>
              <w:rPr>
                <w:rFonts w:ascii="宋体" w:hAnsi="宋体"/>
                <w:b/>
                <w:szCs w:val="24"/>
              </w:rPr>
            </w:pPr>
            <w:r>
              <w:rPr>
                <w:rFonts w:ascii="宋体" w:hAnsi="宋体" w:hint="eastAsia"/>
                <w:b/>
                <w:szCs w:val="24"/>
              </w:rPr>
              <w:t>【</w:t>
            </w:r>
            <w:r>
              <w:rPr>
                <w:rFonts w:ascii="宋体" w:hAnsi="宋体" w:hint="eastAsia"/>
                <w:b/>
                <w:szCs w:val="24"/>
              </w:rPr>
              <w:t>Z7011826000218</w:t>
            </w:r>
            <w:r>
              <w:rPr>
                <w:rFonts w:ascii="宋体" w:hAnsi="宋体" w:hint="eastAsia"/>
                <w:b/>
                <w:szCs w:val="24"/>
              </w:rPr>
              <w:t>】</w:t>
            </w:r>
            <w:r>
              <w:rPr>
                <w:rFonts w:ascii="宋体" w:hAnsi="宋体" w:hint="eastAsia"/>
                <w:szCs w:val="24"/>
              </w:rPr>
              <w:t>投资者可根据该登记编码在中国理财网（</w:t>
            </w:r>
            <w:r>
              <w:rPr>
                <w:rFonts w:ascii="宋体" w:hAnsi="宋体" w:hint="eastAsia"/>
                <w:szCs w:val="24"/>
              </w:rPr>
              <w:t>www.chinawealth.com.cn</w:t>
            </w:r>
            <w:r>
              <w:rPr>
                <w:rFonts w:ascii="宋体" w:hAnsi="宋体" w:hint="eastAsia"/>
                <w:szCs w:val="24"/>
              </w:rPr>
              <w:t>）查询该产品信息。</w:t>
            </w:r>
          </w:p>
        </w:tc>
      </w:tr>
      <w:tr w:rsidR="00A2049A" w14:paraId="217A1EA0" w14:textId="77777777">
        <w:trPr>
          <w:trHeight w:val="425"/>
        </w:trPr>
        <w:tc>
          <w:tcPr>
            <w:tcW w:w="1673" w:type="dxa"/>
            <w:vMerge w:val="restart"/>
            <w:vAlign w:val="center"/>
          </w:tcPr>
          <w:p w14:paraId="386DC9F3" w14:textId="77777777" w:rsidR="00A2049A" w:rsidRDefault="0029186B">
            <w:pPr>
              <w:snapToGrid w:val="0"/>
              <w:ind w:leftChars="26" w:left="77" w:hanging="15"/>
              <w:jc w:val="center"/>
              <w:rPr>
                <w:rFonts w:ascii="宋体" w:hAnsi="宋体"/>
                <w:szCs w:val="24"/>
              </w:rPr>
            </w:pPr>
            <w:r>
              <w:rPr>
                <w:rFonts w:ascii="宋体" w:hAnsi="宋体" w:hint="eastAsia"/>
                <w:kern w:val="0"/>
                <w:szCs w:val="24"/>
              </w:rPr>
              <w:t>份额分类</w:t>
            </w:r>
          </w:p>
        </w:tc>
        <w:tc>
          <w:tcPr>
            <w:tcW w:w="7541" w:type="dxa"/>
            <w:gridSpan w:val="4"/>
            <w:vAlign w:val="center"/>
          </w:tcPr>
          <w:p w14:paraId="391445FF" w14:textId="77777777" w:rsidR="00A2049A" w:rsidRDefault="0029186B">
            <w:pPr>
              <w:snapToGrid w:val="0"/>
              <w:jc w:val="left"/>
              <w:rPr>
                <w:rFonts w:ascii="宋体" w:hAnsi="宋体" w:cs="宋体"/>
                <w:kern w:val="0"/>
                <w:szCs w:val="24"/>
              </w:rPr>
            </w:pPr>
            <w:r>
              <w:rPr>
                <w:rFonts w:ascii="宋体" w:hAnsi="宋体" w:cs="宋体" w:hint="eastAsia"/>
                <w:kern w:val="0"/>
                <w:szCs w:val="24"/>
              </w:rPr>
              <w:t>本产品根据投资者购买理财产品的金额、销售渠道、客户类型等因素设置不同的产品份额类别，各类产品份额可能分别设置不同的销售名称、销售代码、销售渠道、销售客群、销售服务费率、收费方式、业绩比较基准、认</w:t>
            </w:r>
            <w:r>
              <w:rPr>
                <w:rFonts w:ascii="宋体" w:hAnsi="宋体" w:cs="宋体"/>
                <w:kern w:val="0"/>
                <w:szCs w:val="24"/>
              </w:rPr>
              <w:t>/</w:t>
            </w:r>
            <w:r>
              <w:rPr>
                <w:rFonts w:ascii="宋体" w:hAnsi="宋体" w:cs="宋体" w:hint="eastAsia"/>
                <w:kern w:val="0"/>
                <w:szCs w:val="24"/>
              </w:rPr>
              <w:t>申购起点金额</w:t>
            </w:r>
            <w:r>
              <w:rPr>
                <w:rFonts w:ascii="仿宋_GB2312" w:hAnsi="宋体" w:cs="宋体" w:hint="eastAsia"/>
                <w:kern w:val="0"/>
                <w:szCs w:val="24"/>
              </w:rPr>
              <w:t>及递增金额</w:t>
            </w:r>
            <w:r>
              <w:rPr>
                <w:rFonts w:ascii="宋体" w:hAnsi="宋体" w:cs="宋体" w:hint="eastAsia"/>
                <w:kern w:val="0"/>
                <w:szCs w:val="24"/>
              </w:rPr>
              <w:t>、认</w:t>
            </w:r>
            <w:r>
              <w:rPr>
                <w:rFonts w:ascii="宋体" w:hAnsi="宋体" w:cs="宋体"/>
                <w:kern w:val="0"/>
                <w:szCs w:val="24"/>
              </w:rPr>
              <w:t>/</w:t>
            </w:r>
            <w:r>
              <w:rPr>
                <w:rFonts w:ascii="宋体" w:hAnsi="宋体" w:cs="宋体" w:hint="eastAsia"/>
                <w:kern w:val="0"/>
                <w:szCs w:val="24"/>
              </w:rPr>
              <w:t>申购上限</w:t>
            </w:r>
            <w:r>
              <w:rPr>
                <w:rFonts w:ascii="宋体" w:hAnsi="宋体" w:cs="宋体"/>
                <w:kern w:val="0"/>
                <w:szCs w:val="24"/>
              </w:rPr>
              <w:t>金额、</w:t>
            </w:r>
            <w:r>
              <w:rPr>
                <w:rFonts w:ascii="宋体" w:hAnsi="宋体" w:cs="宋体" w:hint="eastAsia"/>
                <w:kern w:val="0"/>
                <w:szCs w:val="24"/>
              </w:rPr>
              <w:t>认</w:t>
            </w:r>
            <w:r>
              <w:rPr>
                <w:rFonts w:ascii="宋体" w:hAnsi="宋体" w:cs="宋体"/>
                <w:kern w:val="0"/>
                <w:szCs w:val="24"/>
              </w:rPr>
              <w:t>/</w:t>
            </w:r>
            <w:r>
              <w:rPr>
                <w:rFonts w:ascii="宋体" w:hAnsi="宋体" w:cs="宋体" w:hint="eastAsia"/>
                <w:kern w:val="0"/>
                <w:szCs w:val="24"/>
              </w:rPr>
              <w:t>申购和赎回数量限制、持有金额上</w:t>
            </w:r>
            <w:r>
              <w:rPr>
                <w:rFonts w:ascii="宋体" w:hAnsi="宋体" w:cs="宋体" w:hint="eastAsia"/>
                <w:kern w:val="0"/>
                <w:szCs w:val="24"/>
              </w:rPr>
              <w:t>/</w:t>
            </w:r>
            <w:r>
              <w:rPr>
                <w:rFonts w:ascii="宋体" w:hAnsi="宋体" w:cs="宋体" w:hint="eastAsia"/>
                <w:kern w:val="0"/>
                <w:szCs w:val="24"/>
              </w:rPr>
              <w:t>下限</w:t>
            </w:r>
            <w:r>
              <w:rPr>
                <w:rFonts w:hint="eastAsia"/>
              </w:rPr>
              <w:t>、单一投资者持有份额占比上限、产品规模上限</w:t>
            </w:r>
            <w:r>
              <w:rPr>
                <w:rFonts w:ascii="宋体" w:hAnsi="宋体" w:cs="宋体" w:hint="eastAsia"/>
                <w:kern w:val="0"/>
                <w:szCs w:val="24"/>
              </w:rPr>
              <w:t>等要素，并分别计算和公告各类产品份额单位净值，具体以对应的理财产品销售文件约定为准。</w:t>
            </w:r>
          </w:p>
          <w:p w14:paraId="4995289D" w14:textId="77777777" w:rsidR="00A2049A" w:rsidRDefault="0029186B">
            <w:pPr>
              <w:snapToGrid w:val="0"/>
              <w:jc w:val="left"/>
              <w:rPr>
                <w:rFonts w:ascii="宋体" w:hAnsi="宋体" w:cs="宋体"/>
                <w:kern w:val="0"/>
                <w:szCs w:val="24"/>
              </w:rPr>
            </w:pPr>
            <w:r>
              <w:rPr>
                <w:rFonts w:ascii="宋体" w:hAnsi="宋体" w:cs="宋体" w:hint="eastAsia"/>
                <w:kern w:val="0"/>
                <w:szCs w:val="24"/>
              </w:rPr>
              <w:t>投资者可根据实际情况自行选择认</w:t>
            </w:r>
            <w:r>
              <w:rPr>
                <w:rFonts w:ascii="宋体" w:hAnsi="宋体" w:cs="宋体" w:hint="eastAsia"/>
                <w:kern w:val="0"/>
                <w:szCs w:val="24"/>
              </w:rPr>
              <w:t>/</w:t>
            </w:r>
            <w:r>
              <w:rPr>
                <w:rFonts w:ascii="宋体" w:hAnsi="宋体" w:cs="宋体" w:hint="eastAsia"/>
                <w:kern w:val="0"/>
                <w:szCs w:val="24"/>
              </w:rPr>
              <w:t>申购的产品份额类别。</w:t>
            </w:r>
          </w:p>
          <w:p w14:paraId="273A829D" w14:textId="77777777" w:rsidR="00A2049A" w:rsidRDefault="0029186B">
            <w:pPr>
              <w:snapToGrid w:val="0"/>
              <w:rPr>
                <w:rFonts w:ascii="宋体" w:hAnsi="宋体"/>
                <w:b/>
                <w:szCs w:val="24"/>
              </w:rPr>
            </w:pPr>
            <w:r>
              <w:rPr>
                <w:rFonts w:ascii="宋体" w:hAnsi="宋体" w:cs="宋体" w:hint="eastAsia"/>
                <w:b/>
                <w:bCs/>
                <w:kern w:val="0"/>
                <w:szCs w:val="24"/>
              </w:rPr>
              <w:t>产品管理人有权在本理财产品项下增设新的产品份额类别，届时，产品管理人将依据本理财产品销售文件的约定进行信息披露。</w:t>
            </w:r>
          </w:p>
        </w:tc>
      </w:tr>
      <w:tr w:rsidR="00A2049A" w14:paraId="08D1B4A3" w14:textId="77777777">
        <w:trPr>
          <w:trHeight w:val="425"/>
        </w:trPr>
        <w:tc>
          <w:tcPr>
            <w:tcW w:w="1673" w:type="dxa"/>
            <w:vMerge/>
            <w:vAlign w:val="center"/>
          </w:tcPr>
          <w:p w14:paraId="513AB8BB" w14:textId="77777777" w:rsidR="00A2049A" w:rsidRDefault="00A2049A">
            <w:pPr>
              <w:snapToGrid w:val="0"/>
              <w:ind w:left="-163" w:hanging="15"/>
              <w:jc w:val="center"/>
              <w:rPr>
                <w:rFonts w:ascii="宋体" w:hAnsi="宋体"/>
                <w:kern w:val="0"/>
              </w:rPr>
            </w:pPr>
          </w:p>
        </w:tc>
        <w:tc>
          <w:tcPr>
            <w:tcW w:w="1885" w:type="dxa"/>
            <w:vAlign w:val="center"/>
          </w:tcPr>
          <w:p w14:paraId="7FEDC98D" w14:textId="77777777" w:rsidR="00A2049A" w:rsidRDefault="0029186B">
            <w:pPr>
              <w:snapToGrid w:val="0"/>
              <w:jc w:val="center"/>
              <w:rPr>
                <w:rFonts w:ascii="宋体" w:hAnsi="宋体" w:cs="宋体"/>
                <w:kern w:val="0"/>
              </w:rPr>
            </w:pPr>
            <w:r>
              <w:rPr>
                <w:rFonts w:ascii="宋体" w:hAnsi="宋体" w:cs="宋体" w:hint="eastAsia"/>
                <w:kern w:val="0"/>
                <w:szCs w:val="24"/>
              </w:rPr>
              <w:t>份额名称</w:t>
            </w:r>
          </w:p>
        </w:tc>
        <w:tc>
          <w:tcPr>
            <w:tcW w:w="1885" w:type="dxa"/>
            <w:vAlign w:val="center"/>
          </w:tcPr>
          <w:p w14:paraId="277B33B9" w14:textId="77777777" w:rsidR="00A2049A" w:rsidRDefault="0029186B">
            <w:pPr>
              <w:snapToGrid w:val="0"/>
              <w:jc w:val="center"/>
              <w:rPr>
                <w:rFonts w:ascii="宋体" w:hAnsi="宋体" w:cs="宋体"/>
                <w:kern w:val="0"/>
              </w:rPr>
            </w:pPr>
            <w:r>
              <w:rPr>
                <w:rFonts w:ascii="宋体" w:hAnsi="宋体" w:cs="宋体" w:hint="eastAsia"/>
                <w:kern w:val="0"/>
                <w:szCs w:val="24"/>
              </w:rPr>
              <w:t>销售代码</w:t>
            </w:r>
          </w:p>
        </w:tc>
        <w:tc>
          <w:tcPr>
            <w:tcW w:w="1885" w:type="dxa"/>
            <w:vAlign w:val="center"/>
          </w:tcPr>
          <w:p w14:paraId="7ED97C56" w14:textId="77777777" w:rsidR="00A2049A" w:rsidRDefault="0029186B">
            <w:pPr>
              <w:snapToGrid w:val="0"/>
              <w:jc w:val="center"/>
              <w:rPr>
                <w:rFonts w:ascii="宋体" w:hAnsi="宋体" w:cs="宋体"/>
                <w:kern w:val="0"/>
              </w:rPr>
            </w:pPr>
            <w:r>
              <w:rPr>
                <w:rFonts w:ascii="宋体" w:hAnsi="宋体" w:cs="宋体" w:hint="eastAsia"/>
                <w:kern w:val="0"/>
                <w:szCs w:val="24"/>
              </w:rPr>
              <w:t>销售名称</w:t>
            </w:r>
          </w:p>
        </w:tc>
        <w:tc>
          <w:tcPr>
            <w:tcW w:w="1886" w:type="dxa"/>
            <w:vAlign w:val="center"/>
          </w:tcPr>
          <w:p w14:paraId="1CFAC325" w14:textId="77777777" w:rsidR="00A2049A" w:rsidRDefault="0029186B">
            <w:pPr>
              <w:snapToGrid w:val="0"/>
              <w:jc w:val="center"/>
              <w:rPr>
                <w:rFonts w:ascii="宋体" w:hAnsi="宋体" w:cs="宋体"/>
                <w:kern w:val="0"/>
              </w:rPr>
            </w:pPr>
            <w:r>
              <w:rPr>
                <w:rFonts w:ascii="宋体" w:hAnsi="宋体" w:cs="宋体" w:hint="eastAsia"/>
                <w:kern w:val="0"/>
                <w:szCs w:val="24"/>
              </w:rPr>
              <w:t>销售客群</w:t>
            </w:r>
          </w:p>
        </w:tc>
      </w:tr>
      <w:tr w:rsidR="00A2049A" w14:paraId="29B505F1" w14:textId="77777777">
        <w:trPr>
          <w:trHeight w:val="425"/>
        </w:trPr>
        <w:tc>
          <w:tcPr>
            <w:tcW w:w="1673" w:type="dxa"/>
            <w:vMerge/>
            <w:vAlign w:val="center"/>
          </w:tcPr>
          <w:p w14:paraId="4FC3BCB8" w14:textId="77777777" w:rsidR="00A2049A" w:rsidRDefault="00A2049A">
            <w:pPr>
              <w:snapToGrid w:val="0"/>
              <w:ind w:left="-163" w:hanging="15"/>
              <w:jc w:val="center"/>
              <w:rPr>
                <w:rFonts w:ascii="宋体" w:hAnsi="宋体"/>
                <w:kern w:val="0"/>
              </w:rPr>
            </w:pPr>
          </w:p>
        </w:tc>
        <w:tc>
          <w:tcPr>
            <w:tcW w:w="1885" w:type="dxa"/>
            <w:vAlign w:val="center"/>
          </w:tcPr>
          <w:p w14:paraId="326FFA84" w14:textId="77777777" w:rsidR="00A2049A" w:rsidRDefault="0029186B">
            <w:pPr>
              <w:snapToGrid w:val="0"/>
              <w:jc w:val="center"/>
              <w:rPr>
                <w:rFonts w:ascii="宋体" w:hAnsi="宋体" w:cs="宋体"/>
                <w:kern w:val="0"/>
                <w:szCs w:val="24"/>
              </w:rPr>
            </w:pPr>
            <w:r>
              <w:rPr>
                <w:rFonts w:ascii="宋体" w:hAnsi="宋体" w:cs="宋体" w:hint="eastAsia"/>
                <w:kern w:val="0"/>
                <w:szCs w:val="24"/>
              </w:rPr>
              <w:t>A</w:t>
            </w:r>
            <w:r>
              <w:rPr>
                <w:rFonts w:ascii="宋体" w:hAnsi="宋体" w:cs="宋体" w:hint="eastAsia"/>
                <w:kern w:val="0"/>
                <w:szCs w:val="24"/>
              </w:rPr>
              <w:t>份额</w:t>
            </w:r>
          </w:p>
        </w:tc>
        <w:tc>
          <w:tcPr>
            <w:tcW w:w="1885" w:type="dxa"/>
            <w:vAlign w:val="center"/>
          </w:tcPr>
          <w:p w14:paraId="2A28CCCA" w14:textId="77777777" w:rsidR="00A2049A" w:rsidRDefault="0029186B">
            <w:pPr>
              <w:snapToGrid w:val="0"/>
              <w:jc w:val="center"/>
              <w:rPr>
                <w:rFonts w:ascii="宋体" w:hAnsi="宋体" w:cs="宋体"/>
                <w:kern w:val="0"/>
                <w:szCs w:val="24"/>
              </w:rPr>
            </w:pPr>
            <w:r>
              <w:rPr>
                <w:rFonts w:hint="eastAsia"/>
              </w:rPr>
              <w:t>ZYFCG0150</w:t>
            </w:r>
            <w:r>
              <w:rPr>
                <w:rFonts w:hint="eastAsia"/>
              </w:rPr>
              <w:t>A</w:t>
            </w:r>
          </w:p>
        </w:tc>
        <w:tc>
          <w:tcPr>
            <w:tcW w:w="1885" w:type="dxa"/>
            <w:vAlign w:val="center"/>
          </w:tcPr>
          <w:p w14:paraId="5E4D6DF2" w14:textId="77777777" w:rsidR="00A2049A" w:rsidRDefault="0029186B">
            <w:pPr>
              <w:snapToGrid w:val="0"/>
              <w:jc w:val="center"/>
              <w:rPr>
                <w:rFonts w:ascii="宋体" w:hAnsi="宋体"/>
                <w:szCs w:val="24"/>
              </w:rPr>
            </w:pPr>
            <w:r>
              <w:rPr>
                <w:rFonts w:ascii="宋体" w:hAnsi="宋体" w:hint="eastAsia"/>
                <w:szCs w:val="24"/>
              </w:rPr>
              <w:t>浙银理财</w:t>
            </w:r>
            <w:r>
              <w:rPr>
                <w:rFonts w:ascii="宋体" w:hAnsi="宋体" w:hint="eastAsia"/>
                <w:szCs w:val="24"/>
              </w:rPr>
              <w:t>琮简富春</w:t>
            </w:r>
            <w:r>
              <w:rPr>
                <w:rFonts w:ascii="宋体" w:hAnsi="宋体" w:hint="eastAsia"/>
                <w:szCs w:val="24"/>
              </w:rPr>
              <w:t>147</w:t>
            </w:r>
            <w:r>
              <w:rPr>
                <w:rFonts w:ascii="宋体" w:hAnsi="宋体" w:hint="eastAsia"/>
                <w:szCs w:val="24"/>
              </w:rPr>
              <w:t>号</w:t>
            </w:r>
            <w:r>
              <w:rPr>
                <w:rFonts w:ascii="宋体" w:hAnsi="宋体" w:hint="eastAsia"/>
                <w:szCs w:val="24"/>
              </w:rPr>
              <w:t>理财产品</w:t>
            </w:r>
            <w:r>
              <w:rPr>
                <w:rFonts w:ascii="宋体" w:hAnsi="宋体" w:hint="eastAsia"/>
                <w:szCs w:val="24"/>
              </w:rPr>
              <w:t>A</w:t>
            </w:r>
            <w:r>
              <w:rPr>
                <w:rFonts w:ascii="宋体" w:hAnsi="宋体" w:hint="eastAsia"/>
                <w:szCs w:val="24"/>
              </w:rPr>
              <w:t>份额</w:t>
            </w:r>
          </w:p>
        </w:tc>
        <w:tc>
          <w:tcPr>
            <w:tcW w:w="1886" w:type="dxa"/>
            <w:vAlign w:val="center"/>
          </w:tcPr>
          <w:p w14:paraId="5745C6BF" w14:textId="77777777" w:rsidR="00A2049A" w:rsidRDefault="0029186B">
            <w:pPr>
              <w:snapToGrid w:val="0"/>
              <w:jc w:val="center"/>
              <w:rPr>
                <w:rFonts w:ascii="宋体" w:hAnsi="宋体" w:cs="宋体"/>
                <w:kern w:val="0"/>
                <w:szCs w:val="24"/>
              </w:rPr>
            </w:pPr>
            <w:r>
              <w:rPr>
                <w:rFonts w:ascii="宋体" w:hAnsi="宋体" w:cs="宋体" w:hint="eastAsia"/>
                <w:kern w:val="0"/>
                <w:szCs w:val="24"/>
              </w:rPr>
              <w:t>浙江长兴农村商业银行股份有限公司，嘉兴银行股份有限公司，浙江岱山农村商业银行股份有限公司，浙江遂昌农村商业银行股份有限公司，浙江云和农村商业银行股份有限公司，浙江临海农村商业银行股份有限公司，浙江仙居农村商业银行股份有限公司，浙江玉环农村商业银行股份有限公司，浙江富阳农村商业银行股份有限公司个人、机构客户，浙江龙泉农村商业银行</w:t>
            </w:r>
            <w:r>
              <w:rPr>
                <w:rFonts w:ascii="宋体" w:hAnsi="宋体" w:cs="宋体" w:hint="eastAsia"/>
                <w:kern w:val="0"/>
                <w:szCs w:val="24"/>
              </w:rPr>
              <w:lastRenderedPageBreak/>
              <w:t>股份有限公司高净值个人、机构客户专属，浙江台州路桥农村商业银行股份有限公司高净值个人、机构客户专属，高净值个人、机构客户专属，浙江天台农村商业银行股份有限公司新客户（个人客户）专属</w:t>
            </w:r>
          </w:p>
        </w:tc>
      </w:tr>
      <w:tr w:rsidR="00A2049A" w14:paraId="15711870" w14:textId="77777777">
        <w:trPr>
          <w:trHeight w:val="425"/>
        </w:trPr>
        <w:tc>
          <w:tcPr>
            <w:tcW w:w="1673" w:type="dxa"/>
            <w:vMerge/>
            <w:vAlign w:val="center"/>
          </w:tcPr>
          <w:p w14:paraId="72789085" w14:textId="77777777" w:rsidR="00A2049A" w:rsidRDefault="00A2049A">
            <w:pPr>
              <w:snapToGrid w:val="0"/>
              <w:ind w:left="-163" w:hanging="15"/>
              <w:jc w:val="center"/>
              <w:rPr>
                <w:rFonts w:ascii="宋体" w:hAnsi="宋体"/>
                <w:kern w:val="0"/>
              </w:rPr>
            </w:pPr>
          </w:p>
        </w:tc>
        <w:tc>
          <w:tcPr>
            <w:tcW w:w="1885" w:type="dxa"/>
            <w:shd w:val="clear" w:color="auto" w:fill="auto"/>
            <w:vAlign w:val="center"/>
          </w:tcPr>
          <w:p w14:paraId="2C1F8A98" w14:textId="77777777" w:rsidR="00A2049A" w:rsidRDefault="0029186B">
            <w:pPr>
              <w:snapToGrid w:val="0"/>
              <w:jc w:val="center"/>
              <w:rPr>
                <w:rFonts w:ascii="宋体" w:hAnsi="宋体" w:cs="宋体"/>
                <w:kern w:val="0"/>
                <w:szCs w:val="24"/>
              </w:rPr>
            </w:pPr>
            <w:r>
              <w:rPr>
                <w:rFonts w:ascii="宋体" w:hAnsi="宋体" w:cs="宋体" w:hint="eastAsia"/>
                <w:kern w:val="0"/>
                <w:szCs w:val="24"/>
              </w:rPr>
              <w:t>B</w:t>
            </w:r>
            <w:r>
              <w:rPr>
                <w:rFonts w:ascii="宋体" w:hAnsi="宋体" w:cs="宋体" w:hint="eastAsia"/>
                <w:kern w:val="0"/>
                <w:szCs w:val="24"/>
              </w:rPr>
              <w:t>份额</w:t>
            </w:r>
          </w:p>
        </w:tc>
        <w:tc>
          <w:tcPr>
            <w:tcW w:w="1885" w:type="dxa"/>
            <w:shd w:val="clear" w:color="auto" w:fill="auto"/>
            <w:vAlign w:val="center"/>
          </w:tcPr>
          <w:p w14:paraId="638D6739" w14:textId="77777777" w:rsidR="00A2049A" w:rsidRDefault="0029186B">
            <w:pPr>
              <w:snapToGrid w:val="0"/>
              <w:jc w:val="center"/>
              <w:rPr>
                <w:rFonts w:ascii="宋体" w:hAnsi="宋体" w:cs="宋体"/>
                <w:kern w:val="0"/>
                <w:szCs w:val="24"/>
              </w:rPr>
            </w:pPr>
            <w:r>
              <w:rPr>
                <w:rFonts w:hint="eastAsia"/>
              </w:rPr>
              <w:t>ZYFCG0150</w:t>
            </w:r>
            <w:r>
              <w:rPr>
                <w:rFonts w:hint="eastAsia"/>
              </w:rPr>
              <w:t>B</w:t>
            </w:r>
          </w:p>
        </w:tc>
        <w:tc>
          <w:tcPr>
            <w:tcW w:w="1885" w:type="dxa"/>
            <w:shd w:val="clear" w:color="auto" w:fill="auto"/>
            <w:vAlign w:val="center"/>
          </w:tcPr>
          <w:p w14:paraId="16CBD1C9" w14:textId="77777777" w:rsidR="00A2049A" w:rsidRDefault="0029186B">
            <w:pPr>
              <w:snapToGrid w:val="0"/>
              <w:jc w:val="center"/>
              <w:rPr>
                <w:rFonts w:ascii="宋体" w:hAnsi="宋体"/>
                <w:szCs w:val="24"/>
              </w:rPr>
            </w:pPr>
            <w:r>
              <w:rPr>
                <w:rFonts w:ascii="宋体" w:hAnsi="宋体" w:hint="eastAsia"/>
                <w:szCs w:val="24"/>
              </w:rPr>
              <w:t>浙银理财</w:t>
            </w:r>
            <w:r>
              <w:rPr>
                <w:rFonts w:ascii="宋体" w:hAnsi="宋体" w:hint="eastAsia"/>
                <w:szCs w:val="24"/>
              </w:rPr>
              <w:t>琮简富春</w:t>
            </w:r>
            <w:r>
              <w:rPr>
                <w:rFonts w:ascii="宋体" w:hAnsi="宋体" w:hint="eastAsia"/>
                <w:szCs w:val="24"/>
              </w:rPr>
              <w:t>147</w:t>
            </w:r>
            <w:r>
              <w:rPr>
                <w:rFonts w:ascii="宋体" w:hAnsi="宋体" w:hint="eastAsia"/>
                <w:szCs w:val="24"/>
              </w:rPr>
              <w:t>号</w:t>
            </w:r>
            <w:r>
              <w:rPr>
                <w:rFonts w:ascii="宋体" w:hAnsi="宋体" w:hint="eastAsia"/>
                <w:szCs w:val="24"/>
              </w:rPr>
              <w:t>理财产品</w:t>
            </w:r>
            <w:r>
              <w:rPr>
                <w:rFonts w:ascii="宋体" w:hAnsi="宋体" w:hint="eastAsia"/>
                <w:szCs w:val="24"/>
              </w:rPr>
              <w:t>B</w:t>
            </w:r>
            <w:r>
              <w:rPr>
                <w:rFonts w:ascii="宋体" w:hAnsi="宋体" w:hint="eastAsia"/>
                <w:szCs w:val="24"/>
              </w:rPr>
              <w:t>份额</w:t>
            </w:r>
          </w:p>
        </w:tc>
        <w:tc>
          <w:tcPr>
            <w:tcW w:w="1886" w:type="dxa"/>
            <w:vAlign w:val="center"/>
          </w:tcPr>
          <w:p w14:paraId="3984E35A" w14:textId="77777777" w:rsidR="00A2049A" w:rsidRDefault="0029186B">
            <w:pPr>
              <w:snapToGrid w:val="0"/>
              <w:jc w:val="center"/>
              <w:rPr>
                <w:rFonts w:ascii="宋体" w:hAnsi="宋体" w:cs="宋体"/>
                <w:kern w:val="0"/>
                <w:szCs w:val="24"/>
              </w:rPr>
            </w:pPr>
            <w:r>
              <w:rPr>
                <w:rFonts w:ascii="宋体" w:hAnsi="宋体" w:cs="宋体" w:hint="eastAsia"/>
                <w:kern w:val="0"/>
                <w:szCs w:val="24"/>
              </w:rPr>
              <w:t>宁波北仑农村商业银行股份有限公司，浙江松阳农村商业银行股份有限公司，浙江台州黄岩农村商业银行股份有限公司，浙江禾城农村商业银行股份有限公司，浙江舟山普陀农村商业银行股份有限公司，浙江平湖农村商业银行股份有限公司，浙江海盐农村商业银行股份有限公司，浙江萧山农村商业银行股份有限公司，浙江嵊泗农村商业银行股份有限公司，浙江台州椒江农村商业银行股份有限公司，浙江东</w:t>
            </w:r>
            <w:r>
              <w:rPr>
                <w:rFonts w:ascii="宋体" w:hAnsi="宋体" w:cs="宋体" w:hint="eastAsia"/>
                <w:kern w:val="0"/>
                <w:szCs w:val="24"/>
              </w:rPr>
              <w:lastRenderedPageBreak/>
              <w:t>阳农村商业银行股份有限公司，浙江临安农村商业银行股份有限公司，浙江青田农村商业银行</w:t>
            </w:r>
            <w:r>
              <w:rPr>
                <w:rFonts w:ascii="宋体" w:hAnsi="宋体" w:cs="宋体" w:hint="eastAsia"/>
                <w:kern w:val="0"/>
                <w:szCs w:val="24"/>
              </w:rPr>
              <w:t>股份有限公司，浙江桐庐农村商业银行股份有限公司个人、机构客户</w:t>
            </w:r>
          </w:p>
        </w:tc>
      </w:tr>
      <w:tr w:rsidR="00A2049A" w14:paraId="2A2C4432" w14:textId="77777777">
        <w:trPr>
          <w:trHeight w:val="425"/>
        </w:trPr>
        <w:tc>
          <w:tcPr>
            <w:tcW w:w="1673" w:type="dxa"/>
            <w:vMerge/>
            <w:vAlign w:val="center"/>
          </w:tcPr>
          <w:p w14:paraId="2EEC6356" w14:textId="77777777" w:rsidR="00A2049A" w:rsidRDefault="00A2049A">
            <w:pPr>
              <w:snapToGrid w:val="0"/>
              <w:ind w:left="-163" w:hanging="15"/>
              <w:jc w:val="center"/>
              <w:rPr>
                <w:rFonts w:ascii="宋体" w:hAnsi="宋体"/>
                <w:kern w:val="0"/>
              </w:rPr>
            </w:pPr>
          </w:p>
        </w:tc>
        <w:tc>
          <w:tcPr>
            <w:tcW w:w="1885" w:type="dxa"/>
            <w:vAlign w:val="center"/>
          </w:tcPr>
          <w:p w14:paraId="244D910D" w14:textId="77777777" w:rsidR="00A2049A" w:rsidRDefault="0029186B">
            <w:pPr>
              <w:snapToGrid w:val="0"/>
              <w:jc w:val="center"/>
              <w:rPr>
                <w:rFonts w:ascii="宋体" w:hAnsi="宋体" w:cs="宋体"/>
                <w:kern w:val="0"/>
                <w:szCs w:val="24"/>
              </w:rPr>
            </w:pPr>
            <w:r>
              <w:rPr>
                <w:rFonts w:ascii="宋体" w:hAnsi="宋体" w:cs="宋体" w:hint="eastAsia"/>
                <w:kern w:val="0"/>
                <w:szCs w:val="24"/>
              </w:rPr>
              <w:t>C</w:t>
            </w:r>
            <w:r>
              <w:rPr>
                <w:rFonts w:ascii="宋体" w:hAnsi="宋体" w:cs="宋体" w:hint="eastAsia"/>
                <w:kern w:val="0"/>
                <w:szCs w:val="24"/>
              </w:rPr>
              <w:t>份额</w:t>
            </w:r>
          </w:p>
        </w:tc>
        <w:tc>
          <w:tcPr>
            <w:tcW w:w="1885" w:type="dxa"/>
            <w:vAlign w:val="center"/>
          </w:tcPr>
          <w:p w14:paraId="6B82090C" w14:textId="77777777" w:rsidR="00A2049A" w:rsidRDefault="0029186B">
            <w:pPr>
              <w:snapToGrid w:val="0"/>
              <w:jc w:val="center"/>
            </w:pPr>
            <w:r>
              <w:rPr>
                <w:rFonts w:hint="eastAsia"/>
              </w:rPr>
              <w:t>ZYFCG0150</w:t>
            </w:r>
            <w:r>
              <w:rPr>
                <w:rFonts w:hint="eastAsia"/>
              </w:rPr>
              <w:t>C</w:t>
            </w:r>
          </w:p>
        </w:tc>
        <w:tc>
          <w:tcPr>
            <w:tcW w:w="1885" w:type="dxa"/>
            <w:vAlign w:val="center"/>
          </w:tcPr>
          <w:p w14:paraId="67734F0D" w14:textId="77777777" w:rsidR="00A2049A" w:rsidRDefault="0029186B">
            <w:pPr>
              <w:snapToGrid w:val="0"/>
              <w:jc w:val="center"/>
              <w:rPr>
                <w:rFonts w:ascii="宋体" w:hAnsi="宋体"/>
                <w:szCs w:val="24"/>
              </w:rPr>
            </w:pPr>
            <w:r>
              <w:rPr>
                <w:rFonts w:ascii="宋体" w:hAnsi="宋体" w:hint="eastAsia"/>
                <w:szCs w:val="24"/>
              </w:rPr>
              <w:t>浙银理财</w:t>
            </w:r>
            <w:r>
              <w:rPr>
                <w:rFonts w:ascii="宋体" w:hAnsi="宋体" w:hint="eastAsia"/>
                <w:szCs w:val="24"/>
              </w:rPr>
              <w:t>琮简富春</w:t>
            </w:r>
            <w:r>
              <w:rPr>
                <w:rFonts w:ascii="宋体" w:hAnsi="宋体" w:hint="eastAsia"/>
                <w:szCs w:val="24"/>
              </w:rPr>
              <w:t>147</w:t>
            </w:r>
            <w:r>
              <w:rPr>
                <w:rFonts w:ascii="宋体" w:hAnsi="宋体" w:hint="eastAsia"/>
                <w:szCs w:val="24"/>
              </w:rPr>
              <w:t>号</w:t>
            </w:r>
            <w:r>
              <w:rPr>
                <w:rFonts w:ascii="宋体" w:hAnsi="宋体" w:hint="eastAsia"/>
                <w:szCs w:val="24"/>
              </w:rPr>
              <w:t>理财产品</w:t>
            </w:r>
            <w:r>
              <w:rPr>
                <w:rFonts w:ascii="宋体" w:hAnsi="宋体" w:hint="eastAsia"/>
                <w:szCs w:val="24"/>
              </w:rPr>
              <w:t>C</w:t>
            </w:r>
            <w:r>
              <w:rPr>
                <w:rFonts w:ascii="宋体" w:hAnsi="宋体" w:hint="eastAsia"/>
                <w:szCs w:val="24"/>
              </w:rPr>
              <w:t>份额</w:t>
            </w:r>
          </w:p>
        </w:tc>
        <w:tc>
          <w:tcPr>
            <w:tcW w:w="1886" w:type="dxa"/>
            <w:vAlign w:val="center"/>
          </w:tcPr>
          <w:p w14:paraId="46462A90" w14:textId="77777777" w:rsidR="00A2049A" w:rsidRDefault="0029186B">
            <w:pPr>
              <w:snapToGrid w:val="0"/>
              <w:jc w:val="center"/>
              <w:rPr>
                <w:rFonts w:ascii="宋体" w:hAnsi="宋体" w:cs="宋体"/>
                <w:kern w:val="0"/>
                <w:szCs w:val="24"/>
              </w:rPr>
            </w:pPr>
            <w:r>
              <w:rPr>
                <w:rFonts w:ascii="宋体" w:hAnsi="宋体" w:cs="宋体" w:hint="eastAsia"/>
                <w:kern w:val="0"/>
                <w:szCs w:val="24"/>
              </w:rPr>
              <w:t>浙江绍兴恒信农村商业银行股份有限公司，浙江德清农村商业银行股份有限公司，浙江建德农村商业银行股份有限公司，浙江庆元农村商业银行股份有限公司，浙江上虞农村商业银行股份有限公司，浙江台州路桥农村商业银行股份有限公司，赣州银行股份有限公司，浙江义乌农村商业银行股份有限公司，浙江龙泉农村商业银行股份有限公司，湖州吴兴农村商业银行股份有限公司个人、机构客户，中原银行股份有限公司社保卡客户、</w:t>
            </w:r>
            <w:r>
              <w:rPr>
                <w:rFonts w:ascii="宋体" w:hAnsi="宋体" w:cs="宋体" w:hint="eastAsia"/>
                <w:kern w:val="0"/>
                <w:szCs w:val="24"/>
              </w:rPr>
              <w:lastRenderedPageBreak/>
              <w:t>新客户（个人客户）专属</w:t>
            </w:r>
          </w:p>
        </w:tc>
      </w:tr>
      <w:tr w:rsidR="00A2049A" w14:paraId="5904631D" w14:textId="77777777">
        <w:trPr>
          <w:trHeight w:val="425"/>
        </w:trPr>
        <w:tc>
          <w:tcPr>
            <w:tcW w:w="1673" w:type="dxa"/>
            <w:vMerge/>
            <w:vAlign w:val="center"/>
          </w:tcPr>
          <w:p w14:paraId="1EF9B8C3" w14:textId="77777777" w:rsidR="00A2049A" w:rsidRDefault="00A2049A">
            <w:pPr>
              <w:snapToGrid w:val="0"/>
              <w:ind w:left="-163" w:hanging="15"/>
              <w:jc w:val="center"/>
              <w:rPr>
                <w:rFonts w:ascii="宋体" w:hAnsi="宋体"/>
                <w:kern w:val="0"/>
              </w:rPr>
            </w:pPr>
          </w:p>
        </w:tc>
        <w:tc>
          <w:tcPr>
            <w:tcW w:w="1885" w:type="dxa"/>
            <w:shd w:val="clear" w:color="auto" w:fill="auto"/>
            <w:vAlign w:val="center"/>
          </w:tcPr>
          <w:p w14:paraId="0C64758F" w14:textId="77777777" w:rsidR="00A2049A" w:rsidRDefault="0029186B">
            <w:pPr>
              <w:snapToGrid w:val="0"/>
              <w:jc w:val="center"/>
              <w:rPr>
                <w:rFonts w:ascii="宋体" w:hAnsi="宋体" w:cs="宋体"/>
                <w:kern w:val="0"/>
                <w:szCs w:val="24"/>
              </w:rPr>
            </w:pPr>
            <w:r>
              <w:rPr>
                <w:rFonts w:ascii="宋体" w:hAnsi="宋体" w:cs="宋体" w:hint="eastAsia"/>
                <w:kern w:val="0"/>
                <w:szCs w:val="24"/>
              </w:rPr>
              <w:t>D</w:t>
            </w:r>
            <w:r>
              <w:rPr>
                <w:rFonts w:ascii="宋体" w:hAnsi="宋体" w:cs="宋体" w:hint="eastAsia"/>
                <w:kern w:val="0"/>
                <w:szCs w:val="24"/>
              </w:rPr>
              <w:t>份额</w:t>
            </w:r>
          </w:p>
        </w:tc>
        <w:tc>
          <w:tcPr>
            <w:tcW w:w="1885" w:type="dxa"/>
            <w:shd w:val="clear" w:color="auto" w:fill="auto"/>
            <w:vAlign w:val="center"/>
          </w:tcPr>
          <w:p w14:paraId="280B330D" w14:textId="77777777" w:rsidR="00A2049A" w:rsidRDefault="0029186B">
            <w:pPr>
              <w:snapToGrid w:val="0"/>
              <w:jc w:val="center"/>
            </w:pPr>
            <w:r>
              <w:rPr>
                <w:rFonts w:hint="eastAsia"/>
              </w:rPr>
              <w:t>ZYFCG0150</w:t>
            </w:r>
            <w:r>
              <w:rPr>
                <w:rFonts w:hint="eastAsia"/>
              </w:rPr>
              <w:t>D</w:t>
            </w:r>
          </w:p>
        </w:tc>
        <w:tc>
          <w:tcPr>
            <w:tcW w:w="1885" w:type="dxa"/>
            <w:shd w:val="clear" w:color="auto" w:fill="auto"/>
            <w:vAlign w:val="center"/>
          </w:tcPr>
          <w:p w14:paraId="54EDFFBD" w14:textId="77777777" w:rsidR="00A2049A" w:rsidRDefault="0029186B">
            <w:pPr>
              <w:snapToGrid w:val="0"/>
              <w:jc w:val="center"/>
              <w:rPr>
                <w:rFonts w:ascii="宋体" w:hAnsi="宋体"/>
                <w:szCs w:val="24"/>
              </w:rPr>
            </w:pPr>
            <w:r>
              <w:rPr>
                <w:rFonts w:ascii="宋体" w:hAnsi="宋体" w:hint="eastAsia"/>
                <w:szCs w:val="24"/>
              </w:rPr>
              <w:t>浙银理财琮简富春</w:t>
            </w:r>
            <w:r>
              <w:rPr>
                <w:rFonts w:ascii="宋体" w:hAnsi="宋体" w:hint="eastAsia"/>
                <w:szCs w:val="24"/>
              </w:rPr>
              <w:t>147</w:t>
            </w:r>
            <w:r>
              <w:rPr>
                <w:rFonts w:ascii="宋体" w:hAnsi="宋体" w:hint="eastAsia"/>
                <w:szCs w:val="24"/>
              </w:rPr>
              <w:t>号理财产品</w:t>
            </w:r>
            <w:r>
              <w:rPr>
                <w:rFonts w:ascii="宋体" w:hAnsi="宋体" w:hint="eastAsia"/>
                <w:szCs w:val="24"/>
              </w:rPr>
              <w:t>D</w:t>
            </w:r>
            <w:r>
              <w:rPr>
                <w:rFonts w:ascii="宋体" w:hAnsi="宋体" w:hint="eastAsia"/>
                <w:szCs w:val="24"/>
              </w:rPr>
              <w:t>份额</w:t>
            </w:r>
          </w:p>
        </w:tc>
        <w:tc>
          <w:tcPr>
            <w:tcW w:w="1886" w:type="dxa"/>
            <w:shd w:val="clear" w:color="auto" w:fill="auto"/>
            <w:vAlign w:val="center"/>
          </w:tcPr>
          <w:p w14:paraId="1544DDF0" w14:textId="77777777" w:rsidR="00A2049A" w:rsidRDefault="0029186B">
            <w:pPr>
              <w:snapToGrid w:val="0"/>
              <w:jc w:val="center"/>
              <w:rPr>
                <w:rFonts w:ascii="宋体" w:hAnsi="宋体" w:cs="宋体"/>
                <w:kern w:val="0"/>
                <w:szCs w:val="24"/>
              </w:rPr>
            </w:pPr>
            <w:r>
              <w:rPr>
                <w:rFonts w:ascii="宋体" w:hAnsi="宋体" w:cs="宋体" w:hint="eastAsia"/>
                <w:kern w:val="0"/>
                <w:szCs w:val="24"/>
              </w:rPr>
              <w:t>浙江丽水莲都农村商业银行股份有限公司，浙江天台农村商业银行股份有限公司个人、机构客户</w:t>
            </w:r>
          </w:p>
        </w:tc>
      </w:tr>
      <w:tr w:rsidR="00A2049A" w14:paraId="2DD6C909" w14:textId="77777777">
        <w:trPr>
          <w:trHeight w:val="425"/>
        </w:trPr>
        <w:tc>
          <w:tcPr>
            <w:tcW w:w="1673" w:type="dxa"/>
            <w:vMerge/>
            <w:vAlign w:val="center"/>
          </w:tcPr>
          <w:p w14:paraId="32C008EC" w14:textId="77777777" w:rsidR="00A2049A" w:rsidRDefault="00A2049A">
            <w:pPr>
              <w:snapToGrid w:val="0"/>
              <w:ind w:left="-163" w:hanging="15"/>
              <w:jc w:val="center"/>
              <w:rPr>
                <w:rFonts w:ascii="宋体" w:hAnsi="宋体"/>
                <w:kern w:val="0"/>
              </w:rPr>
            </w:pPr>
          </w:p>
        </w:tc>
        <w:tc>
          <w:tcPr>
            <w:tcW w:w="1885" w:type="dxa"/>
            <w:shd w:val="clear" w:color="auto" w:fill="auto"/>
            <w:vAlign w:val="center"/>
          </w:tcPr>
          <w:p w14:paraId="176E468C" w14:textId="77777777" w:rsidR="00A2049A" w:rsidRDefault="0029186B">
            <w:pPr>
              <w:snapToGrid w:val="0"/>
              <w:jc w:val="center"/>
              <w:rPr>
                <w:rFonts w:ascii="宋体" w:hAnsi="宋体" w:cs="宋体"/>
                <w:kern w:val="0"/>
                <w:szCs w:val="24"/>
              </w:rPr>
            </w:pPr>
            <w:r>
              <w:rPr>
                <w:rFonts w:ascii="宋体" w:hAnsi="宋体" w:cs="宋体" w:hint="eastAsia"/>
                <w:kern w:val="0"/>
                <w:szCs w:val="24"/>
              </w:rPr>
              <w:t>E</w:t>
            </w:r>
            <w:r>
              <w:rPr>
                <w:rFonts w:ascii="宋体" w:hAnsi="宋体" w:cs="宋体" w:hint="eastAsia"/>
                <w:kern w:val="0"/>
                <w:szCs w:val="24"/>
              </w:rPr>
              <w:t>份额</w:t>
            </w:r>
          </w:p>
        </w:tc>
        <w:tc>
          <w:tcPr>
            <w:tcW w:w="1885" w:type="dxa"/>
            <w:shd w:val="clear" w:color="auto" w:fill="auto"/>
            <w:vAlign w:val="center"/>
          </w:tcPr>
          <w:p w14:paraId="5D2F01D4" w14:textId="77777777" w:rsidR="00A2049A" w:rsidRDefault="0029186B">
            <w:pPr>
              <w:snapToGrid w:val="0"/>
              <w:jc w:val="center"/>
            </w:pPr>
            <w:r>
              <w:rPr>
                <w:rFonts w:hint="eastAsia"/>
              </w:rPr>
              <w:t>ZYFCG0150</w:t>
            </w:r>
            <w:r>
              <w:rPr>
                <w:rFonts w:hint="eastAsia"/>
              </w:rPr>
              <w:t>E</w:t>
            </w:r>
          </w:p>
        </w:tc>
        <w:tc>
          <w:tcPr>
            <w:tcW w:w="1885" w:type="dxa"/>
            <w:shd w:val="clear" w:color="auto" w:fill="auto"/>
            <w:vAlign w:val="center"/>
          </w:tcPr>
          <w:p w14:paraId="3CDB7F4D" w14:textId="77777777" w:rsidR="00A2049A" w:rsidRDefault="0029186B">
            <w:pPr>
              <w:snapToGrid w:val="0"/>
              <w:jc w:val="center"/>
              <w:rPr>
                <w:rFonts w:ascii="宋体" w:hAnsi="宋体"/>
                <w:szCs w:val="24"/>
              </w:rPr>
            </w:pPr>
            <w:r>
              <w:rPr>
                <w:rFonts w:ascii="宋体" w:hAnsi="宋体" w:hint="eastAsia"/>
                <w:szCs w:val="24"/>
              </w:rPr>
              <w:t>浙银理财琮简富春</w:t>
            </w:r>
            <w:r>
              <w:rPr>
                <w:rFonts w:ascii="宋体" w:hAnsi="宋体" w:hint="eastAsia"/>
                <w:szCs w:val="24"/>
              </w:rPr>
              <w:t>147</w:t>
            </w:r>
            <w:r>
              <w:rPr>
                <w:rFonts w:ascii="宋体" w:hAnsi="宋体" w:hint="eastAsia"/>
                <w:szCs w:val="24"/>
              </w:rPr>
              <w:t>号理财产品</w:t>
            </w:r>
            <w:r>
              <w:rPr>
                <w:rFonts w:ascii="宋体" w:hAnsi="宋体" w:hint="eastAsia"/>
                <w:szCs w:val="24"/>
              </w:rPr>
              <w:t>E</w:t>
            </w:r>
            <w:r>
              <w:rPr>
                <w:rFonts w:ascii="宋体" w:hAnsi="宋体" w:hint="eastAsia"/>
                <w:szCs w:val="24"/>
              </w:rPr>
              <w:t>份额</w:t>
            </w:r>
          </w:p>
        </w:tc>
        <w:tc>
          <w:tcPr>
            <w:tcW w:w="1886" w:type="dxa"/>
            <w:shd w:val="clear" w:color="auto" w:fill="auto"/>
            <w:vAlign w:val="center"/>
          </w:tcPr>
          <w:p w14:paraId="22370F1A" w14:textId="77777777" w:rsidR="00A2049A" w:rsidRDefault="0029186B">
            <w:pPr>
              <w:snapToGrid w:val="0"/>
              <w:jc w:val="center"/>
              <w:rPr>
                <w:rFonts w:ascii="宋体" w:hAnsi="宋体" w:cs="宋体"/>
                <w:kern w:val="0"/>
                <w:szCs w:val="24"/>
              </w:rPr>
            </w:pPr>
            <w:r>
              <w:rPr>
                <w:rFonts w:ascii="宋体" w:hAnsi="宋体" w:cs="宋体" w:hint="eastAsia"/>
                <w:kern w:val="0"/>
                <w:szCs w:val="24"/>
              </w:rPr>
              <w:t>中原银行股份有限公司，江苏苏商银行股份有限公司，浙江武义农村商业银行股份有限公司个人、机构客户</w:t>
            </w:r>
          </w:p>
        </w:tc>
      </w:tr>
      <w:tr w:rsidR="00A2049A" w14:paraId="310964FD" w14:textId="77777777">
        <w:trPr>
          <w:trHeight w:val="425"/>
        </w:trPr>
        <w:tc>
          <w:tcPr>
            <w:tcW w:w="1673" w:type="dxa"/>
            <w:vMerge/>
            <w:vAlign w:val="center"/>
          </w:tcPr>
          <w:p w14:paraId="7E79E243" w14:textId="77777777" w:rsidR="00A2049A" w:rsidRDefault="00A2049A">
            <w:pPr>
              <w:snapToGrid w:val="0"/>
              <w:ind w:left="-163" w:hanging="15"/>
              <w:jc w:val="center"/>
              <w:rPr>
                <w:rFonts w:ascii="宋体" w:hAnsi="宋体"/>
                <w:kern w:val="0"/>
              </w:rPr>
            </w:pPr>
          </w:p>
        </w:tc>
        <w:tc>
          <w:tcPr>
            <w:tcW w:w="1885" w:type="dxa"/>
            <w:shd w:val="clear" w:color="auto" w:fill="auto"/>
            <w:vAlign w:val="center"/>
          </w:tcPr>
          <w:p w14:paraId="63B03998" w14:textId="77777777" w:rsidR="00A2049A" w:rsidRDefault="0029186B">
            <w:pPr>
              <w:snapToGrid w:val="0"/>
              <w:jc w:val="center"/>
              <w:rPr>
                <w:rFonts w:ascii="宋体" w:hAnsi="宋体" w:cs="宋体"/>
                <w:kern w:val="0"/>
                <w:szCs w:val="24"/>
              </w:rPr>
            </w:pPr>
            <w:r>
              <w:rPr>
                <w:rFonts w:ascii="宋体" w:hAnsi="宋体" w:cs="宋体" w:hint="eastAsia"/>
                <w:kern w:val="0"/>
                <w:szCs w:val="24"/>
              </w:rPr>
              <w:t>F</w:t>
            </w:r>
            <w:r>
              <w:rPr>
                <w:rFonts w:ascii="宋体" w:hAnsi="宋体" w:cs="宋体" w:hint="eastAsia"/>
                <w:kern w:val="0"/>
                <w:szCs w:val="24"/>
              </w:rPr>
              <w:t>份额</w:t>
            </w:r>
          </w:p>
        </w:tc>
        <w:tc>
          <w:tcPr>
            <w:tcW w:w="1885" w:type="dxa"/>
            <w:shd w:val="clear" w:color="auto" w:fill="auto"/>
            <w:vAlign w:val="center"/>
          </w:tcPr>
          <w:p w14:paraId="63EB9874" w14:textId="77777777" w:rsidR="00A2049A" w:rsidRDefault="0029186B">
            <w:pPr>
              <w:snapToGrid w:val="0"/>
              <w:jc w:val="center"/>
            </w:pPr>
            <w:r>
              <w:rPr>
                <w:rFonts w:hint="eastAsia"/>
              </w:rPr>
              <w:t>ZYFCG0150</w:t>
            </w:r>
            <w:r>
              <w:rPr>
                <w:rFonts w:hint="eastAsia"/>
              </w:rPr>
              <w:t>F</w:t>
            </w:r>
          </w:p>
        </w:tc>
        <w:tc>
          <w:tcPr>
            <w:tcW w:w="1885" w:type="dxa"/>
            <w:shd w:val="clear" w:color="auto" w:fill="auto"/>
            <w:vAlign w:val="center"/>
          </w:tcPr>
          <w:p w14:paraId="15A0EBC2" w14:textId="77777777" w:rsidR="00A2049A" w:rsidRDefault="0029186B">
            <w:pPr>
              <w:snapToGrid w:val="0"/>
              <w:jc w:val="center"/>
              <w:rPr>
                <w:rFonts w:ascii="宋体" w:hAnsi="宋体"/>
                <w:szCs w:val="24"/>
              </w:rPr>
            </w:pPr>
            <w:r>
              <w:rPr>
                <w:rFonts w:ascii="宋体" w:hAnsi="宋体" w:hint="eastAsia"/>
                <w:szCs w:val="24"/>
              </w:rPr>
              <w:t>浙银理财琮简富春</w:t>
            </w:r>
            <w:r>
              <w:rPr>
                <w:rFonts w:ascii="宋体" w:hAnsi="宋体" w:hint="eastAsia"/>
                <w:szCs w:val="24"/>
              </w:rPr>
              <w:t>147</w:t>
            </w:r>
            <w:r>
              <w:rPr>
                <w:rFonts w:ascii="宋体" w:hAnsi="宋体" w:hint="eastAsia"/>
                <w:szCs w:val="24"/>
              </w:rPr>
              <w:t>号理财产品</w:t>
            </w:r>
            <w:r>
              <w:rPr>
                <w:rFonts w:ascii="宋体" w:hAnsi="宋体" w:hint="eastAsia"/>
                <w:szCs w:val="24"/>
              </w:rPr>
              <w:t>F</w:t>
            </w:r>
            <w:r>
              <w:rPr>
                <w:rFonts w:ascii="宋体" w:hAnsi="宋体" w:hint="eastAsia"/>
                <w:szCs w:val="24"/>
              </w:rPr>
              <w:t>份额鄞赢财富</w:t>
            </w:r>
          </w:p>
        </w:tc>
        <w:tc>
          <w:tcPr>
            <w:tcW w:w="1886" w:type="dxa"/>
            <w:shd w:val="clear" w:color="auto" w:fill="auto"/>
            <w:vAlign w:val="center"/>
          </w:tcPr>
          <w:p w14:paraId="6F8804CE" w14:textId="77777777" w:rsidR="00A2049A" w:rsidRDefault="0029186B">
            <w:pPr>
              <w:snapToGrid w:val="0"/>
              <w:jc w:val="center"/>
              <w:rPr>
                <w:rFonts w:ascii="宋体" w:hAnsi="宋体" w:cs="宋体"/>
                <w:kern w:val="0"/>
                <w:szCs w:val="24"/>
              </w:rPr>
            </w:pPr>
            <w:r>
              <w:rPr>
                <w:rFonts w:ascii="宋体" w:hAnsi="宋体" w:cs="宋体" w:hint="eastAsia"/>
                <w:kern w:val="0"/>
                <w:szCs w:val="24"/>
              </w:rPr>
              <w:t>宁波鄞州农村商业银行股份有限公司高净值个人、机构客户、新客户（个人客户）专属</w:t>
            </w:r>
          </w:p>
        </w:tc>
      </w:tr>
      <w:tr w:rsidR="00A2049A" w14:paraId="303D15D7" w14:textId="77777777">
        <w:trPr>
          <w:trHeight w:val="425"/>
        </w:trPr>
        <w:tc>
          <w:tcPr>
            <w:tcW w:w="1673" w:type="dxa"/>
            <w:vMerge/>
            <w:vAlign w:val="center"/>
          </w:tcPr>
          <w:p w14:paraId="6B0928FF" w14:textId="77777777" w:rsidR="00A2049A" w:rsidRDefault="00A2049A">
            <w:pPr>
              <w:snapToGrid w:val="0"/>
              <w:ind w:left="-163" w:hanging="15"/>
              <w:jc w:val="center"/>
              <w:rPr>
                <w:rFonts w:ascii="宋体" w:hAnsi="宋体"/>
                <w:kern w:val="0"/>
              </w:rPr>
            </w:pPr>
          </w:p>
        </w:tc>
        <w:tc>
          <w:tcPr>
            <w:tcW w:w="1885" w:type="dxa"/>
            <w:shd w:val="clear" w:color="auto" w:fill="auto"/>
            <w:vAlign w:val="center"/>
          </w:tcPr>
          <w:p w14:paraId="590BB191" w14:textId="77777777" w:rsidR="00A2049A" w:rsidRDefault="0029186B">
            <w:pPr>
              <w:snapToGrid w:val="0"/>
              <w:jc w:val="center"/>
              <w:rPr>
                <w:rFonts w:ascii="宋体" w:hAnsi="宋体" w:cs="宋体"/>
                <w:kern w:val="0"/>
                <w:szCs w:val="24"/>
              </w:rPr>
            </w:pPr>
            <w:r>
              <w:rPr>
                <w:rFonts w:ascii="宋体" w:hAnsi="宋体" w:cs="宋体" w:hint="eastAsia"/>
                <w:kern w:val="0"/>
                <w:szCs w:val="24"/>
              </w:rPr>
              <w:t>G</w:t>
            </w:r>
            <w:r>
              <w:rPr>
                <w:rFonts w:ascii="宋体" w:hAnsi="宋体" w:cs="宋体" w:hint="eastAsia"/>
                <w:kern w:val="0"/>
                <w:szCs w:val="24"/>
              </w:rPr>
              <w:t>份额</w:t>
            </w:r>
          </w:p>
        </w:tc>
        <w:tc>
          <w:tcPr>
            <w:tcW w:w="1885" w:type="dxa"/>
            <w:shd w:val="clear" w:color="auto" w:fill="auto"/>
            <w:vAlign w:val="center"/>
          </w:tcPr>
          <w:p w14:paraId="41F9DDC4" w14:textId="77777777" w:rsidR="00A2049A" w:rsidRDefault="0029186B">
            <w:pPr>
              <w:snapToGrid w:val="0"/>
              <w:jc w:val="center"/>
            </w:pPr>
            <w:r>
              <w:rPr>
                <w:rFonts w:hint="eastAsia"/>
              </w:rPr>
              <w:t>ZYFCG0150</w:t>
            </w:r>
            <w:r>
              <w:rPr>
                <w:rFonts w:hint="eastAsia"/>
              </w:rPr>
              <w:t>G</w:t>
            </w:r>
          </w:p>
        </w:tc>
        <w:tc>
          <w:tcPr>
            <w:tcW w:w="1885" w:type="dxa"/>
            <w:shd w:val="clear" w:color="auto" w:fill="auto"/>
            <w:vAlign w:val="center"/>
          </w:tcPr>
          <w:p w14:paraId="086F55F0" w14:textId="77777777" w:rsidR="00A2049A" w:rsidRDefault="0029186B">
            <w:pPr>
              <w:snapToGrid w:val="0"/>
              <w:jc w:val="center"/>
              <w:rPr>
                <w:rFonts w:ascii="宋体" w:hAnsi="宋体"/>
                <w:szCs w:val="24"/>
              </w:rPr>
            </w:pPr>
            <w:r>
              <w:rPr>
                <w:rFonts w:ascii="宋体" w:hAnsi="宋体" w:hint="eastAsia"/>
                <w:szCs w:val="24"/>
              </w:rPr>
              <w:t>浙银理财琮简富春</w:t>
            </w:r>
            <w:r>
              <w:rPr>
                <w:rFonts w:ascii="宋体" w:hAnsi="宋体" w:hint="eastAsia"/>
                <w:szCs w:val="24"/>
              </w:rPr>
              <w:t>147</w:t>
            </w:r>
            <w:r>
              <w:rPr>
                <w:rFonts w:ascii="宋体" w:hAnsi="宋体" w:hint="eastAsia"/>
                <w:szCs w:val="24"/>
              </w:rPr>
              <w:t>号理财产品</w:t>
            </w:r>
            <w:r>
              <w:rPr>
                <w:rFonts w:ascii="宋体" w:hAnsi="宋体" w:hint="eastAsia"/>
                <w:szCs w:val="24"/>
              </w:rPr>
              <w:t>G</w:t>
            </w:r>
            <w:r>
              <w:rPr>
                <w:rFonts w:ascii="宋体" w:hAnsi="宋体" w:hint="eastAsia"/>
                <w:szCs w:val="24"/>
              </w:rPr>
              <w:t>份额鄞赢财富</w:t>
            </w:r>
          </w:p>
        </w:tc>
        <w:tc>
          <w:tcPr>
            <w:tcW w:w="1886" w:type="dxa"/>
            <w:shd w:val="clear" w:color="auto" w:fill="auto"/>
            <w:vAlign w:val="center"/>
          </w:tcPr>
          <w:p w14:paraId="51629265" w14:textId="77777777" w:rsidR="00A2049A" w:rsidRDefault="0029186B">
            <w:pPr>
              <w:snapToGrid w:val="0"/>
              <w:jc w:val="center"/>
              <w:rPr>
                <w:rFonts w:ascii="宋体" w:hAnsi="宋体" w:cs="宋体"/>
                <w:kern w:val="0"/>
                <w:szCs w:val="24"/>
              </w:rPr>
            </w:pPr>
            <w:r>
              <w:rPr>
                <w:rFonts w:ascii="宋体" w:hAnsi="宋体" w:cs="宋体" w:hint="eastAsia"/>
                <w:kern w:val="0"/>
                <w:szCs w:val="24"/>
              </w:rPr>
              <w:t>宁波鄞州农村商业银行股份有限公司个人、机构客户</w:t>
            </w:r>
          </w:p>
        </w:tc>
      </w:tr>
      <w:tr w:rsidR="00A2049A" w14:paraId="30E9C239" w14:textId="77777777">
        <w:trPr>
          <w:trHeight w:val="425"/>
        </w:trPr>
        <w:tc>
          <w:tcPr>
            <w:tcW w:w="1673" w:type="dxa"/>
            <w:vAlign w:val="center"/>
          </w:tcPr>
          <w:p w14:paraId="1A8992AE" w14:textId="77777777" w:rsidR="00A2049A" w:rsidRDefault="0029186B">
            <w:pPr>
              <w:snapToGrid w:val="0"/>
              <w:ind w:leftChars="26" w:left="77" w:hanging="15"/>
              <w:jc w:val="center"/>
              <w:rPr>
                <w:rFonts w:ascii="宋体" w:hAnsi="宋体"/>
                <w:szCs w:val="24"/>
              </w:rPr>
            </w:pPr>
            <w:r>
              <w:rPr>
                <w:rFonts w:ascii="宋体" w:hAnsi="宋体" w:hint="eastAsia"/>
                <w:kern w:val="0"/>
              </w:rPr>
              <w:t>理财</w:t>
            </w:r>
            <w:r>
              <w:rPr>
                <w:rFonts w:ascii="宋体" w:hAnsi="宋体"/>
                <w:kern w:val="0"/>
              </w:rPr>
              <w:t>产品</w:t>
            </w:r>
            <w:r>
              <w:rPr>
                <w:rFonts w:ascii="宋体" w:hAnsi="宋体" w:hint="eastAsia"/>
                <w:kern w:val="0"/>
              </w:rPr>
              <w:t>管理人</w:t>
            </w:r>
          </w:p>
        </w:tc>
        <w:tc>
          <w:tcPr>
            <w:tcW w:w="7541" w:type="dxa"/>
            <w:gridSpan w:val="4"/>
            <w:vAlign w:val="center"/>
          </w:tcPr>
          <w:p w14:paraId="556C8036" w14:textId="77777777" w:rsidR="00A2049A" w:rsidRDefault="0029186B">
            <w:pPr>
              <w:snapToGrid w:val="0"/>
              <w:rPr>
                <w:rFonts w:ascii="宋体" w:hAnsi="宋体"/>
                <w:szCs w:val="24"/>
              </w:rPr>
            </w:pPr>
            <w:r>
              <w:rPr>
                <w:rFonts w:ascii="宋体" w:hAnsi="宋体" w:cs="宋体" w:hint="eastAsia"/>
                <w:kern w:val="0"/>
              </w:rPr>
              <w:t>浙银理财有限责任公司</w:t>
            </w:r>
          </w:p>
        </w:tc>
      </w:tr>
      <w:tr w:rsidR="00A2049A" w14:paraId="19C21710" w14:textId="77777777">
        <w:trPr>
          <w:trHeight w:val="425"/>
        </w:trPr>
        <w:tc>
          <w:tcPr>
            <w:tcW w:w="1673" w:type="dxa"/>
            <w:vAlign w:val="center"/>
          </w:tcPr>
          <w:p w14:paraId="4188C94E" w14:textId="77777777" w:rsidR="00A2049A" w:rsidRDefault="0029186B">
            <w:pPr>
              <w:snapToGrid w:val="0"/>
              <w:ind w:leftChars="26" w:left="77" w:hanging="15"/>
              <w:jc w:val="center"/>
              <w:rPr>
                <w:rFonts w:ascii="宋体" w:hAnsi="宋体"/>
                <w:szCs w:val="24"/>
              </w:rPr>
            </w:pPr>
            <w:r>
              <w:rPr>
                <w:rFonts w:ascii="宋体" w:hAnsi="宋体" w:hint="eastAsia"/>
                <w:kern w:val="0"/>
              </w:rPr>
              <w:t>理财产品托管人</w:t>
            </w:r>
          </w:p>
        </w:tc>
        <w:tc>
          <w:tcPr>
            <w:tcW w:w="7541" w:type="dxa"/>
            <w:gridSpan w:val="4"/>
            <w:vAlign w:val="center"/>
          </w:tcPr>
          <w:p w14:paraId="0451712E" w14:textId="77777777" w:rsidR="00A2049A" w:rsidRDefault="0029186B">
            <w:pPr>
              <w:snapToGrid w:val="0"/>
              <w:rPr>
                <w:rFonts w:ascii="宋体" w:hAnsi="宋体"/>
                <w:szCs w:val="24"/>
              </w:rPr>
            </w:pPr>
            <w:r>
              <w:rPr>
                <w:rFonts w:ascii="宋体" w:hAnsi="宋体" w:cs="宋体" w:hint="eastAsia"/>
                <w:kern w:val="0"/>
              </w:rPr>
              <w:t>浙商银行股份有限公司</w:t>
            </w:r>
          </w:p>
        </w:tc>
      </w:tr>
      <w:tr w:rsidR="00A2049A" w14:paraId="068840DA" w14:textId="77777777">
        <w:trPr>
          <w:trHeight w:val="425"/>
        </w:trPr>
        <w:tc>
          <w:tcPr>
            <w:tcW w:w="1673" w:type="dxa"/>
            <w:vAlign w:val="center"/>
          </w:tcPr>
          <w:p w14:paraId="0EE3B1B0" w14:textId="77777777" w:rsidR="00A2049A" w:rsidRDefault="0029186B">
            <w:pPr>
              <w:snapToGrid w:val="0"/>
              <w:ind w:leftChars="26" w:left="77" w:hanging="15"/>
              <w:jc w:val="center"/>
              <w:rPr>
                <w:rFonts w:ascii="宋体" w:hAnsi="宋体"/>
                <w:szCs w:val="24"/>
              </w:rPr>
            </w:pPr>
            <w:r>
              <w:rPr>
                <w:rFonts w:ascii="宋体" w:hAnsi="宋体" w:hint="eastAsia"/>
                <w:szCs w:val="24"/>
              </w:rPr>
              <w:t>发行方式</w:t>
            </w:r>
          </w:p>
        </w:tc>
        <w:tc>
          <w:tcPr>
            <w:tcW w:w="7541" w:type="dxa"/>
            <w:gridSpan w:val="4"/>
            <w:vAlign w:val="center"/>
          </w:tcPr>
          <w:p w14:paraId="6D705ACE" w14:textId="77777777" w:rsidR="00A2049A" w:rsidRDefault="0029186B">
            <w:pPr>
              <w:snapToGrid w:val="0"/>
              <w:rPr>
                <w:rFonts w:ascii="宋体" w:hAnsi="宋体"/>
                <w:szCs w:val="24"/>
              </w:rPr>
            </w:pPr>
            <w:r>
              <w:rPr>
                <w:rFonts w:ascii="宋体" w:hAnsi="宋体" w:hint="eastAsia"/>
                <w:b/>
                <w:bCs/>
                <w:szCs w:val="24"/>
              </w:rPr>
              <w:t>【公募</w:t>
            </w:r>
            <w:r>
              <w:rPr>
                <w:rFonts w:ascii="宋体" w:hAnsi="宋体"/>
                <w:b/>
                <w:bCs/>
                <w:szCs w:val="24"/>
              </w:rPr>
              <w:t>】</w:t>
            </w:r>
            <w:r>
              <w:rPr>
                <w:rFonts w:ascii="宋体" w:hAnsi="宋体" w:hint="eastAsia"/>
                <w:b/>
                <w:bCs/>
                <w:szCs w:val="24"/>
              </w:rPr>
              <w:t>发行</w:t>
            </w:r>
          </w:p>
        </w:tc>
      </w:tr>
      <w:tr w:rsidR="00A2049A" w14:paraId="0C8EDDD4" w14:textId="77777777">
        <w:trPr>
          <w:trHeight w:val="425"/>
        </w:trPr>
        <w:tc>
          <w:tcPr>
            <w:tcW w:w="1673" w:type="dxa"/>
            <w:vAlign w:val="center"/>
          </w:tcPr>
          <w:p w14:paraId="0B386D66" w14:textId="77777777" w:rsidR="00A2049A" w:rsidRDefault="0029186B">
            <w:pPr>
              <w:snapToGrid w:val="0"/>
              <w:ind w:leftChars="26" w:left="77" w:hanging="15"/>
              <w:jc w:val="center"/>
              <w:rPr>
                <w:rFonts w:ascii="宋体" w:hAnsi="宋体"/>
                <w:szCs w:val="24"/>
              </w:rPr>
            </w:pPr>
            <w:r>
              <w:rPr>
                <w:rFonts w:ascii="宋体" w:hAnsi="宋体" w:hint="eastAsia"/>
                <w:szCs w:val="24"/>
              </w:rPr>
              <w:t>理财本金及收益类型</w:t>
            </w:r>
          </w:p>
        </w:tc>
        <w:tc>
          <w:tcPr>
            <w:tcW w:w="7541" w:type="dxa"/>
            <w:gridSpan w:val="4"/>
            <w:vAlign w:val="center"/>
          </w:tcPr>
          <w:p w14:paraId="23342EED" w14:textId="77777777" w:rsidR="00A2049A" w:rsidRDefault="0029186B">
            <w:pPr>
              <w:snapToGrid w:val="0"/>
              <w:rPr>
                <w:rFonts w:ascii="宋体" w:hAnsi="宋体"/>
                <w:szCs w:val="24"/>
              </w:rPr>
            </w:pPr>
            <w:r>
              <w:rPr>
                <w:rFonts w:ascii="宋体" w:hAnsi="宋体" w:hint="eastAsia"/>
                <w:szCs w:val="24"/>
              </w:rPr>
              <w:t>非保本浮动收益。本产品不保证理财本金且不保证收益。本产品的收益随投资收益浮动，投资者可能会因市场变动而蒙受损失。</w:t>
            </w:r>
          </w:p>
          <w:p w14:paraId="06F69289" w14:textId="77777777" w:rsidR="00A2049A" w:rsidRDefault="0029186B">
            <w:pPr>
              <w:snapToGrid w:val="0"/>
              <w:rPr>
                <w:rFonts w:ascii="宋体" w:hAnsi="宋体"/>
                <w:szCs w:val="24"/>
              </w:rPr>
            </w:pPr>
            <w:r>
              <w:rPr>
                <w:rFonts w:ascii="宋体" w:hAnsi="宋体" w:hint="eastAsia"/>
                <w:szCs w:val="24"/>
              </w:rPr>
              <w:t>理财产品管理人对本产品的本金并不提供保证，也不承诺任何固定收益。</w:t>
            </w:r>
          </w:p>
        </w:tc>
      </w:tr>
      <w:tr w:rsidR="00A2049A" w14:paraId="36AD23A4" w14:textId="77777777">
        <w:trPr>
          <w:trHeight w:val="425"/>
        </w:trPr>
        <w:tc>
          <w:tcPr>
            <w:tcW w:w="1673" w:type="dxa"/>
            <w:vAlign w:val="center"/>
          </w:tcPr>
          <w:p w14:paraId="38A04DCA" w14:textId="77777777" w:rsidR="00A2049A" w:rsidRDefault="0029186B">
            <w:pPr>
              <w:snapToGrid w:val="0"/>
              <w:ind w:leftChars="26" w:left="77" w:hanging="15"/>
              <w:jc w:val="center"/>
              <w:rPr>
                <w:rFonts w:ascii="宋体" w:hAnsi="宋体"/>
                <w:szCs w:val="24"/>
              </w:rPr>
            </w:pPr>
            <w:r>
              <w:rPr>
                <w:rFonts w:ascii="宋体" w:hAnsi="宋体" w:hint="eastAsia"/>
                <w:szCs w:val="24"/>
              </w:rPr>
              <w:t>产品类型</w:t>
            </w:r>
          </w:p>
        </w:tc>
        <w:tc>
          <w:tcPr>
            <w:tcW w:w="7541" w:type="dxa"/>
            <w:gridSpan w:val="4"/>
            <w:vAlign w:val="center"/>
          </w:tcPr>
          <w:p w14:paraId="6653B990" w14:textId="77777777" w:rsidR="00A2049A" w:rsidRDefault="0029186B">
            <w:pPr>
              <w:snapToGrid w:val="0"/>
              <w:rPr>
                <w:rFonts w:ascii="宋体" w:hAnsi="宋体"/>
                <w:szCs w:val="24"/>
              </w:rPr>
            </w:pPr>
            <w:r>
              <w:rPr>
                <w:rFonts w:ascii="宋体" w:hAnsi="宋体" w:hint="eastAsia"/>
                <w:szCs w:val="24"/>
              </w:rPr>
              <w:t>固定收益类</w:t>
            </w:r>
          </w:p>
        </w:tc>
      </w:tr>
      <w:tr w:rsidR="00A2049A" w14:paraId="73975F53" w14:textId="77777777">
        <w:trPr>
          <w:trHeight w:val="425"/>
        </w:trPr>
        <w:tc>
          <w:tcPr>
            <w:tcW w:w="1673" w:type="dxa"/>
            <w:vAlign w:val="center"/>
          </w:tcPr>
          <w:p w14:paraId="4BE19D0D" w14:textId="77777777" w:rsidR="00A2049A" w:rsidRDefault="0029186B">
            <w:pPr>
              <w:snapToGrid w:val="0"/>
              <w:ind w:leftChars="26" w:left="77" w:hanging="15"/>
              <w:jc w:val="center"/>
              <w:rPr>
                <w:rFonts w:ascii="宋体" w:hAnsi="宋体"/>
                <w:szCs w:val="24"/>
              </w:rPr>
            </w:pPr>
            <w:r>
              <w:rPr>
                <w:rFonts w:ascii="宋体" w:hAnsi="宋体" w:hint="eastAsia"/>
                <w:szCs w:val="24"/>
              </w:rPr>
              <w:t>产品</w:t>
            </w:r>
            <w:r>
              <w:rPr>
                <w:rFonts w:ascii="宋体" w:hAnsi="宋体"/>
                <w:szCs w:val="24"/>
              </w:rPr>
              <w:t>运作</w:t>
            </w:r>
            <w:r>
              <w:rPr>
                <w:rFonts w:ascii="宋体" w:hAnsi="宋体" w:hint="eastAsia"/>
                <w:szCs w:val="24"/>
              </w:rPr>
              <w:t>模式</w:t>
            </w:r>
          </w:p>
        </w:tc>
        <w:tc>
          <w:tcPr>
            <w:tcW w:w="7541" w:type="dxa"/>
            <w:gridSpan w:val="4"/>
            <w:vAlign w:val="center"/>
          </w:tcPr>
          <w:p w14:paraId="5D8CD988" w14:textId="77777777" w:rsidR="00A2049A" w:rsidRDefault="0029186B">
            <w:pPr>
              <w:snapToGrid w:val="0"/>
              <w:rPr>
                <w:rFonts w:ascii="宋体" w:hAnsi="宋体"/>
                <w:szCs w:val="24"/>
              </w:rPr>
            </w:pPr>
            <w:r>
              <w:rPr>
                <w:rFonts w:ascii="宋体" w:hAnsi="宋体" w:hint="eastAsia"/>
                <w:szCs w:val="24"/>
              </w:rPr>
              <w:t>封闭式净值型</w:t>
            </w:r>
          </w:p>
        </w:tc>
      </w:tr>
      <w:tr w:rsidR="00A2049A" w14:paraId="08B8B085" w14:textId="77777777">
        <w:trPr>
          <w:trHeight w:val="425"/>
        </w:trPr>
        <w:tc>
          <w:tcPr>
            <w:tcW w:w="1673" w:type="dxa"/>
            <w:vAlign w:val="center"/>
          </w:tcPr>
          <w:p w14:paraId="6DB7A89F" w14:textId="77777777" w:rsidR="00A2049A" w:rsidRDefault="0029186B">
            <w:pPr>
              <w:autoSpaceDE w:val="0"/>
              <w:autoSpaceDN w:val="0"/>
              <w:adjustRightInd w:val="0"/>
              <w:snapToGrid w:val="0"/>
              <w:ind w:leftChars="26" w:left="77" w:hanging="15"/>
              <w:jc w:val="center"/>
              <w:rPr>
                <w:rFonts w:ascii="宋体" w:hAnsi="宋体"/>
                <w:szCs w:val="24"/>
              </w:rPr>
            </w:pPr>
            <w:r>
              <w:rPr>
                <w:rFonts w:ascii="宋体" w:hAnsi="宋体" w:hint="eastAsia"/>
                <w:szCs w:val="24"/>
              </w:rPr>
              <w:t>理财币种</w:t>
            </w:r>
          </w:p>
        </w:tc>
        <w:tc>
          <w:tcPr>
            <w:tcW w:w="7541" w:type="dxa"/>
            <w:gridSpan w:val="4"/>
            <w:vAlign w:val="center"/>
          </w:tcPr>
          <w:p w14:paraId="1035EA18" w14:textId="77777777" w:rsidR="00A2049A" w:rsidRDefault="0029186B">
            <w:pPr>
              <w:autoSpaceDE w:val="0"/>
              <w:autoSpaceDN w:val="0"/>
              <w:adjustRightInd w:val="0"/>
              <w:snapToGrid w:val="0"/>
              <w:rPr>
                <w:rFonts w:ascii="宋体" w:hAnsi="宋体"/>
                <w:szCs w:val="24"/>
              </w:rPr>
            </w:pPr>
            <w:r>
              <w:rPr>
                <w:rFonts w:ascii="宋体" w:hAnsi="宋体" w:hint="eastAsia"/>
                <w:szCs w:val="24"/>
              </w:rPr>
              <w:t>人民币</w:t>
            </w:r>
          </w:p>
        </w:tc>
      </w:tr>
      <w:tr w:rsidR="00A2049A" w14:paraId="26C53B19" w14:textId="77777777">
        <w:trPr>
          <w:trHeight w:val="425"/>
        </w:trPr>
        <w:tc>
          <w:tcPr>
            <w:tcW w:w="1673" w:type="dxa"/>
            <w:vAlign w:val="center"/>
          </w:tcPr>
          <w:p w14:paraId="256DBEF5" w14:textId="77777777" w:rsidR="00A2049A" w:rsidRDefault="0029186B">
            <w:pPr>
              <w:snapToGrid w:val="0"/>
              <w:ind w:leftChars="26" w:left="77" w:hanging="15"/>
              <w:jc w:val="center"/>
              <w:rPr>
                <w:rFonts w:ascii="宋体" w:hAnsi="宋体"/>
                <w:szCs w:val="24"/>
              </w:rPr>
            </w:pPr>
            <w:r>
              <w:rPr>
                <w:rFonts w:ascii="宋体" w:hAnsi="宋体" w:hint="eastAsia"/>
                <w:szCs w:val="24"/>
              </w:rPr>
              <w:t>产品风险等级</w:t>
            </w:r>
          </w:p>
        </w:tc>
        <w:tc>
          <w:tcPr>
            <w:tcW w:w="7541" w:type="dxa"/>
            <w:gridSpan w:val="4"/>
            <w:vAlign w:val="center"/>
          </w:tcPr>
          <w:p w14:paraId="37BC9E83" w14:textId="77777777" w:rsidR="00A2049A" w:rsidRDefault="0029186B">
            <w:pPr>
              <w:widowControl/>
              <w:tabs>
                <w:tab w:val="left" w:pos="709"/>
              </w:tabs>
              <w:snapToGrid w:val="0"/>
              <w:rPr>
                <w:rFonts w:ascii="宋体" w:hAnsi="宋体"/>
                <w:szCs w:val="24"/>
              </w:rPr>
            </w:pPr>
            <w:r>
              <w:rPr>
                <w:rFonts w:ascii="宋体" w:hAnsi="宋体" w:hint="eastAsia"/>
                <w:b/>
                <w:bCs/>
                <w:szCs w:val="24"/>
              </w:rPr>
              <w:t>【</w:t>
            </w:r>
            <w:r>
              <w:rPr>
                <w:rFonts w:ascii="宋体" w:hAnsi="宋体" w:hint="eastAsia"/>
                <w:b/>
                <w:bCs/>
                <w:szCs w:val="24"/>
              </w:rPr>
              <w:t>R</w:t>
            </w:r>
            <w:r>
              <w:rPr>
                <w:rFonts w:ascii="宋体" w:hAnsi="宋体" w:hint="eastAsia"/>
                <w:b/>
                <w:bCs/>
                <w:szCs w:val="24"/>
              </w:rPr>
              <w:t>2</w:t>
            </w:r>
            <w:r>
              <w:rPr>
                <w:rFonts w:ascii="宋体" w:hAnsi="宋体" w:hint="eastAsia"/>
                <w:b/>
                <w:bCs/>
                <w:szCs w:val="24"/>
              </w:rPr>
              <w:t>】对应风险等级为【</w:t>
            </w:r>
            <w:r>
              <w:rPr>
                <w:rFonts w:ascii="宋体" w:hAnsi="宋体" w:hint="eastAsia"/>
                <w:b/>
                <w:bCs/>
                <w:szCs w:val="24"/>
              </w:rPr>
              <w:t>中</w:t>
            </w:r>
            <w:r>
              <w:rPr>
                <w:rFonts w:ascii="宋体" w:hAnsi="宋体" w:hint="eastAsia"/>
                <w:b/>
                <w:bCs/>
                <w:szCs w:val="24"/>
              </w:rPr>
              <w:t>低风险】</w:t>
            </w:r>
            <w:r>
              <w:rPr>
                <w:rFonts w:ascii="宋体" w:hAnsi="宋体" w:hint="eastAsia"/>
                <w:szCs w:val="24"/>
              </w:rPr>
              <w:t>。</w:t>
            </w:r>
          </w:p>
          <w:p w14:paraId="1B320B5C" w14:textId="77777777" w:rsidR="00A2049A" w:rsidRDefault="0029186B">
            <w:pPr>
              <w:widowControl/>
              <w:tabs>
                <w:tab w:val="left" w:pos="709"/>
              </w:tabs>
              <w:snapToGrid w:val="0"/>
              <w:rPr>
                <w:rFonts w:ascii="宋体" w:hAnsi="宋体"/>
                <w:szCs w:val="24"/>
              </w:rPr>
            </w:pPr>
            <w:r>
              <w:rPr>
                <w:rFonts w:ascii="宋体" w:hAnsi="宋体" w:hint="eastAsia"/>
                <w:szCs w:val="24"/>
              </w:rPr>
              <w:t>本评级为管理人内部测评结果，仅供投资者参考。</w:t>
            </w:r>
            <w:r>
              <w:rPr>
                <w:rFonts w:ascii="宋体" w:hAnsi="宋体" w:hint="eastAsia"/>
                <w:b/>
                <w:szCs w:val="24"/>
              </w:rPr>
              <w:t>本产品通过代理销售机构渠道销售的，理财产品评级应当以代理销售机构最终披露的评级</w:t>
            </w:r>
            <w:r>
              <w:rPr>
                <w:rFonts w:ascii="宋体" w:hAnsi="宋体" w:hint="eastAsia"/>
                <w:b/>
                <w:szCs w:val="24"/>
              </w:rPr>
              <w:lastRenderedPageBreak/>
              <w:t>结果为准。</w:t>
            </w:r>
            <w:r>
              <w:rPr>
                <w:rFonts w:ascii="宋体" w:hAnsi="宋体"/>
                <w:szCs w:val="24"/>
              </w:rPr>
              <w:t>(</w:t>
            </w:r>
            <w:r>
              <w:rPr>
                <w:rFonts w:ascii="宋体" w:hAnsi="宋体" w:hint="eastAsia"/>
                <w:szCs w:val="24"/>
              </w:rPr>
              <w:t>管理</w:t>
            </w:r>
            <w:r>
              <w:rPr>
                <w:rFonts w:ascii="宋体" w:hAnsi="宋体"/>
                <w:szCs w:val="24"/>
              </w:rPr>
              <w:t>人与</w:t>
            </w:r>
            <w:r>
              <w:rPr>
                <w:rFonts w:ascii="宋体" w:hAnsi="宋体" w:hint="eastAsia"/>
                <w:szCs w:val="24"/>
              </w:rPr>
              <w:t>代理</w:t>
            </w:r>
            <w:r>
              <w:rPr>
                <w:rFonts w:ascii="宋体" w:hAnsi="宋体"/>
                <w:szCs w:val="24"/>
              </w:rPr>
              <w:t>销售机构</w:t>
            </w:r>
            <w:r>
              <w:rPr>
                <w:rFonts w:ascii="宋体" w:hAnsi="宋体" w:hint="eastAsia"/>
                <w:szCs w:val="24"/>
              </w:rPr>
              <w:t>的</w:t>
            </w:r>
            <w:r>
              <w:rPr>
                <w:rFonts w:ascii="宋体" w:hAnsi="宋体"/>
                <w:szCs w:val="24"/>
              </w:rPr>
              <w:t>风险</w:t>
            </w:r>
            <w:r>
              <w:rPr>
                <w:rFonts w:ascii="宋体" w:hAnsi="宋体" w:hint="eastAsia"/>
                <w:szCs w:val="24"/>
              </w:rPr>
              <w:t>等级评估结果</w:t>
            </w:r>
            <w:r>
              <w:rPr>
                <w:rFonts w:ascii="宋体" w:hAnsi="宋体"/>
                <w:szCs w:val="24"/>
              </w:rPr>
              <w:t>不一致的应采用</w:t>
            </w:r>
            <w:r>
              <w:rPr>
                <w:rFonts w:ascii="宋体" w:hAnsi="宋体" w:hint="eastAsia"/>
                <w:szCs w:val="24"/>
              </w:rPr>
              <w:t>对应</w:t>
            </w:r>
            <w:r>
              <w:rPr>
                <w:rFonts w:ascii="宋体" w:hAnsi="宋体"/>
                <w:szCs w:val="24"/>
              </w:rPr>
              <w:t>较高风险</w:t>
            </w:r>
            <w:r>
              <w:rPr>
                <w:rFonts w:ascii="宋体" w:hAnsi="宋体" w:hint="eastAsia"/>
                <w:szCs w:val="24"/>
              </w:rPr>
              <w:t>的</w:t>
            </w:r>
            <w:r>
              <w:rPr>
                <w:rFonts w:ascii="宋体" w:hAnsi="宋体"/>
                <w:szCs w:val="24"/>
              </w:rPr>
              <w:t>评级</w:t>
            </w:r>
            <w:r>
              <w:rPr>
                <w:rFonts w:ascii="宋体" w:hAnsi="宋体" w:hint="eastAsia"/>
                <w:szCs w:val="24"/>
              </w:rPr>
              <w:t>结果。</w:t>
            </w:r>
            <w:r>
              <w:rPr>
                <w:rFonts w:ascii="宋体" w:hAnsi="宋体"/>
                <w:szCs w:val="24"/>
              </w:rPr>
              <w:t>)</w:t>
            </w:r>
          </w:p>
          <w:p w14:paraId="10D6CC02" w14:textId="77777777" w:rsidR="00A2049A" w:rsidRDefault="0029186B">
            <w:pPr>
              <w:widowControl/>
              <w:tabs>
                <w:tab w:val="left" w:pos="709"/>
              </w:tabs>
              <w:snapToGrid w:val="0"/>
              <w:rPr>
                <w:rFonts w:ascii="宋体" w:hAnsi="宋体"/>
                <w:szCs w:val="24"/>
              </w:rPr>
            </w:pPr>
            <w:r>
              <w:rPr>
                <w:rFonts w:ascii="宋体" w:hAnsi="宋体" w:hint="eastAsia"/>
                <w:b/>
                <w:bCs/>
                <w:szCs w:val="24"/>
              </w:rPr>
              <w:t>产品管理人在符合监管政策的前提下可对产品风险评级进行动态管理，如产品风险等级发生调整，将提前通过本《产品说明书》“信息披露”约定的方式通知投资者。</w:t>
            </w:r>
          </w:p>
        </w:tc>
      </w:tr>
      <w:tr w:rsidR="00A2049A" w14:paraId="1B5A42BA" w14:textId="77777777">
        <w:trPr>
          <w:trHeight w:val="425"/>
        </w:trPr>
        <w:tc>
          <w:tcPr>
            <w:tcW w:w="1673" w:type="dxa"/>
            <w:vAlign w:val="center"/>
          </w:tcPr>
          <w:p w14:paraId="36D4BFBD" w14:textId="77777777" w:rsidR="00A2049A" w:rsidRDefault="0029186B">
            <w:pPr>
              <w:snapToGrid w:val="0"/>
              <w:ind w:leftChars="26" w:left="77" w:hanging="15"/>
              <w:jc w:val="center"/>
              <w:rPr>
                <w:rFonts w:ascii="宋体" w:hAnsi="宋体" w:cs="宋体"/>
                <w:szCs w:val="24"/>
              </w:rPr>
            </w:pPr>
            <w:r>
              <w:rPr>
                <w:rFonts w:ascii="宋体" w:hAnsi="宋体" w:hint="eastAsia"/>
                <w:szCs w:val="24"/>
              </w:rPr>
              <w:lastRenderedPageBreak/>
              <w:t>投资者范围</w:t>
            </w:r>
          </w:p>
        </w:tc>
        <w:tc>
          <w:tcPr>
            <w:tcW w:w="7541" w:type="dxa"/>
            <w:gridSpan w:val="4"/>
            <w:vAlign w:val="center"/>
          </w:tcPr>
          <w:p w14:paraId="7022C541" w14:textId="77777777" w:rsidR="00A2049A" w:rsidRDefault="0029186B">
            <w:pPr>
              <w:snapToGrid w:val="0"/>
              <w:rPr>
                <w:rFonts w:ascii="宋体" w:hAnsi="宋体"/>
                <w:szCs w:val="24"/>
              </w:rPr>
            </w:pPr>
            <w:r>
              <w:rPr>
                <w:rFonts w:ascii="宋体" w:hAnsi="宋体" w:hint="eastAsia"/>
                <w:szCs w:val="24"/>
              </w:rPr>
              <w:t>不特定社会公众（个人</w:t>
            </w:r>
            <w:r>
              <w:rPr>
                <w:rFonts w:ascii="宋体" w:hAnsi="宋体" w:hint="eastAsia"/>
                <w:szCs w:val="24"/>
              </w:rPr>
              <w:t>、</w:t>
            </w:r>
            <w:r>
              <w:rPr>
                <w:rFonts w:ascii="宋体" w:hAnsi="宋体" w:hint="eastAsia"/>
                <w:szCs w:val="24"/>
              </w:rPr>
              <w:t>机构</w:t>
            </w:r>
            <w:r>
              <w:rPr>
                <w:rFonts w:ascii="宋体" w:hAnsi="宋体" w:hint="eastAsia"/>
                <w:szCs w:val="24"/>
              </w:rPr>
              <w:t>投资者）；其中，普通投资者应符合相关法律法规、监管规定，经销售机构评估评定投资者风险承受能力与本产品风险等级相适应。</w:t>
            </w:r>
          </w:p>
          <w:p w14:paraId="39E4B1C4" w14:textId="77777777" w:rsidR="00A2049A" w:rsidRDefault="0029186B">
            <w:pPr>
              <w:snapToGrid w:val="0"/>
              <w:rPr>
                <w:rFonts w:ascii="宋体" w:hAnsi="宋体"/>
                <w:szCs w:val="24"/>
              </w:rPr>
            </w:pPr>
            <w:r>
              <w:rPr>
                <w:rFonts w:ascii="宋体" w:hAnsi="宋体" w:hint="eastAsia"/>
                <w:szCs w:val="24"/>
              </w:rPr>
              <w:t>本产品通过销售机构销售的，产品风险等级应当以销售机构最终披露的评级结果为准。</w:t>
            </w:r>
          </w:p>
        </w:tc>
      </w:tr>
      <w:tr w:rsidR="00A2049A" w14:paraId="30B3F784" w14:textId="77777777">
        <w:trPr>
          <w:trHeight w:val="425"/>
        </w:trPr>
        <w:tc>
          <w:tcPr>
            <w:tcW w:w="1673" w:type="dxa"/>
            <w:vAlign w:val="center"/>
          </w:tcPr>
          <w:p w14:paraId="5DFA97B0" w14:textId="77777777" w:rsidR="00A2049A" w:rsidRDefault="0029186B">
            <w:pPr>
              <w:snapToGrid w:val="0"/>
              <w:ind w:leftChars="26" w:left="77" w:hanging="15"/>
              <w:jc w:val="center"/>
              <w:rPr>
                <w:rFonts w:ascii="宋体" w:hAnsi="宋体"/>
                <w:szCs w:val="24"/>
              </w:rPr>
            </w:pPr>
            <w:r>
              <w:rPr>
                <w:rFonts w:ascii="宋体" w:hAnsi="宋体" w:hint="eastAsia"/>
                <w:szCs w:val="24"/>
              </w:rPr>
              <w:t>认购、申购起点金额及递增</w:t>
            </w:r>
            <w:r>
              <w:rPr>
                <w:rFonts w:ascii="宋体" w:hAnsi="宋体"/>
                <w:szCs w:val="24"/>
              </w:rPr>
              <w:t>金额</w:t>
            </w:r>
          </w:p>
        </w:tc>
        <w:tc>
          <w:tcPr>
            <w:tcW w:w="7541" w:type="dxa"/>
            <w:gridSpan w:val="4"/>
            <w:vAlign w:val="center"/>
          </w:tcPr>
          <w:p w14:paraId="63CEDD85" w14:textId="77777777" w:rsidR="00A2049A" w:rsidRDefault="0029186B">
            <w:pPr>
              <w:snapToGrid w:val="0"/>
              <w:rPr>
                <w:rFonts w:ascii="宋体" w:hAnsi="宋体"/>
                <w:szCs w:val="24"/>
              </w:rPr>
            </w:pPr>
            <w:r>
              <w:rPr>
                <w:rFonts w:ascii="宋体" w:hAnsi="宋体" w:hint="eastAsia"/>
                <w:szCs w:val="24"/>
              </w:rPr>
              <w:t>【</w:t>
            </w:r>
            <w:r>
              <w:rPr>
                <w:rFonts w:ascii="宋体" w:hAnsi="宋体" w:hint="eastAsia"/>
                <w:szCs w:val="24"/>
              </w:rPr>
              <w:t>A</w:t>
            </w:r>
            <w:r>
              <w:rPr>
                <w:rFonts w:ascii="宋体" w:hAnsi="宋体" w:hint="eastAsia"/>
                <w:szCs w:val="24"/>
              </w:rPr>
              <w:t>份额】认购起点为</w:t>
            </w:r>
            <w:r>
              <w:rPr>
                <w:rFonts w:ascii="宋体" w:hAnsi="宋体" w:hint="eastAsia"/>
                <w:szCs w:val="24"/>
              </w:rPr>
              <w:t>【</w:t>
            </w:r>
            <w:r>
              <w:rPr>
                <w:rFonts w:ascii="宋体" w:hAnsi="宋体" w:hint="eastAsia"/>
                <w:szCs w:val="24"/>
              </w:rPr>
              <w:t>1</w:t>
            </w:r>
            <w:r>
              <w:rPr>
                <w:rFonts w:ascii="宋体" w:hAnsi="宋体" w:hint="eastAsia"/>
                <w:szCs w:val="24"/>
              </w:rPr>
              <w:t>】元</w:t>
            </w:r>
            <w:r>
              <w:rPr>
                <w:rFonts w:ascii="宋体" w:hAnsi="宋体" w:hint="eastAsia"/>
                <w:szCs w:val="24"/>
              </w:rPr>
              <w:t>，超过部分以</w:t>
            </w:r>
            <w:r>
              <w:rPr>
                <w:rFonts w:ascii="宋体" w:hAnsi="宋体" w:hint="eastAsia"/>
                <w:szCs w:val="24"/>
              </w:rPr>
              <w:t>【</w:t>
            </w:r>
            <w:r>
              <w:rPr>
                <w:rFonts w:ascii="宋体" w:hAnsi="宋体" w:hint="eastAsia"/>
                <w:szCs w:val="24"/>
              </w:rPr>
              <w:t>0.01</w:t>
            </w:r>
            <w:r>
              <w:rPr>
                <w:rFonts w:ascii="宋体" w:hAnsi="宋体" w:hint="eastAsia"/>
                <w:szCs w:val="24"/>
              </w:rPr>
              <w:t>】元</w:t>
            </w:r>
            <w:r>
              <w:rPr>
                <w:rFonts w:ascii="宋体" w:hAnsi="宋体" w:hint="eastAsia"/>
                <w:szCs w:val="24"/>
              </w:rPr>
              <w:t>的整数倍增加。</w:t>
            </w:r>
          </w:p>
          <w:p w14:paraId="16D44F36" w14:textId="77777777" w:rsidR="00A2049A" w:rsidRDefault="0029186B">
            <w:pPr>
              <w:snapToGrid w:val="0"/>
              <w:rPr>
                <w:rFonts w:ascii="宋体" w:hAnsi="宋体"/>
                <w:szCs w:val="24"/>
              </w:rPr>
            </w:pPr>
            <w:r>
              <w:rPr>
                <w:rFonts w:ascii="宋体" w:hAnsi="宋体" w:hint="eastAsia"/>
                <w:szCs w:val="24"/>
              </w:rPr>
              <w:t>【</w:t>
            </w:r>
            <w:r>
              <w:rPr>
                <w:rFonts w:ascii="宋体" w:hAnsi="宋体" w:hint="eastAsia"/>
                <w:szCs w:val="24"/>
              </w:rPr>
              <w:t>B</w:t>
            </w:r>
            <w:r>
              <w:rPr>
                <w:rFonts w:ascii="宋体" w:hAnsi="宋体" w:hint="eastAsia"/>
                <w:szCs w:val="24"/>
              </w:rPr>
              <w:t>份额】认购起点为</w:t>
            </w:r>
            <w:r>
              <w:rPr>
                <w:rFonts w:ascii="宋体" w:hAnsi="宋体" w:hint="eastAsia"/>
                <w:szCs w:val="24"/>
              </w:rPr>
              <w:t>【</w:t>
            </w:r>
            <w:r>
              <w:rPr>
                <w:rFonts w:ascii="宋体" w:hAnsi="宋体" w:hint="eastAsia"/>
                <w:szCs w:val="24"/>
              </w:rPr>
              <w:t>1</w:t>
            </w:r>
            <w:r>
              <w:rPr>
                <w:rFonts w:ascii="宋体" w:hAnsi="宋体" w:hint="eastAsia"/>
                <w:szCs w:val="24"/>
              </w:rPr>
              <w:t>】元</w:t>
            </w:r>
            <w:r>
              <w:rPr>
                <w:rFonts w:ascii="宋体" w:hAnsi="宋体" w:hint="eastAsia"/>
                <w:szCs w:val="24"/>
              </w:rPr>
              <w:t>，超过部分以</w:t>
            </w:r>
            <w:r>
              <w:rPr>
                <w:rFonts w:ascii="宋体" w:hAnsi="宋体" w:hint="eastAsia"/>
                <w:szCs w:val="24"/>
              </w:rPr>
              <w:t>【</w:t>
            </w:r>
            <w:r>
              <w:rPr>
                <w:rFonts w:ascii="宋体" w:hAnsi="宋体" w:hint="eastAsia"/>
                <w:szCs w:val="24"/>
              </w:rPr>
              <w:t>0.01</w:t>
            </w:r>
            <w:r>
              <w:rPr>
                <w:rFonts w:ascii="宋体" w:hAnsi="宋体" w:hint="eastAsia"/>
                <w:szCs w:val="24"/>
              </w:rPr>
              <w:t>】元</w:t>
            </w:r>
            <w:r>
              <w:rPr>
                <w:rFonts w:ascii="宋体" w:hAnsi="宋体" w:hint="eastAsia"/>
                <w:szCs w:val="24"/>
              </w:rPr>
              <w:t>的整数倍增加。</w:t>
            </w:r>
          </w:p>
          <w:p w14:paraId="2BDB3CFC" w14:textId="77777777" w:rsidR="00A2049A" w:rsidRDefault="0029186B">
            <w:pPr>
              <w:snapToGrid w:val="0"/>
              <w:rPr>
                <w:rFonts w:ascii="宋体" w:hAnsi="宋体"/>
                <w:szCs w:val="24"/>
              </w:rPr>
            </w:pPr>
            <w:r>
              <w:rPr>
                <w:rFonts w:ascii="宋体" w:hAnsi="宋体" w:hint="eastAsia"/>
                <w:szCs w:val="24"/>
              </w:rPr>
              <w:t>【</w:t>
            </w:r>
            <w:r>
              <w:rPr>
                <w:rFonts w:ascii="宋体" w:hAnsi="宋体" w:hint="eastAsia"/>
                <w:szCs w:val="24"/>
              </w:rPr>
              <w:t>C</w:t>
            </w:r>
            <w:r>
              <w:rPr>
                <w:rFonts w:ascii="宋体" w:hAnsi="宋体" w:hint="eastAsia"/>
                <w:szCs w:val="24"/>
              </w:rPr>
              <w:t>份额</w:t>
            </w:r>
            <w:r>
              <w:rPr>
                <w:rFonts w:ascii="宋体" w:hAnsi="宋体" w:hint="eastAsia"/>
                <w:szCs w:val="24"/>
              </w:rPr>
              <w:t>】认购起点为</w:t>
            </w:r>
            <w:r>
              <w:rPr>
                <w:rFonts w:ascii="宋体" w:hAnsi="宋体" w:hint="eastAsia"/>
                <w:szCs w:val="24"/>
              </w:rPr>
              <w:t>【</w:t>
            </w:r>
            <w:r>
              <w:rPr>
                <w:rFonts w:ascii="宋体" w:hAnsi="宋体" w:hint="eastAsia"/>
                <w:szCs w:val="24"/>
              </w:rPr>
              <w:t>1</w:t>
            </w:r>
            <w:r>
              <w:rPr>
                <w:rFonts w:ascii="宋体" w:hAnsi="宋体" w:hint="eastAsia"/>
                <w:szCs w:val="24"/>
              </w:rPr>
              <w:t>】元</w:t>
            </w:r>
            <w:r>
              <w:rPr>
                <w:rFonts w:ascii="宋体" w:hAnsi="宋体" w:hint="eastAsia"/>
                <w:szCs w:val="24"/>
              </w:rPr>
              <w:t>，超过部分以</w:t>
            </w:r>
            <w:r>
              <w:rPr>
                <w:rFonts w:ascii="宋体" w:hAnsi="宋体" w:hint="eastAsia"/>
                <w:szCs w:val="24"/>
              </w:rPr>
              <w:t>【</w:t>
            </w:r>
            <w:r>
              <w:rPr>
                <w:rFonts w:ascii="宋体" w:hAnsi="宋体" w:hint="eastAsia"/>
                <w:szCs w:val="24"/>
              </w:rPr>
              <w:t>0.01</w:t>
            </w:r>
            <w:r>
              <w:rPr>
                <w:rFonts w:ascii="宋体" w:hAnsi="宋体" w:hint="eastAsia"/>
                <w:szCs w:val="24"/>
              </w:rPr>
              <w:t>】元</w:t>
            </w:r>
            <w:r>
              <w:rPr>
                <w:rFonts w:ascii="宋体" w:hAnsi="宋体" w:hint="eastAsia"/>
                <w:szCs w:val="24"/>
              </w:rPr>
              <w:t>的整数倍增加。</w:t>
            </w:r>
          </w:p>
          <w:p w14:paraId="3B9AC9D6" w14:textId="77777777" w:rsidR="00A2049A" w:rsidRDefault="0029186B">
            <w:pPr>
              <w:snapToGrid w:val="0"/>
              <w:rPr>
                <w:rFonts w:ascii="宋体" w:hAnsi="宋体"/>
                <w:szCs w:val="24"/>
              </w:rPr>
            </w:pPr>
            <w:r>
              <w:rPr>
                <w:rFonts w:ascii="宋体" w:hAnsi="宋体" w:hint="eastAsia"/>
                <w:szCs w:val="24"/>
              </w:rPr>
              <w:t>【</w:t>
            </w:r>
            <w:r>
              <w:rPr>
                <w:rFonts w:ascii="宋体" w:hAnsi="宋体" w:hint="eastAsia"/>
                <w:szCs w:val="24"/>
              </w:rPr>
              <w:t>D</w:t>
            </w:r>
            <w:r>
              <w:rPr>
                <w:rFonts w:ascii="宋体" w:hAnsi="宋体" w:hint="eastAsia"/>
                <w:szCs w:val="24"/>
              </w:rPr>
              <w:t>份额</w:t>
            </w:r>
            <w:r>
              <w:rPr>
                <w:rFonts w:ascii="宋体" w:hAnsi="宋体" w:hint="eastAsia"/>
                <w:szCs w:val="24"/>
              </w:rPr>
              <w:t>】认购起点为</w:t>
            </w:r>
            <w:r>
              <w:rPr>
                <w:rFonts w:ascii="宋体" w:hAnsi="宋体" w:hint="eastAsia"/>
                <w:szCs w:val="24"/>
              </w:rPr>
              <w:t>【</w:t>
            </w:r>
            <w:r>
              <w:rPr>
                <w:rFonts w:ascii="宋体" w:hAnsi="宋体" w:hint="eastAsia"/>
                <w:szCs w:val="24"/>
              </w:rPr>
              <w:t>1</w:t>
            </w:r>
            <w:r>
              <w:rPr>
                <w:rFonts w:ascii="宋体" w:hAnsi="宋体" w:hint="eastAsia"/>
                <w:szCs w:val="24"/>
              </w:rPr>
              <w:t>】元</w:t>
            </w:r>
            <w:r>
              <w:rPr>
                <w:rFonts w:ascii="宋体" w:hAnsi="宋体" w:hint="eastAsia"/>
                <w:szCs w:val="24"/>
              </w:rPr>
              <w:t>，超过部分以</w:t>
            </w:r>
            <w:r>
              <w:rPr>
                <w:rFonts w:ascii="宋体" w:hAnsi="宋体" w:hint="eastAsia"/>
                <w:szCs w:val="24"/>
              </w:rPr>
              <w:t>【</w:t>
            </w:r>
            <w:r>
              <w:rPr>
                <w:rFonts w:ascii="宋体" w:hAnsi="宋体" w:hint="eastAsia"/>
                <w:szCs w:val="24"/>
              </w:rPr>
              <w:t>0.01</w:t>
            </w:r>
            <w:r>
              <w:rPr>
                <w:rFonts w:ascii="宋体" w:hAnsi="宋体" w:hint="eastAsia"/>
                <w:szCs w:val="24"/>
              </w:rPr>
              <w:t>】元</w:t>
            </w:r>
            <w:r>
              <w:rPr>
                <w:rFonts w:ascii="宋体" w:hAnsi="宋体" w:hint="eastAsia"/>
                <w:szCs w:val="24"/>
              </w:rPr>
              <w:t>的整数倍增加。</w:t>
            </w:r>
          </w:p>
          <w:p w14:paraId="34414F2C" w14:textId="77777777" w:rsidR="00A2049A" w:rsidRDefault="0029186B">
            <w:pPr>
              <w:snapToGrid w:val="0"/>
              <w:rPr>
                <w:rFonts w:ascii="宋体" w:hAnsi="宋体"/>
                <w:szCs w:val="24"/>
              </w:rPr>
            </w:pPr>
            <w:r>
              <w:rPr>
                <w:rFonts w:ascii="宋体" w:hAnsi="宋体" w:hint="eastAsia"/>
                <w:szCs w:val="24"/>
              </w:rPr>
              <w:t>【</w:t>
            </w:r>
            <w:r>
              <w:rPr>
                <w:rFonts w:ascii="宋体" w:hAnsi="宋体" w:hint="eastAsia"/>
                <w:szCs w:val="24"/>
              </w:rPr>
              <w:t>E</w:t>
            </w:r>
            <w:r>
              <w:rPr>
                <w:rFonts w:ascii="宋体" w:hAnsi="宋体" w:hint="eastAsia"/>
                <w:szCs w:val="24"/>
              </w:rPr>
              <w:t>份额</w:t>
            </w:r>
            <w:r>
              <w:rPr>
                <w:rFonts w:ascii="宋体" w:hAnsi="宋体" w:hint="eastAsia"/>
                <w:szCs w:val="24"/>
              </w:rPr>
              <w:t>】认购起点为</w:t>
            </w:r>
            <w:r>
              <w:rPr>
                <w:rFonts w:ascii="宋体" w:hAnsi="宋体" w:hint="eastAsia"/>
                <w:szCs w:val="24"/>
              </w:rPr>
              <w:t>【</w:t>
            </w:r>
            <w:r>
              <w:rPr>
                <w:rFonts w:ascii="宋体" w:hAnsi="宋体" w:hint="eastAsia"/>
                <w:szCs w:val="24"/>
              </w:rPr>
              <w:t>1</w:t>
            </w:r>
            <w:r>
              <w:rPr>
                <w:rFonts w:ascii="宋体" w:hAnsi="宋体" w:hint="eastAsia"/>
                <w:szCs w:val="24"/>
              </w:rPr>
              <w:t>】元</w:t>
            </w:r>
            <w:r>
              <w:rPr>
                <w:rFonts w:ascii="宋体" w:hAnsi="宋体" w:hint="eastAsia"/>
                <w:szCs w:val="24"/>
              </w:rPr>
              <w:t>，超过部分以</w:t>
            </w:r>
            <w:r>
              <w:rPr>
                <w:rFonts w:ascii="宋体" w:hAnsi="宋体" w:hint="eastAsia"/>
                <w:szCs w:val="24"/>
              </w:rPr>
              <w:t>【</w:t>
            </w:r>
            <w:r>
              <w:rPr>
                <w:rFonts w:ascii="宋体" w:hAnsi="宋体" w:hint="eastAsia"/>
                <w:szCs w:val="24"/>
              </w:rPr>
              <w:t>0.01</w:t>
            </w:r>
            <w:r>
              <w:rPr>
                <w:rFonts w:ascii="宋体" w:hAnsi="宋体" w:hint="eastAsia"/>
                <w:szCs w:val="24"/>
              </w:rPr>
              <w:t>】元</w:t>
            </w:r>
            <w:r>
              <w:rPr>
                <w:rFonts w:ascii="宋体" w:hAnsi="宋体" w:hint="eastAsia"/>
                <w:szCs w:val="24"/>
              </w:rPr>
              <w:t>的整数倍增加。</w:t>
            </w:r>
          </w:p>
          <w:p w14:paraId="6467A132" w14:textId="77777777" w:rsidR="00A2049A" w:rsidRDefault="0029186B">
            <w:pPr>
              <w:snapToGrid w:val="0"/>
              <w:rPr>
                <w:rFonts w:ascii="宋体" w:hAnsi="宋体"/>
                <w:szCs w:val="24"/>
              </w:rPr>
            </w:pPr>
            <w:r>
              <w:rPr>
                <w:rFonts w:ascii="宋体" w:hAnsi="宋体" w:hint="eastAsia"/>
                <w:szCs w:val="24"/>
              </w:rPr>
              <w:t>【</w:t>
            </w:r>
            <w:r>
              <w:rPr>
                <w:rFonts w:ascii="宋体" w:hAnsi="宋体" w:hint="eastAsia"/>
                <w:szCs w:val="24"/>
              </w:rPr>
              <w:t>F</w:t>
            </w:r>
            <w:r>
              <w:rPr>
                <w:rFonts w:ascii="宋体" w:hAnsi="宋体" w:hint="eastAsia"/>
                <w:szCs w:val="24"/>
              </w:rPr>
              <w:t>份额</w:t>
            </w:r>
            <w:r>
              <w:rPr>
                <w:rFonts w:ascii="宋体" w:hAnsi="宋体" w:hint="eastAsia"/>
                <w:szCs w:val="24"/>
              </w:rPr>
              <w:t>】认购起点为</w:t>
            </w:r>
            <w:r>
              <w:rPr>
                <w:rFonts w:ascii="宋体" w:hAnsi="宋体" w:hint="eastAsia"/>
                <w:szCs w:val="24"/>
              </w:rPr>
              <w:t>【</w:t>
            </w:r>
            <w:r>
              <w:rPr>
                <w:rFonts w:ascii="宋体" w:hAnsi="宋体" w:hint="eastAsia"/>
                <w:szCs w:val="24"/>
              </w:rPr>
              <w:t>1</w:t>
            </w:r>
            <w:r>
              <w:rPr>
                <w:rFonts w:ascii="宋体" w:hAnsi="宋体" w:hint="eastAsia"/>
                <w:szCs w:val="24"/>
              </w:rPr>
              <w:t>】元</w:t>
            </w:r>
            <w:r>
              <w:rPr>
                <w:rFonts w:ascii="宋体" w:hAnsi="宋体" w:hint="eastAsia"/>
                <w:szCs w:val="24"/>
              </w:rPr>
              <w:t>，超过部分以</w:t>
            </w:r>
            <w:r>
              <w:rPr>
                <w:rFonts w:ascii="宋体" w:hAnsi="宋体" w:hint="eastAsia"/>
                <w:szCs w:val="24"/>
              </w:rPr>
              <w:t>【</w:t>
            </w:r>
            <w:r>
              <w:rPr>
                <w:rFonts w:ascii="宋体" w:hAnsi="宋体" w:hint="eastAsia"/>
                <w:szCs w:val="24"/>
              </w:rPr>
              <w:t>0.01</w:t>
            </w:r>
            <w:r>
              <w:rPr>
                <w:rFonts w:ascii="宋体" w:hAnsi="宋体" w:hint="eastAsia"/>
                <w:szCs w:val="24"/>
              </w:rPr>
              <w:t>】元</w:t>
            </w:r>
            <w:r>
              <w:rPr>
                <w:rFonts w:ascii="宋体" w:hAnsi="宋体" w:hint="eastAsia"/>
                <w:szCs w:val="24"/>
              </w:rPr>
              <w:t>的整数倍增加。</w:t>
            </w:r>
          </w:p>
          <w:p w14:paraId="0EF69C67" w14:textId="77777777" w:rsidR="00A2049A" w:rsidRDefault="0029186B">
            <w:pPr>
              <w:snapToGrid w:val="0"/>
              <w:rPr>
                <w:rFonts w:ascii="宋体" w:hAnsi="宋体"/>
                <w:szCs w:val="24"/>
              </w:rPr>
            </w:pPr>
            <w:r>
              <w:rPr>
                <w:rFonts w:ascii="宋体" w:hAnsi="宋体" w:hint="eastAsia"/>
                <w:szCs w:val="24"/>
              </w:rPr>
              <w:t>【</w:t>
            </w:r>
            <w:r>
              <w:rPr>
                <w:rFonts w:ascii="宋体" w:hAnsi="宋体" w:hint="eastAsia"/>
                <w:szCs w:val="24"/>
              </w:rPr>
              <w:t>G</w:t>
            </w:r>
            <w:r>
              <w:rPr>
                <w:rFonts w:ascii="宋体" w:hAnsi="宋体" w:hint="eastAsia"/>
                <w:szCs w:val="24"/>
              </w:rPr>
              <w:t>份额</w:t>
            </w:r>
            <w:r>
              <w:rPr>
                <w:rFonts w:ascii="宋体" w:hAnsi="宋体" w:hint="eastAsia"/>
                <w:szCs w:val="24"/>
              </w:rPr>
              <w:t>】认购起点为</w:t>
            </w:r>
            <w:r>
              <w:rPr>
                <w:rFonts w:ascii="宋体" w:hAnsi="宋体" w:hint="eastAsia"/>
                <w:szCs w:val="24"/>
              </w:rPr>
              <w:t>【</w:t>
            </w:r>
            <w:r>
              <w:rPr>
                <w:rFonts w:ascii="宋体" w:hAnsi="宋体" w:hint="eastAsia"/>
                <w:szCs w:val="24"/>
              </w:rPr>
              <w:t>1</w:t>
            </w:r>
            <w:r>
              <w:rPr>
                <w:rFonts w:ascii="宋体" w:hAnsi="宋体" w:hint="eastAsia"/>
                <w:szCs w:val="24"/>
              </w:rPr>
              <w:t>】元</w:t>
            </w:r>
            <w:r>
              <w:rPr>
                <w:rFonts w:ascii="宋体" w:hAnsi="宋体" w:hint="eastAsia"/>
                <w:szCs w:val="24"/>
              </w:rPr>
              <w:t>，超过部分以</w:t>
            </w:r>
            <w:r>
              <w:rPr>
                <w:rFonts w:ascii="宋体" w:hAnsi="宋体" w:hint="eastAsia"/>
                <w:szCs w:val="24"/>
              </w:rPr>
              <w:t>【</w:t>
            </w:r>
            <w:r>
              <w:rPr>
                <w:rFonts w:ascii="宋体" w:hAnsi="宋体" w:hint="eastAsia"/>
                <w:szCs w:val="24"/>
              </w:rPr>
              <w:t>0.01</w:t>
            </w:r>
            <w:r>
              <w:rPr>
                <w:rFonts w:ascii="宋体" w:hAnsi="宋体" w:hint="eastAsia"/>
                <w:szCs w:val="24"/>
              </w:rPr>
              <w:t>】元</w:t>
            </w:r>
            <w:r>
              <w:rPr>
                <w:rFonts w:ascii="宋体" w:hAnsi="宋体" w:hint="eastAsia"/>
                <w:szCs w:val="24"/>
              </w:rPr>
              <w:t>的整数倍增加。</w:t>
            </w:r>
          </w:p>
          <w:p w14:paraId="21510296" w14:textId="77777777" w:rsidR="00A2049A" w:rsidRDefault="0029186B">
            <w:pPr>
              <w:snapToGrid w:val="0"/>
              <w:rPr>
                <w:rFonts w:ascii="宋体" w:hAnsi="宋体"/>
                <w:b/>
                <w:szCs w:val="24"/>
              </w:rPr>
            </w:pPr>
            <w:r>
              <w:rPr>
                <w:rFonts w:ascii="宋体" w:hAnsi="宋体" w:hint="eastAsia"/>
                <w:b/>
                <w:szCs w:val="24"/>
              </w:rPr>
              <w:t>销售机构的认购、申购起点金额可能</w:t>
            </w:r>
            <w:r>
              <w:rPr>
                <w:rFonts w:ascii="宋体" w:hAnsi="宋体"/>
                <w:b/>
                <w:szCs w:val="24"/>
              </w:rPr>
              <w:t>与本</w:t>
            </w:r>
            <w:r>
              <w:rPr>
                <w:rFonts w:ascii="宋体" w:hAnsi="宋体" w:hint="eastAsia"/>
                <w:b/>
                <w:szCs w:val="24"/>
              </w:rPr>
              <w:t>产品</w:t>
            </w:r>
            <w:r>
              <w:rPr>
                <w:rFonts w:ascii="宋体" w:hAnsi="宋体"/>
                <w:b/>
                <w:szCs w:val="24"/>
              </w:rPr>
              <w:t>说明书</w:t>
            </w:r>
            <w:r>
              <w:rPr>
                <w:rFonts w:ascii="宋体" w:hAnsi="宋体" w:hint="eastAsia"/>
                <w:b/>
                <w:szCs w:val="24"/>
              </w:rPr>
              <w:t>不一致</w:t>
            </w:r>
            <w:r>
              <w:rPr>
                <w:rFonts w:ascii="宋体" w:hAnsi="宋体"/>
                <w:b/>
                <w:szCs w:val="24"/>
              </w:rPr>
              <w:t>，</w:t>
            </w:r>
            <w:r>
              <w:rPr>
                <w:rFonts w:ascii="宋体" w:hAnsi="宋体" w:hint="eastAsia"/>
                <w:b/>
                <w:szCs w:val="24"/>
              </w:rPr>
              <w:t>通过销售机构认购、申购</w:t>
            </w:r>
            <w:r>
              <w:rPr>
                <w:rFonts w:ascii="宋体" w:hAnsi="宋体"/>
                <w:b/>
                <w:szCs w:val="24"/>
              </w:rPr>
              <w:t>的</w:t>
            </w:r>
            <w:r>
              <w:rPr>
                <w:rFonts w:ascii="宋体" w:hAnsi="宋体" w:hint="eastAsia"/>
                <w:b/>
                <w:szCs w:val="24"/>
              </w:rPr>
              <w:t>具体以销售机构展示为准。销售机构的实际销售起点金额，不得低于本产品说明书约定的销售起点金额。</w:t>
            </w:r>
          </w:p>
        </w:tc>
      </w:tr>
      <w:tr w:rsidR="00A2049A" w14:paraId="51C1CAC1" w14:textId="77777777">
        <w:trPr>
          <w:trHeight w:val="425"/>
        </w:trPr>
        <w:tc>
          <w:tcPr>
            <w:tcW w:w="1673" w:type="dxa"/>
            <w:vAlign w:val="center"/>
          </w:tcPr>
          <w:p w14:paraId="4683EC5A" w14:textId="77777777" w:rsidR="00A2049A" w:rsidRDefault="0029186B">
            <w:pPr>
              <w:snapToGrid w:val="0"/>
              <w:ind w:leftChars="26" w:left="77" w:hanging="15"/>
              <w:jc w:val="center"/>
              <w:rPr>
                <w:rFonts w:ascii="宋体" w:hAnsi="宋体" w:cs="宋体"/>
                <w:szCs w:val="24"/>
              </w:rPr>
            </w:pPr>
            <w:r>
              <w:rPr>
                <w:rFonts w:ascii="宋体" w:hAnsi="宋体" w:hint="eastAsia"/>
                <w:szCs w:val="24"/>
              </w:rPr>
              <w:t>计划发行规模</w:t>
            </w:r>
          </w:p>
        </w:tc>
        <w:tc>
          <w:tcPr>
            <w:tcW w:w="7541" w:type="dxa"/>
            <w:gridSpan w:val="4"/>
            <w:vAlign w:val="center"/>
          </w:tcPr>
          <w:p w14:paraId="08C3643C" w14:textId="77777777" w:rsidR="00A2049A" w:rsidRDefault="0029186B">
            <w:pPr>
              <w:widowControl/>
              <w:jc w:val="left"/>
              <w:rPr>
                <w:rFonts w:ascii="宋体" w:hAnsi="宋体"/>
                <w:b/>
                <w:szCs w:val="24"/>
              </w:rPr>
            </w:pPr>
            <w:r>
              <w:rPr>
                <w:rFonts w:ascii="宋体" w:hAnsi="宋体" w:hint="eastAsia"/>
                <w:szCs w:val="24"/>
              </w:rPr>
              <w:t>发行规模上限</w:t>
            </w:r>
            <w:r>
              <w:rPr>
                <w:rFonts w:ascii="宋体" w:hAnsi="宋体" w:hint="eastAsia"/>
                <w:b/>
                <w:bCs/>
                <w:szCs w:val="24"/>
              </w:rPr>
              <w:t>【</w:t>
            </w:r>
            <w:r>
              <w:rPr>
                <w:rFonts w:ascii="宋体" w:hAnsi="宋体" w:hint="eastAsia"/>
                <w:b/>
                <w:bCs/>
                <w:szCs w:val="24"/>
              </w:rPr>
              <w:t>20</w:t>
            </w:r>
            <w:r>
              <w:rPr>
                <w:rFonts w:ascii="宋体" w:hAnsi="宋体" w:hint="eastAsia"/>
                <w:b/>
                <w:bCs/>
                <w:szCs w:val="24"/>
              </w:rPr>
              <w:t>】亿</w:t>
            </w:r>
            <w:r>
              <w:rPr>
                <w:rFonts w:ascii="宋体" w:hAnsi="宋体" w:hint="eastAsia"/>
                <w:b/>
                <w:szCs w:val="24"/>
              </w:rPr>
              <w:t>元。</w:t>
            </w:r>
          </w:p>
          <w:p w14:paraId="3ED59D61" w14:textId="77777777" w:rsidR="00A2049A" w:rsidRDefault="0029186B">
            <w:pPr>
              <w:widowControl/>
              <w:jc w:val="left"/>
              <w:rPr>
                <w:rFonts w:ascii="宋体" w:hAnsi="宋体" w:cs="宋体"/>
                <w:b/>
                <w:szCs w:val="24"/>
              </w:rPr>
            </w:pPr>
            <w:r>
              <w:rPr>
                <w:rFonts w:hint="eastAsia"/>
                <w:szCs w:val="24"/>
              </w:rPr>
              <w:t>管理人有权根据实际需要调整发行规模上限。</w:t>
            </w:r>
          </w:p>
        </w:tc>
      </w:tr>
      <w:tr w:rsidR="00A2049A" w14:paraId="0C87A91B" w14:textId="77777777">
        <w:trPr>
          <w:trHeight w:val="425"/>
        </w:trPr>
        <w:tc>
          <w:tcPr>
            <w:tcW w:w="1673" w:type="dxa"/>
            <w:vAlign w:val="center"/>
          </w:tcPr>
          <w:p w14:paraId="452D76E7" w14:textId="77777777" w:rsidR="00A2049A" w:rsidRDefault="0029186B">
            <w:pPr>
              <w:snapToGrid w:val="0"/>
              <w:ind w:leftChars="26" w:left="77" w:hanging="15"/>
              <w:jc w:val="center"/>
              <w:rPr>
                <w:rFonts w:ascii="宋体" w:hAnsi="宋体" w:cs="宋体"/>
                <w:szCs w:val="24"/>
              </w:rPr>
            </w:pPr>
            <w:r>
              <w:rPr>
                <w:rFonts w:ascii="宋体" w:hAnsi="宋体" w:hint="eastAsia"/>
                <w:szCs w:val="24"/>
              </w:rPr>
              <w:t>产品最低成立规模</w:t>
            </w:r>
          </w:p>
        </w:tc>
        <w:tc>
          <w:tcPr>
            <w:tcW w:w="7541" w:type="dxa"/>
            <w:gridSpan w:val="4"/>
            <w:vAlign w:val="center"/>
          </w:tcPr>
          <w:p w14:paraId="127520B2" w14:textId="77777777" w:rsidR="00A2049A" w:rsidRDefault="0029186B">
            <w:pPr>
              <w:widowControl/>
              <w:jc w:val="left"/>
              <w:rPr>
                <w:rFonts w:ascii="宋体" w:hAnsi="宋体"/>
                <w:b/>
                <w:bCs/>
                <w:szCs w:val="24"/>
              </w:rPr>
            </w:pPr>
            <w:r>
              <w:rPr>
                <w:rFonts w:ascii="宋体" w:hAnsi="宋体" w:hint="eastAsia"/>
                <w:b/>
                <w:bCs/>
                <w:szCs w:val="24"/>
              </w:rPr>
              <w:t>【</w:t>
            </w:r>
            <w:r>
              <w:rPr>
                <w:rFonts w:ascii="宋体" w:hAnsi="宋体" w:hint="eastAsia"/>
                <w:b/>
                <w:bCs/>
                <w:szCs w:val="24"/>
              </w:rPr>
              <w:t>/</w:t>
            </w:r>
            <w:r>
              <w:rPr>
                <w:rFonts w:ascii="宋体" w:hAnsi="宋体" w:hint="eastAsia"/>
                <w:b/>
                <w:bCs/>
                <w:szCs w:val="24"/>
              </w:rPr>
              <w:t>】亿元。</w:t>
            </w:r>
          </w:p>
          <w:p w14:paraId="4080F2F9" w14:textId="77777777" w:rsidR="00A2049A" w:rsidRDefault="0029186B">
            <w:pPr>
              <w:widowControl/>
              <w:jc w:val="left"/>
              <w:rPr>
                <w:rFonts w:ascii="宋体" w:hAnsi="宋体" w:cs="宋体"/>
                <w:szCs w:val="24"/>
              </w:rPr>
            </w:pPr>
            <w:r>
              <w:rPr>
                <w:rFonts w:hint="eastAsia"/>
                <w:szCs w:val="24"/>
              </w:rPr>
              <w:t>若认购金额不</w:t>
            </w:r>
            <w:r>
              <w:rPr>
                <w:rFonts w:hint="eastAsia"/>
                <w:bCs/>
                <w:szCs w:val="24"/>
              </w:rPr>
              <w:t>足</w:t>
            </w:r>
            <w:r>
              <w:rPr>
                <w:rFonts w:ascii="宋体" w:hAnsi="宋体" w:hint="eastAsia"/>
                <w:b/>
                <w:bCs/>
                <w:szCs w:val="24"/>
              </w:rPr>
              <w:t>【</w:t>
            </w:r>
            <w:r>
              <w:rPr>
                <w:rFonts w:ascii="宋体" w:hAnsi="宋体" w:hint="eastAsia"/>
                <w:b/>
                <w:bCs/>
                <w:szCs w:val="24"/>
              </w:rPr>
              <w:t>/</w:t>
            </w:r>
            <w:r>
              <w:rPr>
                <w:rFonts w:ascii="宋体" w:hAnsi="宋体" w:hint="eastAsia"/>
                <w:b/>
                <w:bCs/>
                <w:szCs w:val="24"/>
              </w:rPr>
              <w:t>】亿元</w:t>
            </w:r>
            <w:r>
              <w:rPr>
                <w:rFonts w:hint="eastAsia"/>
                <w:b/>
                <w:bCs/>
                <w:szCs w:val="24"/>
              </w:rPr>
              <w:t>，管理人有权宣布理财产品不成立，亦有权调整</w:t>
            </w:r>
            <w:r>
              <w:rPr>
                <w:rFonts w:ascii="宋体" w:hAnsi="宋体" w:hint="eastAsia"/>
                <w:b/>
                <w:bCs/>
                <w:szCs w:val="24"/>
              </w:rPr>
              <w:t>产品最低成立规模，具体以管理人公告为准</w:t>
            </w:r>
            <w:r>
              <w:rPr>
                <w:rFonts w:hint="eastAsia"/>
                <w:szCs w:val="24"/>
              </w:rPr>
              <w:t>。</w:t>
            </w:r>
          </w:p>
        </w:tc>
      </w:tr>
      <w:tr w:rsidR="00A2049A" w14:paraId="7224AF3B" w14:textId="77777777">
        <w:trPr>
          <w:trHeight w:val="425"/>
        </w:trPr>
        <w:tc>
          <w:tcPr>
            <w:tcW w:w="1673" w:type="dxa"/>
            <w:vAlign w:val="center"/>
          </w:tcPr>
          <w:p w14:paraId="7A014358" w14:textId="77777777" w:rsidR="00A2049A" w:rsidRDefault="0029186B">
            <w:pPr>
              <w:snapToGrid w:val="0"/>
              <w:ind w:leftChars="26" w:left="77" w:hanging="15"/>
              <w:jc w:val="center"/>
              <w:rPr>
                <w:rFonts w:ascii="宋体" w:hAnsi="宋体"/>
                <w:szCs w:val="24"/>
              </w:rPr>
            </w:pPr>
            <w:r>
              <w:rPr>
                <w:rFonts w:ascii="宋体" w:hAnsi="宋体" w:hint="eastAsia"/>
                <w:bCs/>
                <w:szCs w:val="24"/>
              </w:rPr>
              <w:t>认</w:t>
            </w:r>
            <w:r>
              <w:rPr>
                <w:rFonts w:ascii="宋体" w:hAnsi="宋体" w:hint="eastAsia"/>
                <w:bCs/>
                <w:szCs w:val="24"/>
              </w:rPr>
              <w:t>/</w:t>
            </w:r>
            <w:r>
              <w:rPr>
                <w:rFonts w:ascii="宋体" w:hAnsi="宋体" w:hint="eastAsia"/>
                <w:bCs/>
                <w:szCs w:val="24"/>
              </w:rPr>
              <w:t>申购数量</w:t>
            </w:r>
            <w:r>
              <w:rPr>
                <w:rFonts w:ascii="宋体" w:hAnsi="宋体"/>
                <w:bCs/>
                <w:szCs w:val="24"/>
              </w:rPr>
              <w:t>限制</w:t>
            </w:r>
          </w:p>
        </w:tc>
        <w:tc>
          <w:tcPr>
            <w:tcW w:w="7541" w:type="dxa"/>
            <w:gridSpan w:val="4"/>
            <w:vAlign w:val="center"/>
          </w:tcPr>
          <w:p w14:paraId="07B88778" w14:textId="77777777" w:rsidR="00A2049A" w:rsidRDefault="0029186B">
            <w:pPr>
              <w:widowControl/>
              <w:jc w:val="left"/>
              <w:rPr>
                <w:rFonts w:ascii="宋体" w:hAnsi="宋体"/>
                <w:bCs/>
                <w:szCs w:val="24"/>
              </w:rPr>
            </w:pPr>
            <w:r>
              <w:rPr>
                <w:rFonts w:ascii="宋体" w:hAnsi="宋体" w:hint="eastAsia"/>
                <w:bCs/>
                <w:szCs w:val="24"/>
              </w:rPr>
              <w:t>【</w:t>
            </w:r>
            <w:r>
              <w:rPr>
                <w:rFonts w:ascii="宋体" w:hAnsi="宋体" w:hint="eastAsia"/>
                <w:bCs/>
                <w:szCs w:val="24"/>
              </w:rPr>
              <w:t>A</w:t>
            </w:r>
            <w:r>
              <w:rPr>
                <w:rFonts w:ascii="宋体" w:hAnsi="宋体" w:hint="eastAsia"/>
                <w:bCs/>
                <w:szCs w:val="24"/>
              </w:rPr>
              <w:t>份额】单一投资者认购上限为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0EDFC398" w14:textId="77777777" w:rsidR="00A2049A" w:rsidRDefault="0029186B">
            <w:pPr>
              <w:widowControl/>
              <w:jc w:val="left"/>
              <w:rPr>
                <w:rFonts w:ascii="宋体" w:hAnsi="宋体"/>
                <w:bCs/>
                <w:szCs w:val="24"/>
              </w:rPr>
            </w:pPr>
            <w:r>
              <w:rPr>
                <w:rFonts w:ascii="宋体" w:hAnsi="宋体" w:hint="eastAsia"/>
                <w:bCs/>
                <w:szCs w:val="24"/>
              </w:rPr>
              <w:t>【</w:t>
            </w:r>
            <w:r>
              <w:rPr>
                <w:rFonts w:ascii="宋体" w:hAnsi="宋体" w:hint="eastAsia"/>
                <w:bCs/>
                <w:szCs w:val="24"/>
              </w:rPr>
              <w:t>B</w:t>
            </w:r>
            <w:r>
              <w:rPr>
                <w:rFonts w:ascii="宋体" w:hAnsi="宋体" w:hint="eastAsia"/>
                <w:bCs/>
                <w:szCs w:val="24"/>
              </w:rPr>
              <w:t>份额】单一投资者认购上限为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6C5D0CFD" w14:textId="77777777" w:rsidR="00A2049A" w:rsidRDefault="0029186B">
            <w:pPr>
              <w:widowControl/>
              <w:jc w:val="left"/>
              <w:rPr>
                <w:rFonts w:ascii="宋体" w:hAnsi="宋体"/>
                <w:bCs/>
                <w:szCs w:val="24"/>
              </w:rPr>
            </w:pPr>
            <w:r>
              <w:rPr>
                <w:rFonts w:ascii="宋体" w:hAnsi="宋体" w:hint="eastAsia"/>
                <w:bCs/>
                <w:szCs w:val="24"/>
              </w:rPr>
              <w:t>【</w:t>
            </w:r>
            <w:r>
              <w:rPr>
                <w:rFonts w:ascii="宋体" w:hAnsi="宋体" w:hint="eastAsia"/>
                <w:bCs/>
                <w:szCs w:val="24"/>
              </w:rPr>
              <w:t>C</w:t>
            </w:r>
            <w:r>
              <w:rPr>
                <w:rFonts w:ascii="宋体" w:hAnsi="宋体" w:hint="eastAsia"/>
                <w:bCs/>
                <w:szCs w:val="24"/>
              </w:rPr>
              <w:t>份额】单一投资者认购上限为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4BB9779C" w14:textId="77777777" w:rsidR="00A2049A" w:rsidRDefault="0029186B">
            <w:pPr>
              <w:widowControl/>
              <w:jc w:val="left"/>
              <w:rPr>
                <w:rFonts w:ascii="宋体" w:hAnsi="宋体"/>
                <w:bCs/>
                <w:szCs w:val="24"/>
              </w:rPr>
            </w:pPr>
            <w:r>
              <w:rPr>
                <w:rFonts w:ascii="宋体" w:hAnsi="宋体" w:hint="eastAsia"/>
                <w:bCs/>
                <w:szCs w:val="24"/>
              </w:rPr>
              <w:t>【</w:t>
            </w:r>
            <w:r>
              <w:rPr>
                <w:rFonts w:ascii="宋体" w:hAnsi="宋体" w:hint="eastAsia"/>
                <w:bCs/>
                <w:szCs w:val="24"/>
              </w:rPr>
              <w:t>D</w:t>
            </w:r>
            <w:r>
              <w:rPr>
                <w:rFonts w:ascii="宋体" w:hAnsi="宋体" w:hint="eastAsia"/>
                <w:bCs/>
                <w:szCs w:val="24"/>
              </w:rPr>
              <w:t>份额</w:t>
            </w:r>
            <w:r>
              <w:rPr>
                <w:rFonts w:ascii="宋体" w:hAnsi="宋体" w:hint="eastAsia"/>
                <w:bCs/>
                <w:szCs w:val="24"/>
              </w:rPr>
              <w:t>】单一投资者认购上限为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4A23712C" w14:textId="77777777" w:rsidR="00A2049A" w:rsidRDefault="0029186B">
            <w:pPr>
              <w:widowControl/>
              <w:jc w:val="left"/>
              <w:rPr>
                <w:rFonts w:ascii="宋体" w:hAnsi="宋体"/>
                <w:bCs/>
                <w:szCs w:val="24"/>
              </w:rPr>
            </w:pPr>
            <w:r>
              <w:rPr>
                <w:rFonts w:ascii="宋体" w:hAnsi="宋体" w:hint="eastAsia"/>
                <w:bCs/>
                <w:szCs w:val="24"/>
              </w:rPr>
              <w:t>【</w:t>
            </w:r>
            <w:r>
              <w:rPr>
                <w:rFonts w:ascii="宋体" w:hAnsi="宋体" w:hint="eastAsia"/>
                <w:bCs/>
                <w:szCs w:val="24"/>
              </w:rPr>
              <w:t>E</w:t>
            </w:r>
            <w:r>
              <w:rPr>
                <w:rFonts w:ascii="宋体" w:hAnsi="宋体" w:hint="eastAsia"/>
                <w:bCs/>
                <w:szCs w:val="24"/>
              </w:rPr>
              <w:t>份额</w:t>
            </w:r>
            <w:r>
              <w:rPr>
                <w:rFonts w:ascii="宋体" w:hAnsi="宋体" w:hint="eastAsia"/>
                <w:bCs/>
                <w:szCs w:val="24"/>
              </w:rPr>
              <w:t>】单一投资者认购上限为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78D46FA7" w14:textId="77777777" w:rsidR="00A2049A" w:rsidRDefault="0029186B">
            <w:pPr>
              <w:widowControl/>
              <w:jc w:val="left"/>
              <w:rPr>
                <w:rFonts w:ascii="宋体" w:hAnsi="宋体"/>
                <w:bCs/>
                <w:szCs w:val="24"/>
              </w:rPr>
            </w:pPr>
            <w:r>
              <w:rPr>
                <w:rFonts w:ascii="宋体" w:hAnsi="宋体" w:hint="eastAsia"/>
                <w:bCs/>
                <w:szCs w:val="24"/>
              </w:rPr>
              <w:t>【</w:t>
            </w:r>
            <w:r>
              <w:rPr>
                <w:rFonts w:ascii="宋体" w:hAnsi="宋体" w:hint="eastAsia"/>
                <w:bCs/>
                <w:szCs w:val="24"/>
              </w:rPr>
              <w:t>F</w:t>
            </w:r>
            <w:r>
              <w:rPr>
                <w:rFonts w:ascii="宋体" w:hAnsi="宋体" w:hint="eastAsia"/>
                <w:bCs/>
                <w:szCs w:val="24"/>
              </w:rPr>
              <w:t>份额</w:t>
            </w:r>
            <w:r>
              <w:rPr>
                <w:rFonts w:ascii="宋体" w:hAnsi="宋体" w:hint="eastAsia"/>
                <w:bCs/>
                <w:szCs w:val="24"/>
              </w:rPr>
              <w:t>】单一投资者认购上限为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74EA1B8B" w14:textId="77777777" w:rsidR="00A2049A" w:rsidRDefault="0029186B">
            <w:pPr>
              <w:widowControl/>
              <w:jc w:val="left"/>
              <w:rPr>
                <w:rFonts w:ascii="宋体" w:hAnsi="宋体"/>
                <w:bCs/>
                <w:szCs w:val="24"/>
              </w:rPr>
            </w:pPr>
            <w:r>
              <w:rPr>
                <w:rFonts w:ascii="宋体" w:hAnsi="宋体" w:hint="eastAsia"/>
                <w:bCs/>
                <w:szCs w:val="24"/>
              </w:rPr>
              <w:t>【</w:t>
            </w:r>
            <w:r>
              <w:rPr>
                <w:rFonts w:ascii="宋体" w:hAnsi="宋体" w:hint="eastAsia"/>
                <w:bCs/>
                <w:szCs w:val="24"/>
              </w:rPr>
              <w:t>G</w:t>
            </w:r>
            <w:r>
              <w:rPr>
                <w:rFonts w:ascii="宋体" w:hAnsi="宋体" w:hint="eastAsia"/>
                <w:bCs/>
                <w:szCs w:val="24"/>
              </w:rPr>
              <w:t>份额</w:t>
            </w:r>
            <w:r>
              <w:rPr>
                <w:rFonts w:ascii="宋体" w:hAnsi="宋体" w:hint="eastAsia"/>
                <w:bCs/>
                <w:szCs w:val="24"/>
              </w:rPr>
              <w:t>】单一投资者认购上限为</w:t>
            </w:r>
            <w:r>
              <w:rPr>
                <w:rFonts w:ascii="宋体" w:hAnsi="宋体" w:hint="eastAsia"/>
                <w:b/>
                <w:bCs/>
                <w:szCs w:val="24"/>
              </w:rPr>
              <w:t>【</w:t>
            </w:r>
            <w:r>
              <w:rPr>
                <w:rFonts w:ascii="宋体" w:hAnsi="宋体" w:hint="eastAsia"/>
                <w:b/>
                <w:bCs/>
                <w:szCs w:val="24"/>
              </w:rPr>
              <w:t>/</w:t>
            </w:r>
            <w:r>
              <w:rPr>
                <w:rFonts w:ascii="宋体" w:hAnsi="宋体" w:hint="eastAsia"/>
                <w:b/>
                <w:bCs/>
                <w:szCs w:val="24"/>
              </w:rPr>
              <w:t>】</w:t>
            </w:r>
            <w:r>
              <w:rPr>
                <w:rFonts w:ascii="宋体" w:hAnsi="宋体" w:hint="eastAsia"/>
                <w:bCs/>
                <w:szCs w:val="24"/>
              </w:rPr>
              <w:t>万元。</w:t>
            </w:r>
          </w:p>
          <w:p w14:paraId="604AF931" w14:textId="77777777" w:rsidR="00A2049A" w:rsidRDefault="0029186B">
            <w:pPr>
              <w:widowControl/>
              <w:jc w:val="left"/>
              <w:rPr>
                <w:rFonts w:ascii="宋体" w:hAnsi="宋体"/>
                <w:bCs/>
                <w:szCs w:val="24"/>
              </w:rPr>
            </w:pPr>
            <w:r>
              <w:rPr>
                <w:rFonts w:ascii="宋体" w:hAnsi="宋体" w:hint="eastAsia"/>
                <w:bCs/>
                <w:szCs w:val="24"/>
              </w:rPr>
              <w:t>在产品运作过程中因收益分配、净值波动等被动超上限的情形除外。管理人有权以公告形式调整投资者累计认</w:t>
            </w:r>
            <w:r>
              <w:rPr>
                <w:rFonts w:ascii="宋体" w:hAnsi="宋体" w:hint="eastAsia"/>
                <w:bCs/>
                <w:szCs w:val="24"/>
              </w:rPr>
              <w:t>/</w:t>
            </w:r>
            <w:r>
              <w:rPr>
                <w:rFonts w:ascii="宋体" w:hAnsi="宋体" w:hint="eastAsia"/>
                <w:bCs/>
                <w:szCs w:val="24"/>
              </w:rPr>
              <w:t>申购上限。</w:t>
            </w:r>
          </w:p>
          <w:p w14:paraId="6AD52BBC" w14:textId="77777777" w:rsidR="00A2049A" w:rsidRDefault="0029186B">
            <w:pPr>
              <w:widowControl/>
              <w:jc w:val="left"/>
              <w:rPr>
                <w:rFonts w:ascii="宋体" w:hAnsi="宋体"/>
                <w:bCs/>
                <w:szCs w:val="24"/>
              </w:rPr>
            </w:pPr>
            <w:r>
              <w:rPr>
                <w:rFonts w:ascii="宋体" w:hAnsi="宋体" w:hint="eastAsia"/>
                <w:bCs/>
                <w:szCs w:val="24"/>
              </w:rPr>
              <w:t>单一投资者持有份额不得超过本产品总份额【</w:t>
            </w:r>
            <w:r>
              <w:rPr>
                <w:rFonts w:ascii="宋体" w:hAnsi="宋体" w:hint="eastAsia"/>
                <w:bCs/>
                <w:szCs w:val="24"/>
              </w:rPr>
              <w:t>50%</w:t>
            </w:r>
            <w:r>
              <w:rPr>
                <w:rFonts w:ascii="宋体" w:hAnsi="宋体" w:hint="eastAsia"/>
                <w:bCs/>
                <w:szCs w:val="24"/>
              </w:rPr>
              <w:t>】，非因产品管理人主观因素导致突破上述比例限制的，在单一投资者持有比例降至</w:t>
            </w:r>
            <w:r>
              <w:rPr>
                <w:rFonts w:ascii="宋体" w:hAnsi="宋体" w:hint="eastAsia"/>
                <w:bCs/>
                <w:szCs w:val="24"/>
              </w:rPr>
              <w:t>50%</w:t>
            </w:r>
            <w:r>
              <w:rPr>
                <w:rFonts w:ascii="宋体" w:hAnsi="宋体" w:hint="eastAsia"/>
                <w:bCs/>
                <w:szCs w:val="24"/>
              </w:rPr>
              <w:t>以下之前，产品管理人不得再接受投资者对本产品的认购。如投资者认</w:t>
            </w:r>
            <w:r>
              <w:rPr>
                <w:rFonts w:ascii="宋体" w:hAnsi="宋体" w:hint="eastAsia"/>
                <w:bCs/>
                <w:szCs w:val="24"/>
              </w:rPr>
              <w:t>/</w:t>
            </w:r>
            <w:r>
              <w:rPr>
                <w:rFonts w:ascii="宋体" w:hAnsi="宋体" w:hint="eastAsia"/>
                <w:bCs/>
                <w:szCs w:val="24"/>
              </w:rPr>
              <w:t>申购超过上述限额，管理人有权根据实际情况接受、拒绝或确认失败。</w:t>
            </w:r>
          </w:p>
        </w:tc>
      </w:tr>
      <w:tr w:rsidR="00A2049A" w14:paraId="4C930F61" w14:textId="77777777">
        <w:trPr>
          <w:trHeight w:val="425"/>
        </w:trPr>
        <w:tc>
          <w:tcPr>
            <w:tcW w:w="1673" w:type="dxa"/>
            <w:vAlign w:val="center"/>
          </w:tcPr>
          <w:p w14:paraId="792FC9E0" w14:textId="77777777" w:rsidR="00A2049A" w:rsidRDefault="0029186B">
            <w:pPr>
              <w:autoSpaceDE w:val="0"/>
              <w:autoSpaceDN w:val="0"/>
              <w:adjustRightInd w:val="0"/>
              <w:snapToGrid w:val="0"/>
              <w:ind w:leftChars="26" w:left="77" w:hanging="15"/>
              <w:jc w:val="center"/>
              <w:rPr>
                <w:rFonts w:ascii="宋体" w:hAnsi="宋体"/>
                <w:szCs w:val="24"/>
              </w:rPr>
            </w:pPr>
            <w:r>
              <w:rPr>
                <w:rFonts w:ascii="宋体" w:hAnsi="宋体" w:hint="eastAsia"/>
                <w:szCs w:val="24"/>
              </w:rPr>
              <w:t>产品认购期</w:t>
            </w:r>
            <w:r>
              <w:rPr>
                <w:rFonts w:ascii="宋体" w:hAnsi="宋体" w:hint="eastAsia"/>
                <w:szCs w:val="24"/>
              </w:rPr>
              <w:t>/</w:t>
            </w:r>
            <w:r>
              <w:rPr>
                <w:rFonts w:ascii="宋体" w:hAnsi="宋体" w:hint="eastAsia"/>
                <w:szCs w:val="24"/>
              </w:rPr>
              <w:t>募集期</w:t>
            </w:r>
          </w:p>
        </w:tc>
        <w:tc>
          <w:tcPr>
            <w:tcW w:w="7541" w:type="dxa"/>
            <w:gridSpan w:val="4"/>
            <w:vAlign w:val="center"/>
          </w:tcPr>
          <w:p w14:paraId="4E48B695" w14:textId="77777777" w:rsidR="00A2049A" w:rsidRDefault="0029186B">
            <w:pPr>
              <w:autoSpaceDE w:val="0"/>
              <w:autoSpaceDN w:val="0"/>
              <w:adjustRightInd w:val="0"/>
              <w:snapToGrid w:val="0"/>
              <w:rPr>
                <w:rFonts w:ascii="宋体" w:hAnsi="宋体"/>
                <w:b/>
                <w:szCs w:val="24"/>
              </w:rPr>
            </w:pPr>
            <w:r>
              <w:rPr>
                <w:rFonts w:ascii="宋体" w:hAnsi="宋体" w:hint="eastAsia"/>
                <w:szCs w:val="24"/>
              </w:rPr>
              <w:t>【</w:t>
            </w:r>
            <w:r>
              <w:rPr>
                <w:rFonts w:ascii="宋体" w:hAnsi="宋体"/>
                <w:b/>
                <w:szCs w:val="24"/>
              </w:rPr>
              <w:t>202</w:t>
            </w:r>
            <w:r>
              <w:rPr>
                <w:rFonts w:ascii="宋体" w:hAnsi="宋体" w:hint="eastAsia"/>
                <w:b/>
                <w:szCs w:val="24"/>
              </w:rPr>
              <w:t>6</w:t>
            </w:r>
            <w:r>
              <w:rPr>
                <w:rFonts w:ascii="宋体" w:hAnsi="宋体" w:hint="eastAsia"/>
                <w:b/>
                <w:szCs w:val="24"/>
              </w:rPr>
              <w:t>】年【</w:t>
            </w:r>
            <w:r>
              <w:rPr>
                <w:rFonts w:ascii="宋体" w:hAnsi="宋体" w:hint="eastAsia"/>
                <w:b/>
                <w:szCs w:val="24"/>
              </w:rPr>
              <w:t>8</w:t>
            </w:r>
            <w:r>
              <w:rPr>
                <w:rFonts w:ascii="宋体" w:hAnsi="宋体" w:hint="eastAsia"/>
                <w:b/>
                <w:szCs w:val="24"/>
              </w:rPr>
              <w:t>】月【</w:t>
            </w:r>
            <w:r>
              <w:rPr>
                <w:rFonts w:ascii="宋体" w:hAnsi="宋体" w:hint="eastAsia"/>
                <w:b/>
                <w:szCs w:val="24"/>
              </w:rPr>
              <w:t>14</w:t>
            </w:r>
            <w:r>
              <w:rPr>
                <w:rFonts w:ascii="宋体" w:hAnsi="宋体" w:hint="eastAsia"/>
                <w:b/>
                <w:szCs w:val="24"/>
              </w:rPr>
              <w:t>】日【</w:t>
            </w:r>
            <w:r>
              <w:rPr>
                <w:rFonts w:ascii="宋体" w:hAnsi="宋体" w:hint="eastAsia"/>
                <w:b/>
                <w:szCs w:val="24"/>
              </w:rPr>
              <w:t>9:00</w:t>
            </w:r>
            <w:r>
              <w:rPr>
                <w:rFonts w:ascii="宋体" w:hAnsi="宋体" w:hint="eastAsia"/>
                <w:b/>
                <w:szCs w:val="24"/>
              </w:rPr>
              <w:t>】—</w:t>
            </w:r>
            <w:r>
              <w:rPr>
                <w:rFonts w:ascii="宋体" w:hAnsi="宋体" w:hint="eastAsia"/>
                <w:szCs w:val="24"/>
              </w:rPr>
              <w:t>【</w:t>
            </w:r>
            <w:r>
              <w:rPr>
                <w:rFonts w:ascii="宋体" w:hAnsi="宋体"/>
                <w:b/>
                <w:szCs w:val="24"/>
              </w:rPr>
              <w:t>202</w:t>
            </w:r>
            <w:r>
              <w:rPr>
                <w:rFonts w:ascii="宋体" w:hAnsi="宋体" w:hint="eastAsia"/>
                <w:b/>
                <w:szCs w:val="24"/>
              </w:rPr>
              <w:t>6</w:t>
            </w:r>
            <w:r>
              <w:rPr>
                <w:rFonts w:ascii="宋体" w:hAnsi="宋体" w:hint="eastAsia"/>
                <w:b/>
                <w:szCs w:val="24"/>
              </w:rPr>
              <w:t>】年【</w:t>
            </w:r>
            <w:r>
              <w:rPr>
                <w:rFonts w:ascii="宋体" w:hAnsi="宋体" w:hint="eastAsia"/>
                <w:b/>
                <w:szCs w:val="24"/>
              </w:rPr>
              <w:t>8</w:t>
            </w:r>
            <w:r>
              <w:rPr>
                <w:rFonts w:ascii="宋体" w:hAnsi="宋体" w:hint="eastAsia"/>
                <w:b/>
                <w:szCs w:val="24"/>
              </w:rPr>
              <w:t>】月【</w:t>
            </w:r>
            <w:r>
              <w:rPr>
                <w:rFonts w:ascii="宋体" w:hAnsi="宋体" w:hint="eastAsia"/>
                <w:b/>
                <w:szCs w:val="24"/>
              </w:rPr>
              <w:t>20</w:t>
            </w:r>
            <w:r>
              <w:rPr>
                <w:rFonts w:ascii="宋体" w:hAnsi="宋体" w:hint="eastAsia"/>
                <w:b/>
                <w:szCs w:val="24"/>
              </w:rPr>
              <w:t>】日【</w:t>
            </w:r>
            <w:r>
              <w:rPr>
                <w:rFonts w:ascii="宋体" w:hAnsi="宋体" w:hint="eastAsia"/>
                <w:b/>
                <w:szCs w:val="24"/>
              </w:rPr>
              <w:t>15:30</w:t>
            </w:r>
            <w:r>
              <w:rPr>
                <w:rFonts w:ascii="宋体" w:hAnsi="宋体" w:hint="eastAsia"/>
                <w:b/>
                <w:szCs w:val="24"/>
              </w:rPr>
              <w:t>】</w:t>
            </w:r>
          </w:p>
          <w:p w14:paraId="246790D9" w14:textId="77777777" w:rsidR="00A2049A" w:rsidRDefault="0029186B">
            <w:pPr>
              <w:autoSpaceDE w:val="0"/>
              <w:autoSpaceDN w:val="0"/>
              <w:adjustRightInd w:val="0"/>
              <w:snapToGrid w:val="0"/>
              <w:rPr>
                <w:rFonts w:ascii="宋体" w:hAnsi="宋体"/>
                <w:b/>
                <w:szCs w:val="24"/>
              </w:rPr>
            </w:pPr>
            <w:r>
              <w:rPr>
                <w:rFonts w:hint="eastAsia"/>
                <w:szCs w:val="24"/>
              </w:rPr>
              <w:t>销售机构实际受理时间可能与说明书不一致，具体以销售机构通知为准。</w:t>
            </w:r>
            <w:r>
              <w:rPr>
                <w:rFonts w:ascii="宋体" w:hAnsi="宋体" w:hint="eastAsia"/>
                <w:b/>
                <w:szCs w:val="24"/>
              </w:rPr>
              <w:t>管理人有权提前结束募集并提前成立理财产品或延长募集期，具体以管理人或销售机构公告为准。</w:t>
            </w:r>
          </w:p>
        </w:tc>
      </w:tr>
      <w:tr w:rsidR="00A2049A" w14:paraId="505C2408" w14:textId="77777777">
        <w:trPr>
          <w:trHeight w:val="425"/>
        </w:trPr>
        <w:tc>
          <w:tcPr>
            <w:tcW w:w="1673" w:type="dxa"/>
            <w:vAlign w:val="center"/>
          </w:tcPr>
          <w:p w14:paraId="758205AD" w14:textId="77777777" w:rsidR="00A2049A" w:rsidRDefault="0029186B">
            <w:pPr>
              <w:autoSpaceDE w:val="0"/>
              <w:autoSpaceDN w:val="0"/>
              <w:adjustRightInd w:val="0"/>
              <w:snapToGrid w:val="0"/>
              <w:ind w:leftChars="26" w:left="77" w:hanging="15"/>
              <w:jc w:val="center"/>
              <w:rPr>
                <w:rFonts w:ascii="宋体" w:hAnsi="宋体"/>
                <w:szCs w:val="24"/>
              </w:rPr>
            </w:pPr>
            <w:r>
              <w:rPr>
                <w:rFonts w:ascii="宋体" w:hAnsi="宋体" w:hint="eastAsia"/>
                <w:szCs w:val="24"/>
              </w:rPr>
              <w:t>投资冷静期</w:t>
            </w:r>
          </w:p>
        </w:tc>
        <w:tc>
          <w:tcPr>
            <w:tcW w:w="7541" w:type="dxa"/>
            <w:gridSpan w:val="4"/>
            <w:vAlign w:val="center"/>
          </w:tcPr>
          <w:p w14:paraId="53E7D270" w14:textId="77777777" w:rsidR="00A2049A" w:rsidRDefault="0029186B">
            <w:pPr>
              <w:autoSpaceDE w:val="0"/>
              <w:autoSpaceDN w:val="0"/>
              <w:adjustRightInd w:val="0"/>
              <w:snapToGrid w:val="0"/>
              <w:rPr>
                <w:rFonts w:ascii="宋体" w:hAnsi="宋体"/>
                <w:szCs w:val="24"/>
              </w:rPr>
            </w:pPr>
            <w:r>
              <w:rPr>
                <w:rFonts w:ascii="宋体" w:hAnsi="宋体" w:hint="eastAsia"/>
                <w:szCs w:val="24"/>
              </w:rPr>
              <w:t>公募</w:t>
            </w:r>
            <w:r>
              <w:rPr>
                <w:rFonts w:ascii="宋体" w:hAnsi="宋体"/>
                <w:szCs w:val="24"/>
              </w:rPr>
              <w:t>：</w:t>
            </w:r>
            <w:r>
              <w:rPr>
                <w:rFonts w:ascii="宋体" w:hAnsi="宋体" w:hint="eastAsia"/>
                <w:szCs w:val="24"/>
              </w:rPr>
              <w:t>本产品为公募理财产品，无投资冷静期设置。</w:t>
            </w:r>
          </w:p>
        </w:tc>
      </w:tr>
      <w:tr w:rsidR="00A2049A" w14:paraId="577E3A74" w14:textId="77777777">
        <w:trPr>
          <w:trHeight w:val="425"/>
        </w:trPr>
        <w:tc>
          <w:tcPr>
            <w:tcW w:w="1673" w:type="dxa"/>
            <w:vAlign w:val="center"/>
          </w:tcPr>
          <w:p w14:paraId="1F571939" w14:textId="77777777" w:rsidR="00A2049A" w:rsidRDefault="0029186B">
            <w:pPr>
              <w:autoSpaceDE w:val="0"/>
              <w:autoSpaceDN w:val="0"/>
              <w:adjustRightInd w:val="0"/>
              <w:snapToGrid w:val="0"/>
              <w:ind w:leftChars="26" w:left="77" w:hanging="15"/>
              <w:jc w:val="center"/>
              <w:rPr>
                <w:rFonts w:ascii="宋体" w:hAnsi="宋体"/>
                <w:szCs w:val="24"/>
              </w:rPr>
            </w:pPr>
            <w:r>
              <w:rPr>
                <w:rFonts w:ascii="宋体" w:hAnsi="宋体" w:hint="eastAsia"/>
                <w:szCs w:val="24"/>
              </w:rPr>
              <w:lastRenderedPageBreak/>
              <w:t>产品期限</w:t>
            </w:r>
          </w:p>
        </w:tc>
        <w:tc>
          <w:tcPr>
            <w:tcW w:w="7541" w:type="dxa"/>
            <w:gridSpan w:val="4"/>
            <w:vAlign w:val="center"/>
          </w:tcPr>
          <w:p w14:paraId="57876355" w14:textId="77777777" w:rsidR="00A2049A" w:rsidRDefault="0029186B">
            <w:pPr>
              <w:autoSpaceDE w:val="0"/>
              <w:autoSpaceDN w:val="0"/>
              <w:adjustRightInd w:val="0"/>
              <w:snapToGrid w:val="0"/>
              <w:rPr>
                <w:rFonts w:ascii="宋体" w:hAnsi="宋体"/>
                <w:b/>
                <w:szCs w:val="24"/>
              </w:rPr>
            </w:pPr>
            <w:r>
              <w:rPr>
                <w:rFonts w:ascii="宋体" w:hAnsi="宋体"/>
                <w:b/>
                <w:szCs w:val="24"/>
              </w:rPr>
              <w:t>【</w:t>
            </w:r>
            <w:r>
              <w:rPr>
                <w:rFonts w:ascii="宋体" w:hAnsi="宋体" w:hint="eastAsia"/>
                <w:b/>
                <w:szCs w:val="24"/>
              </w:rPr>
              <w:t>391</w:t>
            </w:r>
            <w:r>
              <w:rPr>
                <w:rFonts w:ascii="宋体" w:hAnsi="宋体"/>
                <w:b/>
                <w:szCs w:val="24"/>
              </w:rPr>
              <w:t>】</w:t>
            </w:r>
            <w:r>
              <w:rPr>
                <w:rFonts w:ascii="宋体" w:hAnsi="宋体" w:hint="eastAsia"/>
                <w:b/>
                <w:szCs w:val="24"/>
              </w:rPr>
              <w:t>天</w:t>
            </w:r>
            <w:r>
              <w:rPr>
                <w:rFonts w:ascii="宋体" w:hAnsi="宋体" w:hint="eastAsia"/>
                <w:szCs w:val="24"/>
              </w:rPr>
              <w:t>。产品管理人有权根据实际情况提前终止，并提前【</w:t>
            </w:r>
            <w:r>
              <w:rPr>
                <w:rFonts w:ascii="宋体" w:hAnsi="宋体" w:hint="eastAsia"/>
                <w:szCs w:val="24"/>
              </w:rPr>
              <w:t>2</w:t>
            </w:r>
            <w:r>
              <w:rPr>
                <w:rFonts w:ascii="宋体" w:hAnsi="宋体" w:hint="eastAsia"/>
                <w:szCs w:val="24"/>
              </w:rPr>
              <w:t>】个工作日按照本《产品说明书》“信息披露”约定的方式通知投资者。</w:t>
            </w:r>
          </w:p>
        </w:tc>
      </w:tr>
      <w:tr w:rsidR="00A2049A" w14:paraId="6B67C96C" w14:textId="77777777">
        <w:trPr>
          <w:trHeight w:val="425"/>
        </w:trPr>
        <w:tc>
          <w:tcPr>
            <w:tcW w:w="1673" w:type="dxa"/>
            <w:vAlign w:val="center"/>
          </w:tcPr>
          <w:p w14:paraId="074AD898" w14:textId="77777777" w:rsidR="00A2049A" w:rsidRDefault="0029186B">
            <w:pPr>
              <w:snapToGrid w:val="0"/>
              <w:ind w:leftChars="26" w:left="77" w:hanging="15"/>
              <w:jc w:val="center"/>
              <w:rPr>
                <w:rFonts w:ascii="宋体" w:hAnsi="宋体"/>
                <w:szCs w:val="24"/>
              </w:rPr>
            </w:pPr>
            <w:r>
              <w:rPr>
                <w:rFonts w:ascii="宋体" w:hAnsi="宋体" w:hint="eastAsia"/>
                <w:szCs w:val="24"/>
              </w:rPr>
              <w:t>产品成立日</w:t>
            </w:r>
          </w:p>
        </w:tc>
        <w:tc>
          <w:tcPr>
            <w:tcW w:w="7541" w:type="dxa"/>
            <w:gridSpan w:val="4"/>
            <w:vAlign w:val="center"/>
          </w:tcPr>
          <w:p w14:paraId="726A345F" w14:textId="77777777" w:rsidR="00A2049A" w:rsidRDefault="0029186B">
            <w:pPr>
              <w:snapToGrid w:val="0"/>
              <w:rPr>
                <w:rFonts w:ascii="宋体" w:hAnsi="宋体"/>
                <w:b/>
                <w:szCs w:val="24"/>
              </w:rPr>
            </w:pPr>
            <w:r>
              <w:rPr>
                <w:rFonts w:ascii="宋体" w:hAnsi="宋体" w:hint="eastAsia"/>
                <w:b/>
                <w:szCs w:val="24"/>
              </w:rPr>
              <w:t>本产品</w:t>
            </w:r>
            <w:r>
              <w:rPr>
                <w:rFonts w:ascii="宋体" w:hAnsi="宋体"/>
                <w:b/>
                <w:szCs w:val="24"/>
              </w:rPr>
              <w:t>计划成立日</w:t>
            </w:r>
            <w:r>
              <w:rPr>
                <w:rFonts w:ascii="宋体" w:hAnsi="宋体" w:hint="eastAsia"/>
                <w:b/>
                <w:szCs w:val="24"/>
              </w:rPr>
              <w:t>为</w:t>
            </w:r>
            <w:r>
              <w:rPr>
                <w:rFonts w:ascii="宋体" w:hAnsi="宋体" w:hint="eastAsia"/>
                <w:szCs w:val="24"/>
              </w:rPr>
              <w:t>【</w:t>
            </w:r>
            <w:r>
              <w:rPr>
                <w:rFonts w:ascii="宋体" w:hAnsi="宋体"/>
                <w:b/>
                <w:szCs w:val="24"/>
              </w:rPr>
              <w:t>202</w:t>
            </w:r>
            <w:r>
              <w:rPr>
                <w:rFonts w:ascii="宋体" w:hAnsi="宋体" w:hint="eastAsia"/>
                <w:b/>
                <w:szCs w:val="24"/>
              </w:rPr>
              <w:t>6</w:t>
            </w:r>
            <w:r>
              <w:rPr>
                <w:rFonts w:ascii="宋体" w:hAnsi="宋体" w:hint="eastAsia"/>
                <w:b/>
                <w:szCs w:val="24"/>
              </w:rPr>
              <w:t>】年【</w:t>
            </w:r>
            <w:r>
              <w:rPr>
                <w:rFonts w:ascii="宋体" w:hAnsi="宋体" w:hint="eastAsia"/>
                <w:b/>
                <w:szCs w:val="24"/>
              </w:rPr>
              <w:t>8</w:t>
            </w:r>
            <w:r>
              <w:rPr>
                <w:rFonts w:ascii="宋体" w:hAnsi="宋体" w:hint="eastAsia"/>
                <w:b/>
                <w:szCs w:val="24"/>
              </w:rPr>
              <w:t>】月【</w:t>
            </w:r>
            <w:r>
              <w:rPr>
                <w:rFonts w:ascii="宋体" w:hAnsi="宋体" w:hint="eastAsia"/>
                <w:b/>
                <w:szCs w:val="24"/>
              </w:rPr>
              <w:t>21</w:t>
            </w:r>
            <w:r>
              <w:rPr>
                <w:rFonts w:ascii="宋体" w:hAnsi="宋体" w:hint="eastAsia"/>
                <w:b/>
                <w:szCs w:val="24"/>
              </w:rPr>
              <w:t>】日，如遇非工作日则顺延至下一工作日。</w:t>
            </w:r>
          </w:p>
          <w:p w14:paraId="0B98FEE0" w14:textId="77777777" w:rsidR="00A2049A" w:rsidRDefault="0029186B">
            <w:pPr>
              <w:snapToGrid w:val="0"/>
              <w:rPr>
                <w:rFonts w:ascii="宋体" w:hAnsi="宋体"/>
                <w:szCs w:val="24"/>
              </w:rPr>
            </w:pPr>
            <w:r>
              <w:rPr>
                <w:rFonts w:ascii="宋体" w:hAnsi="宋体" w:hint="eastAsia"/>
                <w:b/>
                <w:szCs w:val="24"/>
              </w:rPr>
              <w:t>如本理财产品募集期提前终止或延长，实际成立日以管理人或销售机构公告为准。</w:t>
            </w:r>
          </w:p>
        </w:tc>
      </w:tr>
      <w:tr w:rsidR="00A2049A" w14:paraId="70E84590" w14:textId="77777777">
        <w:trPr>
          <w:trHeight w:val="425"/>
        </w:trPr>
        <w:tc>
          <w:tcPr>
            <w:tcW w:w="1673" w:type="dxa"/>
            <w:vAlign w:val="center"/>
          </w:tcPr>
          <w:p w14:paraId="333AC099" w14:textId="77777777" w:rsidR="00A2049A" w:rsidRDefault="0029186B">
            <w:pPr>
              <w:snapToGrid w:val="0"/>
              <w:ind w:leftChars="26" w:left="77" w:hanging="15"/>
              <w:jc w:val="center"/>
              <w:rPr>
                <w:rFonts w:ascii="宋体" w:hAnsi="宋体"/>
                <w:szCs w:val="24"/>
              </w:rPr>
            </w:pPr>
            <w:r>
              <w:rPr>
                <w:rFonts w:ascii="宋体" w:hAnsi="宋体" w:hint="eastAsia"/>
                <w:szCs w:val="24"/>
              </w:rPr>
              <w:t>认购、</w:t>
            </w:r>
          </w:p>
          <w:p w14:paraId="26710EE9" w14:textId="77777777" w:rsidR="00A2049A" w:rsidRDefault="0029186B">
            <w:pPr>
              <w:snapToGrid w:val="0"/>
              <w:ind w:leftChars="26" w:left="77" w:hanging="15"/>
              <w:jc w:val="center"/>
              <w:rPr>
                <w:rFonts w:ascii="宋体" w:hAnsi="宋体"/>
                <w:szCs w:val="24"/>
              </w:rPr>
            </w:pPr>
            <w:r>
              <w:rPr>
                <w:rFonts w:ascii="宋体" w:hAnsi="宋体" w:hint="eastAsia"/>
                <w:szCs w:val="24"/>
              </w:rPr>
              <w:t>申购、赎回安排</w:t>
            </w:r>
          </w:p>
        </w:tc>
        <w:tc>
          <w:tcPr>
            <w:tcW w:w="7541" w:type="dxa"/>
            <w:gridSpan w:val="4"/>
            <w:vAlign w:val="center"/>
          </w:tcPr>
          <w:p w14:paraId="2C60E9EF" w14:textId="77777777" w:rsidR="00A2049A" w:rsidRDefault="0029186B">
            <w:pPr>
              <w:snapToGrid w:val="0"/>
              <w:jc w:val="left"/>
              <w:rPr>
                <w:rFonts w:ascii="宋体" w:hAnsi="宋体"/>
                <w:szCs w:val="24"/>
              </w:rPr>
            </w:pPr>
            <w:r>
              <w:rPr>
                <w:rFonts w:ascii="宋体" w:hAnsi="宋体" w:hint="eastAsia"/>
                <w:szCs w:val="24"/>
              </w:rPr>
              <w:t>1.</w:t>
            </w:r>
            <w:r>
              <w:rPr>
                <w:rFonts w:ascii="宋体" w:hAnsi="宋体" w:hint="eastAsia"/>
                <w:szCs w:val="24"/>
              </w:rPr>
              <w:t>本理财产品按金额认购。</w:t>
            </w:r>
          </w:p>
          <w:p w14:paraId="3CA46BF5" w14:textId="77777777" w:rsidR="00A2049A" w:rsidRDefault="0029186B">
            <w:pPr>
              <w:snapToGrid w:val="0"/>
              <w:jc w:val="left"/>
              <w:rPr>
                <w:rFonts w:ascii="宋体" w:hAnsi="宋体"/>
                <w:szCs w:val="24"/>
              </w:rPr>
            </w:pPr>
            <w:r>
              <w:rPr>
                <w:rFonts w:ascii="宋体" w:hAnsi="宋体" w:hint="eastAsia"/>
                <w:szCs w:val="24"/>
              </w:rPr>
              <w:t>2.</w:t>
            </w:r>
            <w:r>
              <w:rPr>
                <w:rFonts w:ascii="宋体" w:hAnsi="宋体" w:hint="eastAsia"/>
                <w:szCs w:val="24"/>
              </w:rPr>
              <w:t>认购份额</w:t>
            </w:r>
            <w:r>
              <w:rPr>
                <w:rFonts w:ascii="宋体" w:hAnsi="宋体" w:hint="eastAsia"/>
                <w:szCs w:val="24"/>
              </w:rPr>
              <w:t>=</w:t>
            </w:r>
            <w:r>
              <w:rPr>
                <w:rFonts w:ascii="宋体" w:hAnsi="宋体" w:hint="eastAsia"/>
                <w:szCs w:val="24"/>
              </w:rPr>
              <w:t>认购金额÷产品份额净值，按四舍五入原则，保留</w:t>
            </w:r>
            <w:r>
              <w:rPr>
                <w:rFonts w:ascii="宋体" w:hAnsi="宋体" w:hint="eastAsia"/>
                <w:szCs w:val="24"/>
              </w:rPr>
              <w:t>2</w:t>
            </w:r>
            <w:r>
              <w:rPr>
                <w:rFonts w:ascii="宋体" w:hAnsi="宋体" w:hint="eastAsia"/>
                <w:szCs w:val="24"/>
              </w:rPr>
              <w:t>位小数。</w:t>
            </w:r>
          </w:p>
          <w:p w14:paraId="5B352171" w14:textId="77777777" w:rsidR="00A2049A" w:rsidRDefault="0029186B">
            <w:pPr>
              <w:snapToGrid w:val="0"/>
              <w:rPr>
                <w:rFonts w:ascii="宋体" w:hAnsi="宋体"/>
                <w:b/>
                <w:szCs w:val="24"/>
              </w:rPr>
            </w:pPr>
            <w:r>
              <w:rPr>
                <w:rFonts w:ascii="宋体" w:hAnsi="宋体" w:hint="eastAsia"/>
                <w:szCs w:val="24"/>
              </w:rPr>
              <w:t>3</w:t>
            </w:r>
            <w:r>
              <w:rPr>
                <w:rFonts w:ascii="宋体" w:hAnsi="宋体"/>
                <w:szCs w:val="24"/>
              </w:rPr>
              <w:t>.</w:t>
            </w:r>
            <w:r>
              <w:rPr>
                <w:rFonts w:ascii="宋体" w:hAnsi="宋体" w:hint="eastAsia"/>
                <w:szCs w:val="24"/>
              </w:rPr>
              <w:t>本产品存续期内不开放投资者申购或赎回。</w:t>
            </w:r>
          </w:p>
        </w:tc>
      </w:tr>
      <w:tr w:rsidR="00A2049A" w14:paraId="773B02CC" w14:textId="77777777">
        <w:trPr>
          <w:trHeight w:val="425"/>
        </w:trPr>
        <w:tc>
          <w:tcPr>
            <w:tcW w:w="1673" w:type="dxa"/>
            <w:vAlign w:val="center"/>
          </w:tcPr>
          <w:p w14:paraId="206A0A5E" w14:textId="77777777" w:rsidR="00A2049A" w:rsidRDefault="0029186B">
            <w:pPr>
              <w:snapToGrid w:val="0"/>
              <w:ind w:leftChars="26" w:left="77" w:hanging="15"/>
              <w:jc w:val="center"/>
              <w:rPr>
                <w:rFonts w:ascii="宋体" w:hAnsi="宋体"/>
                <w:szCs w:val="24"/>
              </w:rPr>
            </w:pPr>
            <w:r>
              <w:rPr>
                <w:rFonts w:ascii="宋体" w:hAnsi="宋体" w:hint="eastAsia"/>
                <w:szCs w:val="24"/>
              </w:rPr>
              <w:t>产品到期日</w:t>
            </w:r>
          </w:p>
        </w:tc>
        <w:tc>
          <w:tcPr>
            <w:tcW w:w="7541" w:type="dxa"/>
            <w:gridSpan w:val="4"/>
            <w:vAlign w:val="center"/>
          </w:tcPr>
          <w:p w14:paraId="5C6275E5" w14:textId="77777777" w:rsidR="00A2049A" w:rsidRDefault="0029186B">
            <w:pPr>
              <w:snapToGrid w:val="0"/>
              <w:rPr>
                <w:rFonts w:ascii="宋体" w:hAnsi="宋体"/>
                <w:b/>
                <w:szCs w:val="24"/>
              </w:rPr>
            </w:pPr>
            <w:r>
              <w:rPr>
                <w:rFonts w:ascii="宋体" w:hAnsi="宋体" w:hint="eastAsia"/>
                <w:szCs w:val="24"/>
              </w:rPr>
              <w:t>【</w:t>
            </w:r>
            <w:r>
              <w:rPr>
                <w:rFonts w:ascii="宋体" w:hAnsi="宋体"/>
                <w:b/>
                <w:szCs w:val="24"/>
              </w:rPr>
              <w:t>202</w:t>
            </w:r>
            <w:r>
              <w:rPr>
                <w:rFonts w:ascii="宋体" w:hAnsi="宋体" w:hint="eastAsia"/>
                <w:b/>
                <w:szCs w:val="24"/>
              </w:rPr>
              <w:t>7</w:t>
            </w:r>
            <w:r>
              <w:rPr>
                <w:rFonts w:ascii="宋体" w:hAnsi="宋体" w:hint="eastAsia"/>
                <w:b/>
                <w:szCs w:val="24"/>
              </w:rPr>
              <w:t>】年【</w:t>
            </w:r>
            <w:r>
              <w:rPr>
                <w:rFonts w:ascii="宋体" w:hAnsi="宋体" w:hint="eastAsia"/>
                <w:b/>
                <w:szCs w:val="24"/>
              </w:rPr>
              <w:t>9</w:t>
            </w:r>
            <w:r>
              <w:rPr>
                <w:rFonts w:ascii="宋体" w:hAnsi="宋体" w:hint="eastAsia"/>
                <w:b/>
                <w:szCs w:val="24"/>
              </w:rPr>
              <w:t>】月【</w:t>
            </w:r>
            <w:r>
              <w:rPr>
                <w:rFonts w:ascii="宋体" w:hAnsi="宋体" w:hint="eastAsia"/>
                <w:b/>
                <w:szCs w:val="24"/>
              </w:rPr>
              <w:t>16</w:t>
            </w:r>
            <w:r>
              <w:rPr>
                <w:rFonts w:ascii="宋体" w:hAnsi="宋体" w:hint="eastAsia"/>
                <w:b/>
                <w:szCs w:val="24"/>
              </w:rPr>
              <w:t>】日</w:t>
            </w:r>
            <w:r>
              <w:rPr>
                <w:rFonts w:ascii="宋体" w:hAnsi="宋体" w:hint="eastAsia"/>
                <w:szCs w:val="24"/>
              </w:rPr>
              <w:t>，如遇非</w:t>
            </w:r>
            <w:r>
              <w:rPr>
                <w:rFonts w:ascii="宋体" w:hAnsi="宋体" w:hint="eastAsia"/>
                <w:b/>
                <w:szCs w:val="24"/>
              </w:rPr>
              <w:t>工作日</w:t>
            </w:r>
            <w:r>
              <w:rPr>
                <w:rFonts w:ascii="宋体" w:hAnsi="宋体" w:hint="eastAsia"/>
                <w:szCs w:val="24"/>
              </w:rPr>
              <w:t>则顺延至下一</w:t>
            </w:r>
            <w:r>
              <w:rPr>
                <w:rFonts w:ascii="宋体" w:hAnsi="宋体" w:hint="eastAsia"/>
                <w:b/>
                <w:szCs w:val="24"/>
              </w:rPr>
              <w:t>工作日</w:t>
            </w:r>
            <w:r>
              <w:rPr>
                <w:rFonts w:ascii="宋体" w:hAnsi="宋体" w:hint="eastAsia"/>
                <w:szCs w:val="24"/>
              </w:rPr>
              <w:t>。管理人有权根据实际情况提前终止本产品或延长本产品存续期，并及时公告。如产品提前终止或延期终止，除有特别约定外，实际终止日为到期日。</w:t>
            </w:r>
          </w:p>
        </w:tc>
      </w:tr>
      <w:tr w:rsidR="00A2049A" w14:paraId="131774AF" w14:textId="77777777">
        <w:trPr>
          <w:trHeight w:val="425"/>
        </w:trPr>
        <w:tc>
          <w:tcPr>
            <w:tcW w:w="1673" w:type="dxa"/>
            <w:vAlign w:val="center"/>
          </w:tcPr>
          <w:p w14:paraId="562AAAD5" w14:textId="77777777" w:rsidR="00A2049A" w:rsidRDefault="0029186B">
            <w:pPr>
              <w:snapToGrid w:val="0"/>
              <w:ind w:leftChars="26" w:left="77" w:hanging="15"/>
              <w:jc w:val="center"/>
              <w:rPr>
                <w:rFonts w:ascii="宋体" w:hAnsi="宋体"/>
                <w:szCs w:val="24"/>
              </w:rPr>
            </w:pPr>
            <w:r>
              <w:rPr>
                <w:rFonts w:ascii="宋体" w:hAnsi="宋体" w:hint="eastAsia"/>
                <w:szCs w:val="24"/>
              </w:rPr>
              <w:t>产品兑付日</w:t>
            </w:r>
          </w:p>
        </w:tc>
        <w:tc>
          <w:tcPr>
            <w:tcW w:w="7541" w:type="dxa"/>
            <w:gridSpan w:val="4"/>
            <w:vAlign w:val="center"/>
          </w:tcPr>
          <w:p w14:paraId="48D06619" w14:textId="77777777" w:rsidR="00A2049A" w:rsidRDefault="0029186B">
            <w:pPr>
              <w:snapToGrid w:val="0"/>
              <w:rPr>
                <w:rFonts w:ascii="宋体" w:hAnsi="宋体"/>
                <w:b/>
                <w:szCs w:val="24"/>
              </w:rPr>
            </w:pPr>
            <w:r>
              <w:rPr>
                <w:rFonts w:ascii="宋体" w:hAnsi="宋体" w:hint="eastAsia"/>
                <w:b/>
                <w:szCs w:val="24"/>
              </w:rPr>
              <w:t>指本产品到期后投资者理财兑付资金的到账日。理财兑付资金于产品到期后</w:t>
            </w:r>
            <w:r>
              <w:rPr>
                <w:rFonts w:ascii="宋体" w:hAnsi="宋体" w:hint="eastAsia"/>
                <w:b/>
                <w:szCs w:val="24"/>
              </w:rPr>
              <w:t>5</w:t>
            </w:r>
            <w:r>
              <w:rPr>
                <w:rFonts w:ascii="宋体" w:hAnsi="宋体" w:hint="eastAsia"/>
                <w:b/>
                <w:szCs w:val="24"/>
              </w:rPr>
              <w:t>个</w:t>
            </w:r>
            <w:r>
              <w:rPr>
                <w:rFonts w:ascii="宋体" w:hAnsi="宋体" w:hint="eastAsia"/>
                <w:b/>
                <w:szCs w:val="24"/>
              </w:rPr>
              <w:t>工作日</w:t>
            </w:r>
            <w:r>
              <w:rPr>
                <w:rFonts w:ascii="宋体" w:hAnsi="宋体" w:hint="eastAsia"/>
                <w:b/>
                <w:szCs w:val="24"/>
              </w:rPr>
              <w:t>内划至投资者指定账户。产品到期日至兑付日期间，投资者理财资金如因清算安排实际产生利息的，相关利息归投资者所有。</w:t>
            </w:r>
          </w:p>
        </w:tc>
      </w:tr>
      <w:tr w:rsidR="00A2049A" w14:paraId="59E4F94D" w14:textId="77777777">
        <w:trPr>
          <w:trHeight w:val="425"/>
        </w:trPr>
        <w:tc>
          <w:tcPr>
            <w:tcW w:w="1673" w:type="dxa"/>
            <w:vAlign w:val="center"/>
          </w:tcPr>
          <w:p w14:paraId="4C69FE48" w14:textId="77777777" w:rsidR="00A2049A" w:rsidRDefault="0029186B">
            <w:pPr>
              <w:snapToGrid w:val="0"/>
              <w:ind w:leftChars="26" w:left="77" w:hanging="15"/>
              <w:jc w:val="center"/>
              <w:rPr>
                <w:rFonts w:ascii="宋体" w:hAnsi="宋体"/>
                <w:szCs w:val="24"/>
              </w:rPr>
            </w:pPr>
            <w:r>
              <w:rPr>
                <w:rFonts w:ascii="宋体" w:hAnsi="宋体" w:hint="eastAsia"/>
                <w:kern w:val="0"/>
                <w:szCs w:val="24"/>
              </w:rPr>
              <w:t>撤销规则</w:t>
            </w:r>
          </w:p>
        </w:tc>
        <w:tc>
          <w:tcPr>
            <w:tcW w:w="7541" w:type="dxa"/>
            <w:gridSpan w:val="4"/>
            <w:vAlign w:val="center"/>
          </w:tcPr>
          <w:p w14:paraId="0331D662" w14:textId="77777777" w:rsidR="00A2049A" w:rsidRDefault="0029186B">
            <w:pPr>
              <w:snapToGrid w:val="0"/>
              <w:jc w:val="left"/>
              <w:rPr>
                <w:rFonts w:ascii="宋体" w:hAnsi="宋体"/>
                <w:szCs w:val="24"/>
              </w:rPr>
            </w:pPr>
            <w:r>
              <w:rPr>
                <w:rFonts w:ascii="宋体" w:hAnsi="宋体" w:hint="eastAsia"/>
                <w:szCs w:val="24"/>
              </w:rPr>
              <w:t>投资者可在本理财产品募集期结束前撤销已成功提交的产品认购申请</w:t>
            </w:r>
            <w:r>
              <w:rPr>
                <w:rFonts w:ascii="宋体" w:hAnsi="宋体" w:hint="eastAsia"/>
                <w:kern w:val="0"/>
                <w:szCs w:val="24"/>
              </w:rPr>
              <w:t>。销售机构实际受理撤销申请时间可能与说明书不一致，具体以销售机构通知为准。</w:t>
            </w:r>
          </w:p>
        </w:tc>
      </w:tr>
      <w:tr w:rsidR="00A2049A" w14:paraId="0514C751" w14:textId="77777777">
        <w:trPr>
          <w:trHeight w:val="425"/>
        </w:trPr>
        <w:tc>
          <w:tcPr>
            <w:tcW w:w="1673" w:type="dxa"/>
            <w:vAlign w:val="center"/>
          </w:tcPr>
          <w:p w14:paraId="7D2C4E8A" w14:textId="77777777" w:rsidR="00A2049A" w:rsidRDefault="0029186B">
            <w:pPr>
              <w:snapToGrid w:val="0"/>
              <w:ind w:leftChars="26" w:left="77" w:hanging="15"/>
              <w:jc w:val="center"/>
              <w:rPr>
                <w:rFonts w:ascii="宋体" w:hAnsi="宋体"/>
                <w:szCs w:val="24"/>
              </w:rPr>
            </w:pPr>
            <w:r>
              <w:rPr>
                <w:rFonts w:ascii="宋体" w:hAnsi="宋体" w:hint="eastAsia"/>
                <w:szCs w:val="24"/>
              </w:rPr>
              <w:t>业绩比较基准</w:t>
            </w:r>
          </w:p>
        </w:tc>
        <w:tc>
          <w:tcPr>
            <w:tcW w:w="7541" w:type="dxa"/>
            <w:gridSpan w:val="4"/>
            <w:vAlign w:val="center"/>
          </w:tcPr>
          <w:p w14:paraId="077E1411" w14:textId="77777777" w:rsidR="00A2049A" w:rsidRDefault="0029186B">
            <w:pPr>
              <w:widowControl/>
              <w:jc w:val="left"/>
              <w:rPr>
                <w:rFonts w:ascii="宋体" w:hAnsi="宋体"/>
                <w:b/>
                <w:szCs w:val="24"/>
              </w:rPr>
            </w:pPr>
            <w:r>
              <w:rPr>
                <w:rFonts w:ascii="宋体" w:hAnsi="宋体" w:hint="eastAsia"/>
                <w:b/>
                <w:szCs w:val="24"/>
              </w:rPr>
              <w:t>1.</w:t>
            </w:r>
            <w:r>
              <w:rPr>
                <w:rFonts w:ascii="宋体" w:hAnsi="宋体" w:hint="eastAsia"/>
                <w:b/>
                <w:szCs w:val="24"/>
              </w:rPr>
              <w:t>业绩比较基准的设置</w:t>
            </w:r>
          </w:p>
          <w:p w14:paraId="46A15333" w14:textId="77777777" w:rsidR="00A2049A" w:rsidRDefault="0029186B">
            <w:pPr>
              <w:widowControl/>
              <w:jc w:val="left"/>
              <w:rPr>
                <w:rFonts w:ascii="宋体" w:hAnsi="宋体"/>
                <w:b/>
                <w:szCs w:val="24"/>
              </w:rPr>
            </w:pPr>
            <w:r>
              <w:rPr>
                <w:rFonts w:ascii="Wingdings 2" w:eastAsia="宋体" w:hAnsi="Wingdings 2" w:cs="东文宋体"/>
                <w:szCs w:val="24"/>
              </w:rPr>
              <w:t></w:t>
            </w:r>
            <w:r>
              <w:rPr>
                <w:rFonts w:ascii="宋体" w:hAnsi="宋体" w:hint="eastAsia"/>
                <w:b/>
                <w:szCs w:val="24"/>
              </w:rPr>
              <w:t xml:space="preserve">  </w:t>
            </w:r>
            <w:r>
              <w:rPr>
                <w:rFonts w:ascii="宋体" w:hAnsi="宋体" w:hint="eastAsia"/>
                <w:b/>
                <w:szCs w:val="24"/>
              </w:rPr>
              <w:t>产品管理人设置业绩比较基准。</w:t>
            </w:r>
          </w:p>
          <w:p w14:paraId="160EBFED"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2.60%-2.90%</w:t>
            </w:r>
            <w:r>
              <w:rPr>
                <w:rFonts w:ascii="宋体" w:hAnsi="宋体" w:hint="eastAsia"/>
                <w:b/>
                <w:szCs w:val="24"/>
              </w:rPr>
              <w:t>】（适用【</w:t>
            </w:r>
            <w:r>
              <w:rPr>
                <w:rFonts w:ascii="宋体" w:hAnsi="宋体" w:hint="eastAsia"/>
                <w:b/>
                <w:szCs w:val="24"/>
              </w:rPr>
              <w:t>A</w:t>
            </w:r>
            <w:r>
              <w:rPr>
                <w:rFonts w:ascii="宋体" w:hAnsi="宋体" w:hint="eastAsia"/>
                <w:b/>
                <w:szCs w:val="24"/>
              </w:rPr>
              <w:t>】类份额）</w:t>
            </w:r>
          </w:p>
          <w:p w14:paraId="1C92BD08"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2.55%-2.85%</w:t>
            </w:r>
            <w:r>
              <w:rPr>
                <w:rFonts w:ascii="宋体" w:hAnsi="宋体" w:hint="eastAsia"/>
                <w:b/>
                <w:szCs w:val="24"/>
              </w:rPr>
              <w:t>】（适用【</w:t>
            </w:r>
            <w:r>
              <w:rPr>
                <w:rFonts w:ascii="宋体" w:hAnsi="宋体" w:hint="eastAsia"/>
                <w:b/>
                <w:szCs w:val="24"/>
              </w:rPr>
              <w:t>B</w:t>
            </w:r>
            <w:r>
              <w:rPr>
                <w:rFonts w:ascii="宋体" w:hAnsi="宋体" w:hint="eastAsia"/>
                <w:b/>
                <w:szCs w:val="24"/>
              </w:rPr>
              <w:t>】类份额）</w:t>
            </w:r>
          </w:p>
          <w:p w14:paraId="191816E5"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2.50%-2.80%</w:t>
            </w:r>
            <w:r>
              <w:rPr>
                <w:rFonts w:ascii="宋体" w:hAnsi="宋体" w:hint="eastAsia"/>
                <w:b/>
                <w:szCs w:val="24"/>
              </w:rPr>
              <w:t>】（适用【</w:t>
            </w:r>
            <w:r>
              <w:rPr>
                <w:rFonts w:ascii="宋体" w:hAnsi="宋体" w:hint="eastAsia"/>
                <w:b/>
                <w:szCs w:val="24"/>
              </w:rPr>
              <w:t>C</w:t>
            </w:r>
            <w:r>
              <w:rPr>
                <w:rFonts w:ascii="宋体" w:hAnsi="宋体" w:hint="eastAsia"/>
                <w:b/>
                <w:szCs w:val="24"/>
              </w:rPr>
              <w:t>】类份额）</w:t>
            </w:r>
          </w:p>
          <w:p w14:paraId="4FFEA17D"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2.45%-2.75%</w:t>
            </w:r>
            <w:r>
              <w:rPr>
                <w:rFonts w:ascii="宋体" w:hAnsi="宋体" w:hint="eastAsia"/>
                <w:b/>
                <w:szCs w:val="24"/>
              </w:rPr>
              <w:t>】（适用</w:t>
            </w:r>
            <w:r>
              <w:rPr>
                <w:rFonts w:ascii="宋体" w:hAnsi="宋体" w:hint="eastAsia"/>
                <w:b/>
                <w:szCs w:val="24"/>
              </w:rPr>
              <w:t>【</w:t>
            </w:r>
            <w:r>
              <w:rPr>
                <w:rFonts w:ascii="宋体" w:hAnsi="宋体" w:hint="eastAsia"/>
                <w:b/>
                <w:szCs w:val="24"/>
              </w:rPr>
              <w:t>D</w:t>
            </w:r>
            <w:r>
              <w:rPr>
                <w:rFonts w:ascii="宋体" w:hAnsi="宋体" w:hint="eastAsia"/>
                <w:b/>
                <w:szCs w:val="24"/>
              </w:rPr>
              <w:t>】</w:t>
            </w:r>
            <w:r>
              <w:rPr>
                <w:rFonts w:ascii="宋体" w:hAnsi="宋体" w:hint="eastAsia"/>
                <w:b/>
                <w:szCs w:val="24"/>
              </w:rPr>
              <w:t>类份额）</w:t>
            </w:r>
          </w:p>
          <w:p w14:paraId="3079D305"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2.40%-2.70%</w:t>
            </w:r>
            <w:r>
              <w:rPr>
                <w:rFonts w:ascii="宋体" w:hAnsi="宋体" w:hint="eastAsia"/>
                <w:b/>
                <w:szCs w:val="24"/>
              </w:rPr>
              <w:t>】（适用</w:t>
            </w:r>
            <w:r>
              <w:rPr>
                <w:rFonts w:ascii="宋体" w:hAnsi="宋体" w:hint="eastAsia"/>
                <w:b/>
                <w:szCs w:val="24"/>
              </w:rPr>
              <w:t>【</w:t>
            </w:r>
            <w:r>
              <w:rPr>
                <w:rFonts w:ascii="宋体" w:hAnsi="宋体" w:hint="eastAsia"/>
                <w:b/>
                <w:szCs w:val="24"/>
              </w:rPr>
              <w:t>E</w:t>
            </w:r>
            <w:r>
              <w:rPr>
                <w:rFonts w:ascii="宋体" w:hAnsi="宋体" w:hint="eastAsia"/>
                <w:b/>
                <w:szCs w:val="24"/>
              </w:rPr>
              <w:t>】</w:t>
            </w:r>
            <w:r>
              <w:rPr>
                <w:rFonts w:ascii="宋体" w:hAnsi="宋体" w:hint="eastAsia"/>
                <w:b/>
                <w:szCs w:val="24"/>
              </w:rPr>
              <w:t>类份额）</w:t>
            </w:r>
          </w:p>
          <w:p w14:paraId="063A9C9F"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2.45%-2.75%</w:t>
            </w:r>
            <w:r>
              <w:rPr>
                <w:rFonts w:ascii="宋体" w:hAnsi="宋体" w:hint="eastAsia"/>
                <w:b/>
                <w:szCs w:val="24"/>
              </w:rPr>
              <w:t>】（适用</w:t>
            </w:r>
            <w:r>
              <w:rPr>
                <w:rFonts w:ascii="宋体" w:hAnsi="宋体" w:hint="eastAsia"/>
                <w:b/>
                <w:szCs w:val="24"/>
              </w:rPr>
              <w:t>【</w:t>
            </w:r>
            <w:r>
              <w:rPr>
                <w:rFonts w:ascii="宋体" w:hAnsi="宋体" w:hint="eastAsia"/>
                <w:b/>
                <w:szCs w:val="24"/>
              </w:rPr>
              <w:t>F</w:t>
            </w:r>
            <w:r>
              <w:rPr>
                <w:rFonts w:ascii="宋体" w:hAnsi="宋体" w:hint="eastAsia"/>
                <w:b/>
                <w:szCs w:val="24"/>
              </w:rPr>
              <w:t>】</w:t>
            </w:r>
            <w:r>
              <w:rPr>
                <w:rFonts w:ascii="宋体" w:hAnsi="宋体" w:hint="eastAsia"/>
                <w:b/>
                <w:szCs w:val="24"/>
              </w:rPr>
              <w:t>类份额）</w:t>
            </w:r>
          </w:p>
          <w:p w14:paraId="39550B8D"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2.40%-2.70%</w:t>
            </w:r>
            <w:r>
              <w:rPr>
                <w:rFonts w:ascii="宋体" w:hAnsi="宋体" w:hint="eastAsia"/>
                <w:b/>
                <w:szCs w:val="24"/>
              </w:rPr>
              <w:t>】（适用</w:t>
            </w:r>
            <w:r>
              <w:rPr>
                <w:rFonts w:ascii="宋体" w:hAnsi="宋体" w:hint="eastAsia"/>
                <w:b/>
                <w:szCs w:val="24"/>
              </w:rPr>
              <w:t>【</w:t>
            </w:r>
            <w:r>
              <w:rPr>
                <w:rFonts w:ascii="宋体" w:hAnsi="宋体" w:hint="eastAsia"/>
                <w:b/>
                <w:szCs w:val="24"/>
              </w:rPr>
              <w:t>G</w:t>
            </w:r>
            <w:r>
              <w:rPr>
                <w:rFonts w:ascii="宋体" w:hAnsi="宋体" w:hint="eastAsia"/>
                <w:b/>
                <w:szCs w:val="24"/>
              </w:rPr>
              <w:t>】</w:t>
            </w:r>
            <w:r>
              <w:rPr>
                <w:rFonts w:ascii="宋体" w:hAnsi="宋体" w:hint="eastAsia"/>
                <w:b/>
                <w:szCs w:val="24"/>
              </w:rPr>
              <w:t>类份额）</w:t>
            </w:r>
          </w:p>
          <w:p w14:paraId="0AF90A36" w14:textId="77777777" w:rsidR="00A2049A" w:rsidRDefault="0029186B">
            <w:pPr>
              <w:widowControl/>
              <w:jc w:val="left"/>
              <w:rPr>
                <w:rFonts w:ascii="宋体" w:hAnsi="宋体"/>
                <w:b/>
                <w:szCs w:val="24"/>
              </w:rPr>
            </w:pPr>
            <w:r>
              <w:rPr>
                <w:rFonts w:ascii="宋体" w:eastAsia="宋体" w:hAnsi="宋体" w:cs="东文宋体" w:hint="eastAsia"/>
                <w:szCs w:val="24"/>
              </w:rPr>
              <w:t>□</w:t>
            </w:r>
            <w:r>
              <w:rPr>
                <w:rFonts w:ascii="宋体" w:hAnsi="宋体" w:hint="eastAsia"/>
                <w:b/>
                <w:szCs w:val="24"/>
              </w:rPr>
              <w:t>本产品</w:t>
            </w:r>
            <w:r>
              <w:rPr>
                <w:rFonts w:ascii="宋体" w:hAnsi="宋体"/>
                <w:b/>
                <w:szCs w:val="24"/>
              </w:rPr>
              <w:t>不</w:t>
            </w:r>
            <w:r>
              <w:rPr>
                <w:rFonts w:ascii="宋体" w:hAnsi="宋体" w:hint="eastAsia"/>
                <w:b/>
                <w:szCs w:val="24"/>
              </w:rPr>
              <w:t>设置</w:t>
            </w:r>
            <w:r>
              <w:rPr>
                <w:rFonts w:ascii="宋体" w:hAnsi="宋体"/>
                <w:b/>
                <w:szCs w:val="24"/>
              </w:rPr>
              <w:t>业绩比较基准</w:t>
            </w:r>
            <w:r>
              <w:rPr>
                <w:rFonts w:ascii="宋体" w:hAnsi="宋体" w:hint="eastAsia"/>
                <w:b/>
                <w:szCs w:val="24"/>
              </w:rPr>
              <w:t>。</w:t>
            </w:r>
          </w:p>
          <w:p w14:paraId="0F8632DC" w14:textId="77777777" w:rsidR="00A2049A" w:rsidRDefault="0029186B">
            <w:pPr>
              <w:widowControl/>
              <w:jc w:val="left"/>
              <w:rPr>
                <w:rFonts w:ascii="宋体" w:hAnsi="宋体"/>
                <w:b/>
                <w:szCs w:val="24"/>
              </w:rPr>
            </w:pPr>
            <w:r>
              <w:rPr>
                <w:rFonts w:ascii="宋体" w:hAnsi="宋体" w:hint="eastAsia"/>
                <w:b/>
                <w:szCs w:val="24"/>
              </w:rPr>
              <w:t>2</w:t>
            </w:r>
            <w:r>
              <w:rPr>
                <w:rFonts w:ascii="宋体" w:hAnsi="宋体"/>
                <w:b/>
                <w:szCs w:val="24"/>
              </w:rPr>
              <w:t>.</w:t>
            </w:r>
            <w:r>
              <w:rPr>
                <w:rFonts w:ascii="宋体" w:hAnsi="宋体" w:hint="eastAsia"/>
                <w:b/>
                <w:szCs w:val="24"/>
              </w:rPr>
              <w:t>业绩</w:t>
            </w:r>
            <w:r>
              <w:rPr>
                <w:rFonts w:ascii="宋体" w:hAnsi="宋体"/>
                <w:b/>
                <w:szCs w:val="24"/>
              </w:rPr>
              <w:t>比较基准</w:t>
            </w:r>
            <w:r>
              <w:rPr>
                <w:rFonts w:ascii="宋体" w:hAnsi="宋体" w:hint="eastAsia"/>
                <w:b/>
                <w:szCs w:val="24"/>
              </w:rPr>
              <w:t>提示：</w:t>
            </w:r>
          </w:p>
          <w:p w14:paraId="6A660C33" w14:textId="77777777" w:rsidR="00A2049A" w:rsidRDefault="0029186B">
            <w:pPr>
              <w:widowControl/>
              <w:jc w:val="left"/>
              <w:rPr>
                <w:rFonts w:ascii="宋体" w:hAnsi="宋体"/>
                <w:b/>
                <w:szCs w:val="24"/>
              </w:rPr>
            </w:pPr>
            <w:r>
              <w:rPr>
                <w:rFonts w:ascii="宋体" w:hAnsi="宋体" w:hint="eastAsia"/>
                <w:b/>
                <w:szCs w:val="24"/>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14:paraId="4398DF6B" w14:textId="77777777" w:rsidR="00A2049A" w:rsidRDefault="0029186B">
            <w:pPr>
              <w:snapToGrid w:val="0"/>
              <w:rPr>
                <w:rFonts w:ascii="宋体" w:hAnsi="宋体"/>
                <w:b/>
                <w:bCs/>
                <w:szCs w:val="24"/>
              </w:rPr>
            </w:pPr>
            <w:r>
              <w:rPr>
                <w:rFonts w:ascii="宋体" w:hAnsi="宋体" w:hint="eastAsia"/>
                <w:b/>
                <w:szCs w:val="24"/>
              </w:rPr>
              <w:t>本理财产品投向</w:t>
            </w:r>
            <w:r>
              <w:rPr>
                <w:rFonts w:ascii="宋体" w:hAnsi="宋体" w:hint="eastAsia"/>
                <w:b/>
                <w:szCs w:val="24"/>
              </w:rPr>
              <w:t>债权类资产投资比例不低于</w:t>
            </w:r>
            <w:r>
              <w:rPr>
                <w:rFonts w:ascii="宋体" w:hAnsi="宋体" w:hint="eastAsia"/>
                <w:b/>
                <w:szCs w:val="24"/>
              </w:rPr>
              <w:t>80%</w:t>
            </w:r>
            <w:r>
              <w:rPr>
                <w:rFonts w:ascii="宋体" w:hAnsi="宋体" w:hint="eastAsia"/>
                <w:b/>
                <w:szCs w:val="24"/>
              </w:rPr>
              <w:t>，</w:t>
            </w:r>
            <w:r>
              <w:rPr>
                <w:rFonts w:ascii="宋体" w:hAnsi="宋体" w:hint="eastAsia"/>
                <w:b/>
                <w:szCs w:val="24"/>
              </w:rPr>
              <w:t>投向</w:t>
            </w:r>
            <w:r>
              <w:rPr>
                <w:rFonts w:ascii="宋体" w:hAnsi="宋体" w:hint="eastAsia"/>
                <w:b/>
                <w:szCs w:val="24"/>
              </w:rPr>
              <w:t>权益类资产、商品及</w:t>
            </w:r>
            <w:r>
              <w:rPr>
                <w:rFonts w:ascii="宋体" w:hAnsi="宋体" w:hint="eastAsia"/>
                <w:b/>
                <w:szCs w:val="24"/>
              </w:rPr>
              <w:t>金融衍生品类资产</w:t>
            </w:r>
            <w:r>
              <w:rPr>
                <w:rFonts w:ascii="宋体" w:hAnsi="宋体" w:hint="eastAsia"/>
                <w:b/>
                <w:szCs w:val="24"/>
              </w:rPr>
              <w:t>不高于</w:t>
            </w:r>
            <w:r>
              <w:rPr>
                <w:rFonts w:ascii="宋体" w:hAnsi="宋体" w:hint="eastAsia"/>
                <w:b/>
                <w:szCs w:val="24"/>
              </w:rPr>
              <w:t>20%</w:t>
            </w:r>
            <w:r>
              <w:rPr>
                <w:rFonts w:ascii="宋体" w:hAnsi="宋体" w:hint="eastAsia"/>
                <w:b/>
                <w:szCs w:val="24"/>
              </w:rPr>
              <w:t>。</w:t>
            </w:r>
            <w:r>
              <w:rPr>
                <w:rFonts w:ascii="宋体" w:hAnsi="宋体" w:hint="eastAsia"/>
                <w:szCs w:val="24"/>
              </w:rPr>
              <w:t>（</w:t>
            </w:r>
            <w:r>
              <w:rPr>
                <w:rFonts w:ascii="仿宋_GB2312" w:hAnsi="宋体" w:cs="宋体" w:hint="eastAsia"/>
                <w:bCs/>
                <w:kern w:val="0"/>
                <w:szCs w:val="24"/>
              </w:rPr>
              <w:t>本理财</w:t>
            </w:r>
            <w:r>
              <w:rPr>
                <w:rFonts w:ascii="仿宋_GB2312" w:hAnsi="宋体" w:cs="宋体"/>
                <w:bCs/>
                <w:kern w:val="0"/>
                <w:szCs w:val="24"/>
              </w:rPr>
              <w:t>产品在投资</w:t>
            </w:r>
            <w:r>
              <w:rPr>
                <w:rFonts w:ascii="仿宋_GB2312" w:hAnsi="宋体" w:cs="宋体" w:hint="eastAsia"/>
                <w:bCs/>
                <w:kern w:val="0"/>
                <w:szCs w:val="24"/>
              </w:rPr>
              <w:t>于</w:t>
            </w:r>
            <w:r>
              <w:rPr>
                <w:rFonts w:ascii="仿宋_GB2312" w:hAnsi="宋体" w:cs="宋体"/>
                <w:bCs/>
                <w:kern w:val="0"/>
                <w:szCs w:val="24"/>
              </w:rPr>
              <w:t>商品及金融衍生品类资产之前，管理人应获得相应的业务经营范围或投资交易资格。</w:t>
            </w:r>
            <w:r>
              <w:rPr>
                <w:rFonts w:ascii="宋体" w:hAnsi="宋体" w:hint="eastAsia"/>
                <w:szCs w:val="24"/>
              </w:rPr>
              <w:t>）</w:t>
            </w:r>
            <w:r>
              <w:rPr>
                <w:rFonts w:ascii="宋体" w:hAnsi="宋体" w:hint="eastAsia"/>
                <w:b/>
                <w:szCs w:val="24"/>
              </w:rPr>
              <w:t>管理人根据拟投资资产种类、配置比例、运作策略等因素，结合宏观经济情况和市场趋势的预判分析，</w:t>
            </w:r>
            <w:r>
              <w:rPr>
                <w:rFonts w:ascii="宋体" w:hAnsi="宋体" w:hint="eastAsia"/>
                <w:b/>
                <w:bCs/>
                <w:szCs w:val="24"/>
              </w:rPr>
              <w:t>综合测算、确定本理财产品的业绩比较基准。</w:t>
            </w:r>
          </w:p>
          <w:p w14:paraId="0247E3CA" w14:textId="77777777" w:rsidR="00A2049A" w:rsidRDefault="0029186B">
            <w:pPr>
              <w:snapToGrid w:val="0"/>
              <w:rPr>
                <w:rFonts w:ascii="宋体" w:hAnsi="宋体" w:cs="宋体"/>
                <w:b/>
              </w:rPr>
            </w:pPr>
            <w:r>
              <w:rPr>
                <w:rFonts w:ascii="宋体" w:hAnsi="宋体" w:cs="宋体" w:hint="eastAsia"/>
                <w:b/>
              </w:rPr>
              <w:t>业绩比较基准不是预期收益率，不代表产品的未来表现和实际收益，仅作为业绩参考和</w:t>
            </w:r>
            <w:r>
              <w:rPr>
                <w:rFonts w:ascii="宋体" w:hAnsi="宋体" w:cs="宋体"/>
                <w:b/>
              </w:rPr>
              <w:t>计算</w:t>
            </w:r>
            <w:r>
              <w:rPr>
                <w:rFonts w:ascii="宋体" w:hAnsi="宋体" w:cs="宋体" w:hint="eastAsia"/>
                <w:b/>
              </w:rPr>
              <w:t>业绩</w:t>
            </w:r>
            <w:r>
              <w:rPr>
                <w:rFonts w:ascii="宋体" w:hAnsi="宋体" w:cs="宋体"/>
                <w:b/>
              </w:rPr>
              <w:t>报酬</w:t>
            </w:r>
            <w:r>
              <w:rPr>
                <w:rFonts w:ascii="宋体" w:hAnsi="宋体" w:cs="宋体" w:hint="eastAsia"/>
                <w:b/>
              </w:rPr>
              <w:t>（如有）的依据，不构成对该理财产品的任何收益承诺，投资者能获得的最终收益以实际支付为准。</w:t>
            </w:r>
          </w:p>
          <w:p w14:paraId="169DF5D8" w14:textId="77777777" w:rsidR="00A2049A" w:rsidRDefault="0029186B">
            <w:pPr>
              <w:snapToGrid w:val="0"/>
              <w:rPr>
                <w:rFonts w:ascii="宋体" w:hAnsi="宋体"/>
                <w:b/>
                <w:szCs w:val="24"/>
              </w:rPr>
            </w:pPr>
            <w:r>
              <w:rPr>
                <w:rFonts w:ascii="宋体" w:hAnsi="宋体" w:cs="宋体" w:hint="eastAsia"/>
                <w:b/>
              </w:rPr>
              <w:lastRenderedPageBreak/>
              <w:t>理财产品存续期内，管理人有权根据市场情况对业绩比较基准进行调整，该调整将通过本《产品说明书》之“信息披露”约定的方式进行信息披露，如未披露调整，以最新披露的业绩比较基准为准。</w:t>
            </w:r>
          </w:p>
        </w:tc>
      </w:tr>
      <w:tr w:rsidR="00A2049A" w14:paraId="52F7C09B" w14:textId="77777777">
        <w:trPr>
          <w:trHeight w:val="425"/>
        </w:trPr>
        <w:tc>
          <w:tcPr>
            <w:tcW w:w="1673" w:type="dxa"/>
            <w:vAlign w:val="center"/>
          </w:tcPr>
          <w:p w14:paraId="1CBD6C01" w14:textId="77777777" w:rsidR="00A2049A" w:rsidRDefault="0029186B">
            <w:pPr>
              <w:snapToGrid w:val="0"/>
              <w:ind w:leftChars="26" w:left="77" w:hanging="15"/>
              <w:jc w:val="center"/>
              <w:rPr>
                <w:rFonts w:ascii="宋体" w:hAnsi="宋体"/>
                <w:szCs w:val="24"/>
              </w:rPr>
            </w:pPr>
            <w:r>
              <w:rPr>
                <w:rFonts w:ascii="宋体" w:hAnsi="宋体" w:hint="eastAsia"/>
                <w:szCs w:val="24"/>
              </w:rPr>
              <w:lastRenderedPageBreak/>
              <w:t>业绩</w:t>
            </w:r>
            <w:r>
              <w:rPr>
                <w:rFonts w:ascii="宋体" w:hAnsi="宋体"/>
                <w:szCs w:val="24"/>
              </w:rPr>
              <w:t>报酬计提</w:t>
            </w:r>
            <w:r>
              <w:rPr>
                <w:rFonts w:ascii="宋体" w:hAnsi="宋体" w:hint="eastAsia"/>
                <w:szCs w:val="24"/>
              </w:rPr>
              <w:t>基准</w:t>
            </w:r>
          </w:p>
        </w:tc>
        <w:tc>
          <w:tcPr>
            <w:tcW w:w="7541" w:type="dxa"/>
            <w:gridSpan w:val="4"/>
            <w:vAlign w:val="center"/>
          </w:tcPr>
          <w:p w14:paraId="436A0356" w14:textId="77777777" w:rsidR="00A2049A" w:rsidRDefault="0029186B">
            <w:pPr>
              <w:snapToGrid w:val="0"/>
              <w:rPr>
                <w:rFonts w:ascii="宋体" w:hAnsi="宋体"/>
                <w:szCs w:val="24"/>
              </w:rPr>
            </w:pPr>
            <w:r>
              <w:rPr>
                <w:rFonts w:ascii="宋体" w:hAnsi="宋体"/>
                <w:szCs w:val="24"/>
              </w:rPr>
              <w:t>1.</w:t>
            </w:r>
            <w:r>
              <w:rPr>
                <w:rFonts w:ascii="宋体" w:hAnsi="宋体" w:hint="eastAsia"/>
                <w:szCs w:val="24"/>
              </w:rPr>
              <w:t>业绩报酬计提基准的</w:t>
            </w:r>
            <w:r>
              <w:rPr>
                <w:rFonts w:ascii="宋体" w:hAnsi="宋体"/>
                <w:szCs w:val="24"/>
              </w:rPr>
              <w:t>设置</w:t>
            </w:r>
          </w:p>
          <w:p w14:paraId="4AFB49B3" w14:textId="77777777" w:rsidR="00A2049A" w:rsidRDefault="0029186B">
            <w:pPr>
              <w:snapToGrid w:val="0"/>
              <w:rPr>
                <w:rFonts w:ascii="宋体" w:hAnsi="宋体"/>
                <w:b/>
                <w:szCs w:val="24"/>
              </w:rPr>
            </w:pPr>
            <w:r>
              <w:rPr>
                <w:rFonts w:ascii="Wingdings 2" w:eastAsia="宋体" w:hAnsi="Wingdings 2" w:cs="东文宋体"/>
                <w:szCs w:val="24"/>
              </w:rPr>
              <w:t></w:t>
            </w:r>
            <w:r>
              <w:rPr>
                <w:rFonts w:ascii="仿宋_GB2312" w:hAnsi="宋体" w:hint="eastAsia"/>
                <w:szCs w:val="24"/>
              </w:rPr>
              <w:t xml:space="preserve"> </w:t>
            </w:r>
            <w:r>
              <w:rPr>
                <w:rFonts w:ascii="宋体" w:hAnsi="宋体" w:hint="eastAsia"/>
                <w:b/>
                <w:szCs w:val="24"/>
              </w:rPr>
              <w:t>产品管理人设置业绩报酬计提基准。</w:t>
            </w:r>
          </w:p>
          <w:p w14:paraId="6169641E"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2.75%</w:t>
            </w:r>
            <w:r>
              <w:rPr>
                <w:rFonts w:ascii="宋体" w:hAnsi="宋体" w:hint="eastAsia"/>
                <w:b/>
                <w:szCs w:val="24"/>
              </w:rPr>
              <w:t>】（适用【</w:t>
            </w:r>
            <w:r>
              <w:rPr>
                <w:rFonts w:ascii="宋体" w:hAnsi="宋体" w:hint="eastAsia"/>
                <w:b/>
                <w:szCs w:val="24"/>
              </w:rPr>
              <w:t>A</w:t>
            </w:r>
            <w:r>
              <w:rPr>
                <w:rFonts w:ascii="宋体" w:hAnsi="宋体" w:hint="eastAsia"/>
                <w:b/>
                <w:szCs w:val="24"/>
              </w:rPr>
              <w:t>】类份额）</w:t>
            </w:r>
          </w:p>
          <w:p w14:paraId="10228B8F"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2.70%</w:t>
            </w:r>
            <w:r>
              <w:rPr>
                <w:rFonts w:ascii="宋体" w:hAnsi="宋体" w:hint="eastAsia"/>
                <w:b/>
                <w:szCs w:val="24"/>
              </w:rPr>
              <w:t>】（适用【</w:t>
            </w:r>
            <w:r>
              <w:rPr>
                <w:rFonts w:ascii="宋体" w:hAnsi="宋体" w:hint="eastAsia"/>
                <w:b/>
                <w:szCs w:val="24"/>
              </w:rPr>
              <w:t>B</w:t>
            </w:r>
            <w:r>
              <w:rPr>
                <w:rFonts w:ascii="宋体" w:hAnsi="宋体" w:hint="eastAsia"/>
                <w:b/>
                <w:szCs w:val="24"/>
              </w:rPr>
              <w:t>】类份额）</w:t>
            </w:r>
          </w:p>
          <w:p w14:paraId="08440A9C"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2.65%</w:t>
            </w:r>
            <w:r>
              <w:rPr>
                <w:rFonts w:ascii="宋体" w:hAnsi="宋体" w:hint="eastAsia"/>
                <w:b/>
                <w:szCs w:val="24"/>
              </w:rPr>
              <w:t>】（适用【</w:t>
            </w:r>
            <w:r>
              <w:rPr>
                <w:rFonts w:ascii="宋体" w:hAnsi="宋体" w:hint="eastAsia"/>
                <w:b/>
                <w:szCs w:val="24"/>
              </w:rPr>
              <w:t>C</w:t>
            </w:r>
            <w:r>
              <w:rPr>
                <w:rFonts w:ascii="宋体" w:hAnsi="宋体" w:hint="eastAsia"/>
                <w:b/>
                <w:szCs w:val="24"/>
              </w:rPr>
              <w:t>】类份额）</w:t>
            </w:r>
          </w:p>
          <w:p w14:paraId="40227389"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2.60%</w:t>
            </w:r>
            <w:r>
              <w:rPr>
                <w:rFonts w:ascii="宋体" w:hAnsi="宋体" w:hint="eastAsia"/>
                <w:b/>
                <w:szCs w:val="24"/>
              </w:rPr>
              <w:t>】（适用</w:t>
            </w:r>
            <w:r>
              <w:rPr>
                <w:rFonts w:ascii="宋体" w:hAnsi="宋体" w:hint="eastAsia"/>
                <w:b/>
                <w:szCs w:val="24"/>
              </w:rPr>
              <w:t>【</w:t>
            </w:r>
            <w:r>
              <w:rPr>
                <w:rFonts w:ascii="宋体" w:hAnsi="宋体" w:hint="eastAsia"/>
                <w:b/>
                <w:szCs w:val="24"/>
              </w:rPr>
              <w:t>D</w:t>
            </w:r>
            <w:r>
              <w:rPr>
                <w:rFonts w:ascii="宋体" w:hAnsi="宋体" w:hint="eastAsia"/>
                <w:b/>
                <w:szCs w:val="24"/>
              </w:rPr>
              <w:t>】</w:t>
            </w:r>
            <w:r>
              <w:rPr>
                <w:rFonts w:ascii="宋体" w:hAnsi="宋体" w:hint="eastAsia"/>
                <w:b/>
                <w:szCs w:val="24"/>
              </w:rPr>
              <w:t>类份额）</w:t>
            </w:r>
          </w:p>
          <w:p w14:paraId="6B5F6088"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2.55%</w:t>
            </w:r>
            <w:r>
              <w:rPr>
                <w:rFonts w:ascii="宋体" w:hAnsi="宋体" w:hint="eastAsia"/>
                <w:b/>
                <w:szCs w:val="24"/>
              </w:rPr>
              <w:t>】（适用</w:t>
            </w:r>
            <w:r>
              <w:rPr>
                <w:rFonts w:ascii="宋体" w:hAnsi="宋体" w:hint="eastAsia"/>
                <w:b/>
                <w:szCs w:val="24"/>
              </w:rPr>
              <w:t>【</w:t>
            </w:r>
            <w:r>
              <w:rPr>
                <w:rFonts w:ascii="宋体" w:hAnsi="宋体" w:hint="eastAsia"/>
                <w:b/>
                <w:szCs w:val="24"/>
              </w:rPr>
              <w:t>E</w:t>
            </w:r>
            <w:r>
              <w:rPr>
                <w:rFonts w:ascii="宋体" w:hAnsi="宋体" w:hint="eastAsia"/>
                <w:b/>
                <w:szCs w:val="24"/>
              </w:rPr>
              <w:t>】</w:t>
            </w:r>
            <w:r>
              <w:rPr>
                <w:rFonts w:ascii="宋体" w:hAnsi="宋体" w:hint="eastAsia"/>
                <w:b/>
                <w:szCs w:val="24"/>
              </w:rPr>
              <w:t>类份额）</w:t>
            </w:r>
          </w:p>
          <w:p w14:paraId="41F807FC"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2.60%</w:t>
            </w:r>
            <w:r>
              <w:rPr>
                <w:rFonts w:ascii="宋体" w:hAnsi="宋体" w:hint="eastAsia"/>
                <w:b/>
                <w:szCs w:val="24"/>
              </w:rPr>
              <w:t>】（适用</w:t>
            </w:r>
            <w:r>
              <w:rPr>
                <w:rFonts w:ascii="宋体" w:hAnsi="宋体" w:hint="eastAsia"/>
                <w:b/>
                <w:szCs w:val="24"/>
              </w:rPr>
              <w:t>【</w:t>
            </w:r>
            <w:r>
              <w:rPr>
                <w:rFonts w:ascii="宋体" w:hAnsi="宋体" w:hint="eastAsia"/>
                <w:b/>
                <w:szCs w:val="24"/>
              </w:rPr>
              <w:t>F</w:t>
            </w:r>
            <w:r>
              <w:rPr>
                <w:rFonts w:ascii="宋体" w:hAnsi="宋体" w:hint="eastAsia"/>
                <w:b/>
                <w:szCs w:val="24"/>
              </w:rPr>
              <w:t>】</w:t>
            </w:r>
            <w:r>
              <w:rPr>
                <w:rFonts w:ascii="宋体" w:hAnsi="宋体" w:hint="eastAsia"/>
                <w:b/>
                <w:szCs w:val="24"/>
              </w:rPr>
              <w:t>类份额）</w:t>
            </w:r>
          </w:p>
          <w:p w14:paraId="5DE32DBA" w14:textId="77777777" w:rsidR="00A2049A" w:rsidRDefault="0029186B">
            <w:pPr>
              <w:widowControl/>
              <w:jc w:val="left"/>
              <w:rPr>
                <w:rFonts w:ascii="宋体" w:hAnsi="宋体"/>
                <w:b/>
                <w:szCs w:val="24"/>
              </w:rPr>
            </w:pPr>
            <w:r>
              <w:rPr>
                <w:rFonts w:ascii="宋体" w:hAnsi="宋体" w:hint="eastAsia"/>
                <w:b/>
                <w:szCs w:val="24"/>
              </w:rPr>
              <w:t>年化【</w:t>
            </w:r>
            <w:r>
              <w:rPr>
                <w:rFonts w:ascii="宋体" w:hAnsi="宋体" w:hint="eastAsia"/>
                <w:b/>
                <w:szCs w:val="24"/>
              </w:rPr>
              <w:t>2.55%</w:t>
            </w:r>
            <w:r>
              <w:rPr>
                <w:rFonts w:ascii="宋体" w:hAnsi="宋体" w:hint="eastAsia"/>
                <w:b/>
                <w:szCs w:val="24"/>
              </w:rPr>
              <w:t>】（适用</w:t>
            </w:r>
            <w:r>
              <w:rPr>
                <w:rFonts w:ascii="宋体" w:hAnsi="宋体" w:hint="eastAsia"/>
                <w:b/>
                <w:szCs w:val="24"/>
              </w:rPr>
              <w:t>【</w:t>
            </w:r>
            <w:r>
              <w:rPr>
                <w:rFonts w:ascii="宋体" w:hAnsi="宋体" w:hint="eastAsia"/>
                <w:b/>
                <w:szCs w:val="24"/>
              </w:rPr>
              <w:t>G</w:t>
            </w:r>
            <w:r>
              <w:rPr>
                <w:rFonts w:ascii="宋体" w:hAnsi="宋体" w:hint="eastAsia"/>
                <w:b/>
                <w:szCs w:val="24"/>
              </w:rPr>
              <w:t>】</w:t>
            </w:r>
            <w:r>
              <w:rPr>
                <w:rFonts w:ascii="宋体" w:hAnsi="宋体" w:hint="eastAsia"/>
                <w:b/>
                <w:szCs w:val="24"/>
              </w:rPr>
              <w:t>类份额）</w:t>
            </w:r>
          </w:p>
          <w:p w14:paraId="5E0B993A" w14:textId="77777777" w:rsidR="00A2049A" w:rsidRDefault="0029186B">
            <w:pPr>
              <w:snapToGrid w:val="0"/>
              <w:rPr>
                <w:rFonts w:ascii="宋体" w:hAnsi="宋体"/>
                <w:b/>
                <w:szCs w:val="24"/>
              </w:rPr>
            </w:pPr>
            <w:r>
              <w:rPr>
                <w:rFonts w:ascii="宋体" w:eastAsia="宋体" w:hAnsi="宋体" w:cs="东文宋体" w:hint="eastAsia"/>
                <w:szCs w:val="24"/>
              </w:rPr>
              <w:t>□</w:t>
            </w:r>
            <w:r>
              <w:rPr>
                <w:rFonts w:ascii="宋体" w:hAnsi="宋体" w:hint="eastAsia"/>
                <w:b/>
                <w:szCs w:val="24"/>
              </w:rPr>
              <w:t>产品管理人不设置业绩报酬计提基准。</w:t>
            </w:r>
          </w:p>
          <w:p w14:paraId="7A1928E6" w14:textId="77777777" w:rsidR="00A2049A" w:rsidRDefault="0029186B">
            <w:pPr>
              <w:snapToGrid w:val="0"/>
              <w:rPr>
                <w:rFonts w:ascii="宋体" w:hAnsi="宋体"/>
                <w:b/>
                <w:szCs w:val="24"/>
              </w:rPr>
            </w:pPr>
            <w:r>
              <w:rPr>
                <w:rFonts w:ascii="宋体" w:hAnsi="宋体" w:hint="eastAsia"/>
                <w:b/>
                <w:szCs w:val="24"/>
              </w:rPr>
              <w:t>2.</w:t>
            </w:r>
            <w:r>
              <w:rPr>
                <w:rFonts w:ascii="宋体" w:hAnsi="宋体" w:hint="eastAsia"/>
                <w:b/>
                <w:szCs w:val="24"/>
              </w:rPr>
              <w:t>业绩报酬计提基准的提示：</w:t>
            </w:r>
          </w:p>
          <w:p w14:paraId="387F5407" w14:textId="77777777" w:rsidR="00A2049A" w:rsidRDefault="0029186B">
            <w:pPr>
              <w:snapToGrid w:val="0"/>
              <w:rPr>
                <w:rFonts w:ascii="宋体" w:hAnsi="宋体"/>
                <w:b/>
                <w:szCs w:val="24"/>
              </w:rPr>
            </w:pPr>
            <w:r>
              <w:rPr>
                <w:rFonts w:ascii="宋体" w:hAnsi="宋体" w:hint="eastAsia"/>
                <w:b/>
                <w:szCs w:val="24"/>
              </w:rPr>
              <w:t>（</w:t>
            </w:r>
            <w:r>
              <w:rPr>
                <w:rFonts w:ascii="宋体" w:hAnsi="宋体" w:hint="eastAsia"/>
                <w:b/>
                <w:szCs w:val="24"/>
              </w:rPr>
              <w:t>1</w:t>
            </w:r>
            <w:r>
              <w:rPr>
                <w:rFonts w:ascii="宋体" w:hAnsi="宋体" w:hint="eastAsia"/>
                <w:b/>
                <w:szCs w:val="24"/>
              </w:rPr>
              <w:t>）业绩报酬计提基准仅作为管理人计算业绩报酬的参照标准。业绩</w:t>
            </w:r>
            <w:r>
              <w:rPr>
                <w:rFonts w:ascii="宋体" w:hAnsi="宋体"/>
                <w:b/>
                <w:szCs w:val="24"/>
              </w:rPr>
              <w:t>报酬</w:t>
            </w:r>
            <w:r>
              <w:rPr>
                <w:rFonts w:ascii="宋体" w:hAnsi="宋体" w:hint="eastAsia"/>
                <w:b/>
                <w:szCs w:val="24"/>
              </w:rPr>
              <w:t>计提基准不是预期收益率，不代表产品的未来表现和实际收益，不构成对产品收益的承诺。</w:t>
            </w:r>
          </w:p>
          <w:p w14:paraId="786A4F96" w14:textId="77777777" w:rsidR="00A2049A" w:rsidRDefault="0029186B">
            <w:pPr>
              <w:widowControl/>
              <w:jc w:val="left"/>
              <w:rPr>
                <w:rFonts w:ascii="宋体" w:hAnsi="宋体"/>
                <w:b/>
                <w:szCs w:val="24"/>
              </w:rPr>
            </w:pPr>
            <w:r>
              <w:rPr>
                <w:rFonts w:ascii="宋体" w:hAnsi="宋体" w:hint="eastAsia"/>
                <w:b/>
                <w:szCs w:val="24"/>
              </w:rPr>
              <w:t>（</w:t>
            </w:r>
            <w:r>
              <w:rPr>
                <w:rFonts w:ascii="宋体" w:hAnsi="宋体" w:hint="eastAsia"/>
                <w:b/>
                <w:szCs w:val="24"/>
              </w:rPr>
              <w:t>2</w:t>
            </w:r>
            <w:r>
              <w:rPr>
                <w:rFonts w:ascii="宋体" w:hAnsi="宋体" w:hint="eastAsia"/>
                <w:b/>
                <w:szCs w:val="24"/>
              </w:rPr>
              <w:t>）如果法律法规、</w:t>
            </w:r>
            <w:r>
              <w:rPr>
                <w:rFonts w:ascii="宋体" w:hAnsi="宋体"/>
                <w:b/>
                <w:szCs w:val="24"/>
              </w:rPr>
              <w:t>国家政策</w:t>
            </w:r>
            <w:r>
              <w:rPr>
                <w:rFonts w:ascii="宋体" w:hAnsi="宋体" w:hint="eastAsia"/>
                <w:b/>
                <w:szCs w:val="24"/>
              </w:rPr>
              <w:t>发生变化，或者有其他代表性更强、更科学客观的业绩报酬计提基准适用于本产品时，经产品管理人和产品托管人协商一致后，本产品可以调整业绩报酬计提基准并及时公告。</w:t>
            </w:r>
          </w:p>
        </w:tc>
      </w:tr>
      <w:tr w:rsidR="00A2049A" w14:paraId="477EEEDB" w14:textId="77777777">
        <w:trPr>
          <w:trHeight w:val="425"/>
        </w:trPr>
        <w:tc>
          <w:tcPr>
            <w:tcW w:w="1673" w:type="dxa"/>
            <w:vAlign w:val="center"/>
          </w:tcPr>
          <w:p w14:paraId="33D5A122" w14:textId="77777777" w:rsidR="00A2049A" w:rsidRDefault="0029186B">
            <w:pPr>
              <w:snapToGrid w:val="0"/>
              <w:ind w:leftChars="26" w:left="77" w:hanging="15"/>
              <w:jc w:val="center"/>
              <w:rPr>
                <w:rFonts w:ascii="宋体" w:hAnsi="宋体"/>
                <w:szCs w:val="24"/>
              </w:rPr>
            </w:pPr>
            <w:r>
              <w:rPr>
                <w:rFonts w:ascii="宋体" w:hAnsi="宋体" w:hint="eastAsia"/>
                <w:szCs w:val="24"/>
              </w:rPr>
              <w:t>产品份额净值</w:t>
            </w:r>
          </w:p>
        </w:tc>
        <w:tc>
          <w:tcPr>
            <w:tcW w:w="7541" w:type="dxa"/>
            <w:gridSpan w:val="4"/>
            <w:vAlign w:val="center"/>
          </w:tcPr>
          <w:p w14:paraId="016D37C0" w14:textId="77777777" w:rsidR="00A2049A" w:rsidRDefault="0029186B">
            <w:pPr>
              <w:snapToGrid w:val="0"/>
              <w:rPr>
                <w:rFonts w:ascii="宋体" w:hAnsi="宋体"/>
                <w:szCs w:val="24"/>
              </w:rPr>
            </w:pPr>
            <w:r>
              <w:rPr>
                <w:rFonts w:ascii="宋体" w:hAnsi="宋体" w:hint="eastAsia"/>
                <w:szCs w:val="24"/>
              </w:rPr>
              <w:t>理财产品份额净值是提取相关税费后单位理财产品份额的净值；份额净</w:t>
            </w:r>
            <w:r>
              <w:rPr>
                <w:rFonts w:ascii="宋体" w:hAnsi="宋体" w:hint="eastAsia"/>
                <w:szCs w:val="24"/>
              </w:rPr>
              <w:t>值随理财产品投资运行情况变化而变化。</w:t>
            </w:r>
          </w:p>
          <w:p w14:paraId="044C37CD" w14:textId="77777777" w:rsidR="00A2049A" w:rsidRDefault="0029186B">
            <w:pPr>
              <w:snapToGrid w:val="0"/>
              <w:rPr>
                <w:rFonts w:ascii="宋体" w:hAnsi="宋体"/>
                <w:szCs w:val="24"/>
              </w:rPr>
            </w:pPr>
            <w:r>
              <w:rPr>
                <w:rFonts w:ascii="宋体" w:hAnsi="宋体" w:hint="eastAsia"/>
                <w:szCs w:val="24"/>
              </w:rPr>
              <w:t>本产品募集期内，投资者按份额净值进行认购</w:t>
            </w:r>
            <w:r>
              <w:rPr>
                <w:rFonts w:ascii="宋体" w:hAnsi="宋体" w:hint="eastAsia"/>
                <w:szCs w:val="24"/>
              </w:rPr>
              <w:t>。</w:t>
            </w:r>
          </w:p>
          <w:p w14:paraId="668B974C" w14:textId="77777777" w:rsidR="00A2049A" w:rsidRDefault="0029186B">
            <w:pPr>
              <w:snapToGrid w:val="0"/>
              <w:rPr>
                <w:rFonts w:ascii="宋体" w:hAnsi="宋体"/>
                <w:b/>
                <w:bCs/>
                <w:szCs w:val="24"/>
              </w:rPr>
            </w:pPr>
            <w:r>
              <w:rPr>
                <w:rFonts w:ascii="宋体" w:hAnsi="宋体" w:hint="eastAsia"/>
                <w:b/>
                <w:bCs/>
                <w:szCs w:val="24"/>
              </w:rPr>
              <w:t>本产品初始份额净值为</w:t>
            </w:r>
            <w:r>
              <w:rPr>
                <w:rFonts w:ascii="宋体" w:hAnsi="宋体" w:hint="eastAsia"/>
                <w:b/>
                <w:bCs/>
                <w:szCs w:val="24"/>
              </w:rPr>
              <w:t>1.000</w:t>
            </w:r>
            <w:r>
              <w:rPr>
                <w:rFonts w:ascii="宋体" w:hAnsi="宋体" w:hint="eastAsia"/>
                <w:b/>
                <w:bCs/>
                <w:szCs w:val="24"/>
              </w:rPr>
              <w:t>00</w:t>
            </w:r>
            <w:r>
              <w:rPr>
                <w:rFonts w:ascii="宋体" w:hAnsi="宋体" w:hint="eastAsia"/>
                <w:b/>
                <w:bCs/>
                <w:szCs w:val="24"/>
              </w:rPr>
              <w:t>0</w:t>
            </w:r>
            <w:r>
              <w:rPr>
                <w:rFonts w:ascii="宋体" w:hAnsi="宋体" w:hint="eastAsia"/>
                <w:b/>
                <w:bCs/>
                <w:szCs w:val="24"/>
              </w:rPr>
              <w:t>元</w:t>
            </w:r>
            <w:r>
              <w:rPr>
                <w:rFonts w:ascii="宋体" w:hAnsi="宋体" w:hint="eastAsia"/>
                <w:b/>
                <w:bCs/>
                <w:szCs w:val="24"/>
              </w:rPr>
              <w:t>/</w:t>
            </w:r>
            <w:r>
              <w:rPr>
                <w:rFonts w:ascii="宋体" w:hAnsi="宋体" w:hint="eastAsia"/>
                <w:b/>
                <w:bCs/>
                <w:szCs w:val="24"/>
              </w:rPr>
              <w:t>份。</w:t>
            </w:r>
          </w:p>
        </w:tc>
      </w:tr>
      <w:tr w:rsidR="00A2049A" w14:paraId="0A5A042F" w14:textId="77777777">
        <w:trPr>
          <w:trHeight w:val="425"/>
        </w:trPr>
        <w:tc>
          <w:tcPr>
            <w:tcW w:w="1673" w:type="dxa"/>
            <w:vAlign w:val="center"/>
          </w:tcPr>
          <w:p w14:paraId="4BBEE58C" w14:textId="77777777" w:rsidR="00A2049A" w:rsidRDefault="0029186B">
            <w:pPr>
              <w:snapToGrid w:val="0"/>
              <w:ind w:leftChars="-74" w:left="-178" w:rightChars="-74" w:right="-178"/>
              <w:jc w:val="center"/>
              <w:rPr>
                <w:rFonts w:ascii="宋体" w:hAnsi="宋体"/>
                <w:szCs w:val="24"/>
              </w:rPr>
            </w:pPr>
            <w:r>
              <w:rPr>
                <w:rFonts w:ascii="宋体" w:hAnsi="宋体" w:cs="宋体" w:hint="eastAsia"/>
              </w:rPr>
              <w:t>产品费用</w:t>
            </w:r>
          </w:p>
        </w:tc>
        <w:tc>
          <w:tcPr>
            <w:tcW w:w="7541" w:type="dxa"/>
            <w:gridSpan w:val="4"/>
            <w:vAlign w:val="center"/>
          </w:tcPr>
          <w:p w14:paraId="0209D2D2" w14:textId="77777777" w:rsidR="00A2049A" w:rsidRDefault="0029186B">
            <w:pPr>
              <w:numPr>
                <w:ilvl w:val="0"/>
                <w:numId w:val="2"/>
              </w:numPr>
              <w:rPr>
                <w:rFonts w:ascii="宋体" w:hAnsi="宋体"/>
                <w:b/>
                <w:szCs w:val="24"/>
              </w:rPr>
            </w:pPr>
            <w:r>
              <w:rPr>
                <w:rFonts w:ascii="宋体" w:hAnsi="宋体" w:hint="eastAsia"/>
                <w:b/>
                <w:szCs w:val="24"/>
              </w:rPr>
              <w:t>销售服务费率：</w:t>
            </w:r>
          </w:p>
          <w:p w14:paraId="749EEB56" w14:textId="77777777" w:rsidR="00A2049A" w:rsidRDefault="0029186B">
            <w:pPr>
              <w:rPr>
                <w:rFonts w:ascii="宋体" w:hAnsi="宋体"/>
                <w:b/>
                <w:szCs w:val="24"/>
              </w:rPr>
            </w:pPr>
            <w:r>
              <w:rPr>
                <w:rFonts w:ascii="宋体" w:hAnsi="宋体" w:hint="eastAsia"/>
                <w:b/>
                <w:szCs w:val="24"/>
              </w:rPr>
              <w:t>年化费率【</w:t>
            </w:r>
            <w:r>
              <w:rPr>
                <w:rFonts w:ascii="宋体" w:hAnsi="宋体" w:hint="eastAsia"/>
                <w:b/>
                <w:szCs w:val="24"/>
              </w:rPr>
              <w:t>0.10%</w:t>
            </w:r>
            <w:r>
              <w:rPr>
                <w:rFonts w:ascii="宋体" w:hAnsi="宋体" w:hint="eastAsia"/>
                <w:b/>
                <w:szCs w:val="24"/>
              </w:rPr>
              <w:t>】（适用【</w:t>
            </w:r>
            <w:r>
              <w:rPr>
                <w:rFonts w:ascii="宋体" w:hAnsi="宋体" w:hint="eastAsia"/>
                <w:b/>
                <w:szCs w:val="24"/>
              </w:rPr>
              <w:t>A</w:t>
            </w:r>
            <w:r>
              <w:rPr>
                <w:rFonts w:ascii="宋体" w:hAnsi="宋体" w:hint="eastAsia"/>
                <w:b/>
                <w:szCs w:val="24"/>
              </w:rPr>
              <w:t>】类份额）</w:t>
            </w:r>
          </w:p>
          <w:p w14:paraId="6E9324EA" w14:textId="77777777" w:rsidR="00A2049A" w:rsidRDefault="0029186B">
            <w:pPr>
              <w:rPr>
                <w:rFonts w:ascii="宋体" w:hAnsi="宋体"/>
                <w:b/>
                <w:szCs w:val="24"/>
              </w:rPr>
            </w:pPr>
            <w:r>
              <w:rPr>
                <w:rFonts w:ascii="宋体" w:hAnsi="宋体" w:hint="eastAsia"/>
                <w:b/>
                <w:szCs w:val="24"/>
              </w:rPr>
              <w:t>年化费率【</w:t>
            </w:r>
            <w:r>
              <w:rPr>
                <w:rFonts w:ascii="宋体" w:hAnsi="宋体" w:hint="eastAsia"/>
                <w:b/>
                <w:szCs w:val="24"/>
              </w:rPr>
              <w:t>0.15%</w:t>
            </w:r>
            <w:r>
              <w:rPr>
                <w:rFonts w:ascii="宋体" w:hAnsi="宋体" w:hint="eastAsia"/>
                <w:b/>
                <w:szCs w:val="24"/>
              </w:rPr>
              <w:t>】（适用【</w:t>
            </w:r>
            <w:r>
              <w:rPr>
                <w:rFonts w:ascii="宋体" w:hAnsi="宋体" w:hint="eastAsia"/>
                <w:b/>
                <w:szCs w:val="24"/>
              </w:rPr>
              <w:t>B</w:t>
            </w:r>
            <w:r>
              <w:rPr>
                <w:rFonts w:ascii="宋体" w:hAnsi="宋体" w:hint="eastAsia"/>
                <w:b/>
                <w:szCs w:val="24"/>
              </w:rPr>
              <w:t>】类份额）</w:t>
            </w:r>
          </w:p>
          <w:p w14:paraId="01D60A80" w14:textId="77777777" w:rsidR="00A2049A" w:rsidRDefault="0029186B">
            <w:pPr>
              <w:rPr>
                <w:rFonts w:ascii="宋体" w:hAnsi="宋体"/>
                <w:b/>
                <w:szCs w:val="24"/>
              </w:rPr>
            </w:pPr>
            <w:r>
              <w:rPr>
                <w:rFonts w:ascii="宋体" w:hAnsi="宋体" w:hint="eastAsia"/>
                <w:b/>
                <w:szCs w:val="24"/>
              </w:rPr>
              <w:t>年化费率【</w:t>
            </w:r>
            <w:r>
              <w:rPr>
                <w:rFonts w:ascii="宋体" w:hAnsi="宋体" w:hint="eastAsia"/>
                <w:b/>
                <w:szCs w:val="24"/>
              </w:rPr>
              <w:t>0.20%</w:t>
            </w:r>
            <w:r>
              <w:rPr>
                <w:rFonts w:ascii="宋体" w:hAnsi="宋体" w:hint="eastAsia"/>
                <w:b/>
                <w:szCs w:val="24"/>
              </w:rPr>
              <w:t>】（适用</w:t>
            </w:r>
            <w:r>
              <w:rPr>
                <w:rFonts w:ascii="宋体" w:hAnsi="宋体" w:hint="eastAsia"/>
                <w:b/>
                <w:szCs w:val="24"/>
              </w:rPr>
              <w:t>【</w:t>
            </w:r>
            <w:r>
              <w:rPr>
                <w:rFonts w:ascii="宋体" w:hAnsi="宋体" w:hint="eastAsia"/>
                <w:b/>
                <w:szCs w:val="24"/>
              </w:rPr>
              <w:t>C</w:t>
            </w:r>
            <w:r>
              <w:rPr>
                <w:rFonts w:ascii="宋体" w:hAnsi="宋体" w:hint="eastAsia"/>
                <w:b/>
                <w:szCs w:val="24"/>
              </w:rPr>
              <w:t>】</w:t>
            </w:r>
            <w:r>
              <w:rPr>
                <w:rFonts w:ascii="宋体" w:hAnsi="宋体" w:hint="eastAsia"/>
                <w:b/>
                <w:szCs w:val="24"/>
              </w:rPr>
              <w:t>类份额）</w:t>
            </w:r>
          </w:p>
          <w:p w14:paraId="080718F8" w14:textId="77777777" w:rsidR="00A2049A" w:rsidRDefault="0029186B">
            <w:pPr>
              <w:rPr>
                <w:rFonts w:ascii="宋体" w:hAnsi="宋体"/>
                <w:b/>
                <w:szCs w:val="24"/>
              </w:rPr>
            </w:pPr>
            <w:r>
              <w:rPr>
                <w:rFonts w:ascii="宋体" w:hAnsi="宋体" w:hint="eastAsia"/>
                <w:b/>
                <w:szCs w:val="24"/>
              </w:rPr>
              <w:t>年化费率【</w:t>
            </w:r>
            <w:r>
              <w:rPr>
                <w:rFonts w:ascii="宋体" w:hAnsi="宋体" w:hint="eastAsia"/>
                <w:b/>
                <w:szCs w:val="24"/>
              </w:rPr>
              <w:t>0.25%</w:t>
            </w:r>
            <w:r>
              <w:rPr>
                <w:rFonts w:ascii="宋体" w:hAnsi="宋体" w:hint="eastAsia"/>
                <w:b/>
                <w:szCs w:val="24"/>
              </w:rPr>
              <w:t>】（适用</w:t>
            </w:r>
            <w:r>
              <w:rPr>
                <w:rFonts w:ascii="宋体" w:hAnsi="宋体" w:hint="eastAsia"/>
                <w:b/>
                <w:szCs w:val="24"/>
              </w:rPr>
              <w:t>【</w:t>
            </w:r>
            <w:r>
              <w:rPr>
                <w:rFonts w:ascii="宋体" w:hAnsi="宋体" w:hint="eastAsia"/>
                <w:b/>
                <w:szCs w:val="24"/>
              </w:rPr>
              <w:t>D</w:t>
            </w:r>
            <w:r>
              <w:rPr>
                <w:rFonts w:ascii="宋体" w:hAnsi="宋体" w:hint="eastAsia"/>
                <w:b/>
                <w:szCs w:val="24"/>
              </w:rPr>
              <w:t>】</w:t>
            </w:r>
            <w:r>
              <w:rPr>
                <w:rFonts w:ascii="宋体" w:hAnsi="宋体" w:hint="eastAsia"/>
                <w:b/>
                <w:szCs w:val="24"/>
              </w:rPr>
              <w:t>类份额）</w:t>
            </w:r>
          </w:p>
          <w:p w14:paraId="08D17580" w14:textId="77777777" w:rsidR="00A2049A" w:rsidRDefault="0029186B">
            <w:pPr>
              <w:rPr>
                <w:rFonts w:ascii="宋体" w:hAnsi="宋体"/>
                <w:b/>
                <w:szCs w:val="24"/>
              </w:rPr>
            </w:pPr>
            <w:r>
              <w:rPr>
                <w:rFonts w:ascii="宋体" w:hAnsi="宋体" w:hint="eastAsia"/>
                <w:b/>
                <w:szCs w:val="24"/>
              </w:rPr>
              <w:t>年化费率【</w:t>
            </w:r>
            <w:r>
              <w:rPr>
                <w:rFonts w:ascii="宋体" w:hAnsi="宋体" w:hint="eastAsia"/>
                <w:b/>
                <w:szCs w:val="24"/>
              </w:rPr>
              <w:t>0.30%</w:t>
            </w:r>
            <w:r>
              <w:rPr>
                <w:rFonts w:ascii="宋体" w:hAnsi="宋体" w:hint="eastAsia"/>
                <w:b/>
                <w:szCs w:val="24"/>
              </w:rPr>
              <w:t>】（适用</w:t>
            </w:r>
            <w:r>
              <w:rPr>
                <w:rFonts w:ascii="宋体" w:hAnsi="宋体" w:hint="eastAsia"/>
                <w:b/>
                <w:szCs w:val="24"/>
              </w:rPr>
              <w:t>【</w:t>
            </w:r>
            <w:r>
              <w:rPr>
                <w:rFonts w:ascii="宋体" w:hAnsi="宋体" w:hint="eastAsia"/>
                <w:b/>
                <w:szCs w:val="24"/>
              </w:rPr>
              <w:t>E</w:t>
            </w:r>
            <w:r>
              <w:rPr>
                <w:rFonts w:ascii="宋体" w:hAnsi="宋体" w:hint="eastAsia"/>
                <w:b/>
                <w:szCs w:val="24"/>
              </w:rPr>
              <w:t>】</w:t>
            </w:r>
            <w:r>
              <w:rPr>
                <w:rFonts w:ascii="宋体" w:hAnsi="宋体" w:hint="eastAsia"/>
                <w:b/>
                <w:szCs w:val="24"/>
              </w:rPr>
              <w:t>类份额）</w:t>
            </w:r>
          </w:p>
          <w:p w14:paraId="4A250EE7" w14:textId="77777777" w:rsidR="00A2049A" w:rsidRDefault="0029186B">
            <w:pPr>
              <w:rPr>
                <w:rFonts w:ascii="宋体" w:hAnsi="宋体"/>
                <w:b/>
                <w:szCs w:val="24"/>
              </w:rPr>
            </w:pPr>
            <w:r>
              <w:rPr>
                <w:rFonts w:ascii="宋体" w:hAnsi="宋体" w:hint="eastAsia"/>
                <w:b/>
                <w:szCs w:val="24"/>
              </w:rPr>
              <w:t>年化费率【</w:t>
            </w:r>
            <w:r>
              <w:rPr>
                <w:rFonts w:ascii="宋体" w:hAnsi="宋体" w:hint="eastAsia"/>
                <w:b/>
                <w:szCs w:val="24"/>
              </w:rPr>
              <w:t>0.25%</w:t>
            </w:r>
            <w:r>
              <w:rPr>
                <w:rFonts w:ascii="宋体" w:hAnsi="宋体" w:hint="eastAsia"/>
                <w:b/>
                <w:szCs w:val="24"/>
              </w:rPr>
              <w:t>】（适用</w:t>
            </w:r>
            <w:r>
              <w:rPr>
                <w:rFonts w:ascii="宋体" w:hAnsi="宋体" w:hint="eastAsia"/>
                <w:b/>
                <w:szCs w:val="24"/>
              </w:rPr>
              <w:t>【</w:t>
            </w:r>
            <w:r>
              <w:rPr>
                <w:rFonts w:ascii="宋体" w:hAnsi="宋体" w:hint="eastAsia"/>
                <w:b/>
                <w:szCs w:val="24"/>
              </w:rPr>
              <w:t>F</w:t>
            </w:r>
            <w:r>
              <w:rPr>
                <w:rFonts w:ascii="宋体" w:hAnsi="宋体" w:hint="eastAsia"/>
                <w:b/>
                <w:szCs w:val="24"/>
              </w:rPr>
              <w:t>】</w:t>
            </w:r>
            <w:r>
              <w:rPr>
                <w:rFonts w:ascii="宋体" w:hAnsi="宋体" w:hint="eastAsia"/>
                <w:b/>
                <w:szCs w:val="24"/>
              </w:rPr>
              <w:t>类份额）</w:t>
            </w:r>
          </w:p>
          <w:p w14:paraId="2D1CC22E" w14:textId="77777777" w:rsidR="00A2049A" w:rsidRDefault="0029186B">
            <w:pPr>
              <w:rPr>
                <w:rFonts w:ascii="宋体" w:hAnsi="宋体"/>
                <w:b/>
                <w:szCs w:val="24"/>
              </w:rPr>
            </w:pPr>
            <w:r>
              <w:rPr>
                <w:rFonts w:ascii="宋体" w:hAnsi="宋体" w:hint="eastAsia"/>
                <w:b/>
                <w:szCs w:val="24"/>
              </w:rPr>
              <w:t>年化费率【</w:t>
            </w:r>
            <w:r>
              <w:rPr>
                <w:rFonts w:ascii="宋体" w:hAnsi="宋体" w:hint="eastAsia"/>
                <w:b/>
                <w:szCs w:val="24"/>
              </w:rPr>
              <w:t>0.30%</w:t>
            </w:r>
            <w:r>
              <w:rPr>
                <w:rFonts w:ascii="宋体" w:hAnsi="宋体" w:hint="eastAsia"/>
                <w:b/>
                <w:szCs w:val="24"/>
              </w:rPr>
              <w:t>】（适用</w:t>
            </w:r>
            <w:r>
              <w:rPr>
                <w:rFonts w:ascii="宋体" w:hAnsi="宋体" w:hint="eastAsia"/>
                <w:b/>
                <w:szCs w:val="24"/>
              </w:rPr>
              <w:t>【</w:t>
            </w:r>
            <w:r>
              <w:rPr>
                <w:rFonts w:ascii="宋体" w:hAnsi="宋体" w:hint="eastAsia"/>
                <w:b/>
                <w:szCs w:val="24"/>
              </w:rPr>
              <w:t>G</w:t>
            </w:r>
            <w:r>
              <w:rPr>
                <w:rFonts w:ascii="宋体" w:hAnsi="宋体" w:hint="eastAsia"/>
                <w:b/>
                <w:szCs w:val="24"/>
              </w:rPr>
              <w:t>】</w:t>
            </w:r>
            <w:r>
              <w:rPr>
                <w:rFonts w:ascii="宋体" w:hAnsi="宋体" w:hint="eastAsia"/>
                <w:b/>
                <w:szCs w:val="24"/>
              </w:rPr>
              <w:t>类份额）</w:t>
            </w:r>
          </w:p>
          <w:p w14:paraId="7664C805" w14:textId="77777777" w:rsidR="00A2049A" w:rsidRDefault="0029186B">
            <w:pPr>
              <w:rPr>
                <w:rFonts w:ascii="宋体" w:hAnsi="宋体"/>
                <w:b/>
                <w:szCs w:val="24"/>
              </w:rPr>
            </w:pPr>
            <w:r>
              <w:rPr>
                <w:rFonts w:ascii="宋体" w:hAnsi="宋体"/>
                <w:b/>
                <w:szCs w:val="24"/>
              </w:rPr>
              <w:t>2.</w:t>
            </w:r>
            <w:r>
              <w:rPr>
                <w:rFonts w:ascii="宋体" w:hAnsi="宋体" w:hint="eastAsia"/>
                <w:b/>
                <w:szCs w:val="24"/>
              </w:rPr>
              <w:t>投资管理费率：年化费率</w:t>
            </w:r>
            <w:r>
              <w:rPr>
                <w:rFonts w:ascii="宋体" w:hAnsi="宋体"/>
                <w:b/>
                <w:szCs w:val="24"/>
              </w:rPr>
              <w:t>【</w:t>
            </w:r>
            <w:r>
              <w:rPr>
                <w:rFonts w:ascii="宋体" w:hAnsi="宋体" w:hint="eastAsia"/>
                <w:b/>
                <w:szCs w:val="24"/>
              </w:rPr>
              <w:t>0.30%</w:t>
            </w:r>
            <w:r>
              <w:rPr>
                <w:rFonts w:ascii="宋体" w:hAnsi="宋体" w:hint="eastAsia"/>
                <w:b/>
                <w:szCs w:val="24"/>
              </w:rPr>
              <w:t>】</w:t>
            </w:r>
            <w:r>
              <w:rPr>
                <w:rFonts w:ascii="宋体" w:hAnsi="宋体" w:hint="eastAsia"/>
                <w:b/>
                <w:szCs w:val="24"/>
              </w:rPr>
              <w:t xml:space="preserve"> </w:t>
            </w:r>
          </w:p>
          <w:p w14:paraId="6A93CCFD" w14:textId="77777777" w:rsidR="00A2049A" w:rsidRDefault="0029186B">
            <w:pPr>
              <w:tabs>
                <w:tab w:val="left" w:pos="312"/>
              </w:tabs>
              <w:snapToGrid w:val="0"/>
              <w:rPr>
                <w:rFonts w:ascii="宋体" w:hAnsi="宋体"/>
                <w:b/>
                <w:szCs w:val="24"/>
              </w:rPr>
            </w:pPr>
            <w:r>
              <w:rPr>
                <w:rFonts w:ascii="宋体" w:hAnsi="宋体"/>
                <w:b/>
                <w:szCs w:val="24"/>
              </w:rPr>
              <w:t>3.</w:t>
            </w:r>
            <w:r>
              <w:rPr>
                <w:rFonts w:ascii="宋体" w:hAnsi="宋体" w:hint="eastAsia"/>
                <w:b/>
                <w:szCs w:val="24"/>
              </w:rPr>
              <w:t>产品托管费率：年化费率【</w:t>
            </w:r>
            <w:r>
              <w:rPr>
                <w:rFonts w:ascii="宋体" w:hAnsi="宋体" w:hint="eastAsia"/>
                <w:b/>
                <w:szCs w:val="24"/>
              </w:rPr>
              <w:t>0.01%</w:t>
            </w:r>
            <w:r>
              <w:rPr>
                <w:rFonts w:ascii="宋体" w:hAnsi="宋体" w:hint="eastAsia"/>
                <w:b/>
                <w:szCs w:val="24"/>
              </w:rPr>
              <w:t>】</w:t>
            </w:r>
          </w:p>
          <w:p w14:paraId="664B2D1E" w14:textId="77777777" w:rsidR="00A2049A" w:rsidRDefault="0029186B">
            <w:pPr>
              <w:tabs>
                <w:tab w:val="left" w:pos="312"/>
              </w:tabs>
              <w:snapToGrid w:val="0"/>
              <w:rPr>
                <w:rFonts w:ascii="宋体" w:hAnsi="宋体"/>
                <w:b/>
                <w:szCs w:val="24"/>
              </w:rPr>
            </w:pPr>
            <w:r>
              <w:rPr>
                <w:rFonts w:ascii="宋体" w:hAnsi="宋体" w:hint="eastAsia"/>
                <w:b/>
                <w:szCs w:val="24"/>
              </w:rPr>
              <w:t>4</w:t>
            </w:r>
            <w:r>
              <w:rPr>
                <w:rFonts w:ascii="宋体" w:hAnsi="宋体"/>
                <w:b/>
                <w:szCs w:val="24"/>
              </w:rPr>
              <w:t>.</w:t>
            </w:r>
            <w:r>
              <w:rPr>
                <w:rFonts w:ascii="宋体" w:hAnsi="宋体" w:hint="eastAsia"/>
                <w:b/>
                <w:szCs w:val="24"/>
              </w:rPr>
              <w:t>业绩报酬：</w:t>
            </w:r>
          </w:p>
          <w:p w14:paraId="2EEA8E81" w14:textId="77777777" w:rsidR="00A2049A" w:rsidRDefault="0029186B">
            <w:pPr>
              <w:tabs>
                <w:tab w:val="left" w:pos="312"/>
              </w:tabs>
              <w:snapToGrid w:val="0"/>
              <w:rPr>
                <w:rFonts w:ascii="宋体" w:hAnsi="宋体"/>
                <w:b/>
                <w:szCs w:val="24"/>
              </w:rPr>
            </w:pPr>
            <w:r>
              <w:rPr>
                <w:rFonts w:ascii="宋体" w:hAnsi="宋体" w:hint="eastAsia"/>
                <w:b/>
                <w:szCs w:val="24"/>
              </w:rPr>
              <w:t>在业绩报酬计提日时，若理财资产扣除销售服务费、产品托管费和投资管理费等相关费用和税收后，业绩报酬计提日产品份额净值折算的当前年化收益率超过当前业绩报酬计提基准，则产品管理人计提超出部分的【</w:t>
            </w:r>
            <w:r>
              <w:rPr>
                <w:rFonts w:ascii="宋体" w:hAnsi="宋体" w:hint="eastAsia"/>
                <w:b/>
                <w:szCs w:val="24"/>
              </w:rPr>
              <w:t>50%</w:t>
            </w:r>
            <w:r>
              <w:rPr>
                <w:rFonts w:ascii="宋体" w:hAnsi="宋体" w:hint="eastAsia"/>
                <w:b/>
                <w:szCs w:val="24"/>
              </w:rPr>
              <w:t>】作为业绩报酬。</w:t>
            </w:r>
          </w:p>
          <w:p w14:paraId="6A218041" w14:textId="77777777" w:rsidR="00A2049A" w:rsidRDefault="0029186B">
            <w:pPr>
              <w:tabs>
                <w:tab w:val="left" w:pos="312"/>
              </w:tabs>
              <w:snapToGrid w:val="0"/>
              <w:rPr>
                <w:rFonts w:ascii="宋体" w:hAnsi="宋体"/>
                <w:szCs w:val="24"/>
              </w:rPr>
            </w:pPr>
            <w:r>
              <w:rPr>
                <w:rFonts w:ascii="宋体" w:hAnsi="宋体"/>
                <w:szCs w:val="24"/>
              </w:rPr>
              <w:t>5.</w:t>
            </w:r>
            <w:r>
              <w:rPr>
                <w:rFonts w:ascii="宋体" w:hAnsi="宋体" w:hint="eastAsia"/>
                <w:b/>
                <w:bCs/>
                <w:szCs w:val="24"/>
              </w:rPr>
              <w:t>其他费用（如有）：与理财产品相关的账户服务费用、资产服务费用、交易费用（包括但不限于交易佣金、撮合费用等）、注册登记费、验资费、审计费、信息披露费、清算费用、执行费用（包括但不限于律师费、诉讼费、仲裁费、公证费、保全费、执行费等）以及按照法律</w:t>
            </w:r>
            <w:r>
              <w:rPr>
                <w:rFonts w:ascii="宋体" w:hAnsi="宋体" w:hint="eastAsia"/>
                <w:b/>
                <w:bCs/>
                <w:szCs w:val="24"/>
              </w:rPr>
              <w:t>法规、监管规定和理财产品销售文件约定可以列入的其他费用，具体以实际发</w:t>
            </w:r>
            <w:r>
              <w:rPr>
                <w:rFonts w:ascii="宋体" w:hAnsi="宋体" w:hint="eastAsia"/>
                <w:b/>
                <w:bCs/>
                <w:szCs w:val="24"/>
              </w:rPr>
              <w:lastRenderedPageBreak/>
              <w:t>生为准。</w:t>
            </w:r>
          </w:p>
          <w:p w14:paraId="3BFA59F3" w14:textId="77777777" w:rsidR="00A2049A" w:rsidRDefault="0029186B">
            <w:pPr>
              <w:snapToGrid w:val="0"/>
              <w:rPr>
                <w:rFonts w:ascii="宋体" w:hAnsi="宋体"/>
                <w:szCs w:val="24"/>
              </w:rPr>
            </w:pPr>
            <w:r>
              <w:rPr>
                <w:rFonts w:ascii="宋体" w:hAnsi="宋体"/>
                <w:szCs w:val="24"/>
              </w:rPr>
              <w:t>6</w:t>
            </w:r>
            <w:r>
              <w:rPr>
                <w:rFonts w:ascii="宋体" w:hAnsi="宋体" w:hint="eastAsia"/>
                <w:szCs w:val="24"/>
              </w:rPr>
              <w:t>.</w:t>
            </w:r>
            <w:r>
              <w:rPr>
                <w:rFonts w:ascii="宋体" w:hAnsi="宋体" w:hint="eastAsia"/>
                <w:szCs w:val="24"/>
              </w:rPr>
              <w:t>本产品无认购费、申购费、赎回费；</w:t>
            </w:r>
          </w:p>
          <w:p w14:paraId="27A76839" w14:textId="77777777" w:rsidR="00A2049A" w:rsidRDefault="0029186B">
            <w:pPr>
              <w:snapToGrid w:val="0"/>
              <w:rPr>
                <w:rFonts w:ascii="宋体" w:hAnsi="宋体"/>
                <w:szCs w:val="24"/>
              </w:rPr>
            </w:pPr>
            <w:r>
              <w:rPr>
                <w:rFonts w:ascii="宋体" w:hAnsi="宋体" w:hint="eastAsia"/>
                <w:szCs w:val="24"/>
              </w:rPr>
              <w:t>产品管理人保留调整上述理财产品收取费率标准的权利。以上费用精确到小数点后</w:t>
            </w:r>
            <w:r>
              <w:rPr>
                <w:rFonts w:ascii="宋体" w:hAnsi="宋体" w:hint="eastAsia"/>
                <w:szCs w:val="24"/>
              </w:rPr>
              <w:t>2</w:t>
            </w:r>
            <w:r>
              <w:rPr>
                <w:rFonts w:ascii="宋体" w:hAnsi="宋体" w:hint="eastAsia"/>
                <w:szCs w:val="24"/>
              </w:rPr>
              <w:t>位，小数点</w:t>
            </w:r>
            <w:r>
              <w:rPr>
                <w:rFonts w:ascii="宋体" w:hAnsi="宋体" w:hint="eastAsia"/>
                <w:szCs w:val="24"/>
              </w:rPr>
              <w:t>2</w:t>
            </w:r>
            <w:r>
              <w:rPr>
                <w:rFonts w:ascii="宋体" w:hAnsi="宋体" w:hint="eastAsia"/>
                <w:szCs w:val="24"/>
              </w:rPr>
              <w:t>位以后四舍五入。</w:t>
            </w:r>
          </w:p>
        </w:tc>
      </w:tr>
      <w:tr w:rsidR="00A2049A" w14:paraId="400E8A3B" w14:textId="77777777">
        <w:trPr>
          <w:trHeight w:val="425"/>
        </w:trPr>
        <w:tc>
          <w:tcPr>
            <w:tcW w:w="1673" w:type="dxa"/>
            <w:vAlign w:val="center"/>
          </w:tcPr>
          <w:p w14:paraId="14FADB46" w14:textId="77777777" w:rsidR="00A2049A" w:rsidRDefault="0029186B">
            <w:pPr>
              <w:snapToGrid w:val="0"/>
              <w:jc w:val="center"/>
              <w:rPr>
                <w:rFonts w:ascii="宋体" w:hAnsi="宋体"/>
                <w:bCs/>
                <w:iCs/>
                <w:szCs w:val="24"/>
              </w:rPr>
            </w:pPr>
            <w:r>
              <w:rPr>
                <w:rFonts w:ascii="宋体" w:hAnsi="宋体" w:hint="eastAsia"/>
                <w:szCs w:val="24"/>
              </w:rPr>
              <w:lastRenderedPageBreak/>
              <w:t>销售渠道</w:t>
            </w:r>
          </w:p>
        </w:tc>
        <w:tc>
          <w:tcPr>
            <w:tcW w:w="7541" w:type="dxa"/>
            <w:gridSpan w:val="4"/>
            <w:vAlign w:val="center"/>
          </w:tcPr>
          <w:p w14:paraId="257A19A2" w14:textId="77777777" w:rsidR="00A2049A" w:rsidRDefault="0029186B">
            <w:pPr>
              <w:snapToGrid w:val="0"/>
              <w:jc w:val="left"/>
              <w:rPr>
                <w:rFonts w:ascii="宋体" w:hAnsi="宋体"/>
                <w:bCs/>
                <w:iCs/>
                <w:szCs w:val="24"/>
              </w:rPr>
            </w:pPr>
            <w:r>
              <w:rPr>
                <w:rFonts w:hint="eastAsia"/>
                <w:b/>
                <w:szCs w:val="24"/>
              </w:rPr>
              <w:t>浙江长兴农村商业银行股份有限公司，嘉兴银行股份有限公司，浙江岱山农村商业银行股份有限公司，浙江遂昌农村商业银行股份有限公司，浙江云和农村商业银行股份有限公司，浙江临海农村商业银行股份有限公司，浙江台州路桥农村商业银行股份有限公司，浙江天台农村商业银行股份有限公司，浙江仙居农村商业银行股份有限公司，浙江玉环农村商业银行股份有限公司，浙江富阳农村商业银行股份有限公司，浙江龙泉农村商业银行股份有限公司，宁波北仑农村商业银行股份有限公司，浙江松阳农村商业银行股份有限公司，浙江台州黄岩农村商业银行股份有限公司，浙江禾</w:t>
            </w:r>
            <w:r>
              <w:rPr>
                <w:rFonts w:hint="eastAsia"/>
                <w:b/>
                <w:szCs w:val="24"/>
              </w:rPr>
              <w:t>城农村商业银行股份有限公司，浙江舟山普陀农村商业银行股份有限公司，浙江平湖农村商业银行股份有限公司，浙江海盐农村商业银行股份有限公司，浙江萧山农村商业银行股份有限公司，浙江嵊泗农村商业银行股份有限公司，浙江台州椒江农村商业银行股份有限公司，浙江东阳农村商业银行股份有限公司，浙江临安农村商业银行股份有限公司，浙江青田农村商业银行股份有限公司，浙江桐庐农村商业银行股份有限公司，浙江绍兴恒信农村商业银行股份有限公司，浙江德清农村商业银行股份有限公司，浙江建德农村商业银行股份有限公司，浙江庆元农村商业银行股份有限公</w:t>
            </w:r>
            <w:r>
              <w:rPr>
                <w:rFonts w:hint="eastAsia"/>
                <w:b/>
                <w:szCs w:val="24"/>
              </w:rPr>
              <w:t>司，浙江上虞农村商业银行股份有限公司，中原银行股份有限公司，赣州银行股份有限公司，浙江义乌农村商业银行股份有限公司，湖州吴兴农村商业银行股份有限公司，浙江丽水莲都农村商业银行股份有限公司，江苏苏商银行股份有限公司，浙江武义农村商业银行股份有限公司，宁波鄞州农村商业银行股份有限公司及其他销售机构（如有）</w:t>
            </w:r>
          </w:p>
        </w:tc>
      </w:tr>
      <w:tr w:rsidR="00A2049A" w14:paraId="34EE395D" w14:textId="77777777">
        <w:trPr>
          <w:trHeight w:val="425"/>
        </w:trPr>
        <w:tc>
          <w:tcPr>
            <w:tcW w:w="1673" w:type="dxa"/>
            <w:vAlign w:val="center"/>
          </w:tcPr>
          <w:p w14:paraId="236E5C80" w14:textId="77777777" w:rsidR="00A2049A" w:rsidRDefault="0029186B">
            <w:pPr>
              <w:snapToGrid w:val="0"/>
              <w:jc w:val="center"/>
              <w:rPr>
                <w:rFonts w:ascii="宋体" w:hAnsi="宋体"/>
                <w:szCs w:val="24"/>
              </w:rPr>
            </w:pPr>
            <w:r>
              <w:rPr>
                <w:rFonts w:ascii="宋体" w:hAnsi="宋体" w:hint="eastAsia"/>
                <w:kern w:val="0"/>
                <w:szCs w:val="24"/>
              </w:rPr>
              <w:t>信息披露</w:t>
            </w:r>
          </w:p>
        </w:tc>
        <w:tc>
          <w:tcPr>
            <w:tcW w:w="7541" w:type="dxa"/>
            <w:gridSpan w:val="4"/>
            <w:vAlign w:val="center"/>
          </w:tcPr>
          <w:p w14:paraId="4AB96635" w14:textId="77777777" w:rsidR="00A2049A" w:rsidRDefault="0029186B">
            <w:pPr>
              <w:snapToGrid w:val="0"/>
              <w:rPr>
                <w:rFonts w:ascii="宋体" w:hAnsi="宋体"/>
                <w:b/>
                <w:szCs w:val="24"/>
              </w:rPr>
            </w:pPr>
            <w:r>
              <w:rPr>
                <w:rFonts w:ascii="宋体" w:hAnsi="宋体" w:hint="eastAsia"/>
                <w:b/>
                <w:szCs w:val="24"/>
              </w:rPr>
              <w:t>本产品成立后，管理人将按【</w:t>
            </w:r>
            <w:r>
              <w:rPr>
                <w:rFonts w:ascii="仿宋_GB2312" w:hAnsi="宋体" w:cs="宋体" w:hint="eastAsia"/>
                <w:b/>
                <w:kern w:val="0"/>
                <w:szCs w:val="24"/>
              </w:rPr>
              <w:t>周</w:t>
            </w:r>
            <w:r>
              <w:rPr>
                <w:rFonts w:ascii="仿宋_GB2312" w:hAnsi="宋体" w:cs="宋体"/>
                <w:b/>
                <w:kern w:val="0"/>
                <w:szCs w:val="24"/>
              </w:rPr>
              <w:t>】</w:t>
            </w:r>
            <w:r>
              <w:rPr>
                <w:rFonts w:ascii="宋体" w:hAnsi="宋体" w:hint="eastAsia"/>
                <w:b/>
                <w:szCs w:val="24"/>
              </w:rPr>
              <w:t>披露理财产品份额净值、资产净值。</w:t>
            </w:r>
            <w:r>
              <w:rPr>
                <w:rFonts w:ascii="宋体" w:hAnsi="宋体"/>
                <w:b/>
                <w:szCs w:val="24"/>
              </w:rPr>
              <w:t>(</w:t>
            </w:r>
            <w:r>
              <w:rPr>
                <w:rFonts w:ascii="宋体" w:hAnsi="宋体"/>
                <w:b/>
                <w:szCs w:val="24"/>
              </w:rPr>
              <w:t>如遇特殊情况以产品管理人</w:t>
            </w:r>
            <w:r>
              <w:rPr>
                <w:rFonts w:ascii="宋体" w:hAnsi="宋体" w:hint="eastAsia"/>
                <w:b/>
                <w:szCs w:val="24"/>
              </w:rPr>
              <w:t>披露</w:t>
            </w:r>
            <w:r>
              <w:rPr>
                <w:rFonts w:ascii="宋体" w:hAnsi="宋体"/>
                <w:b/>
                <w:szCs w:val="24"/>
              </w:rPr>
              <w:t>为准</w:t>
            </w:r>
            <w:r>
              <w:rPr>
                <w:rFonts w:ascii="宋体" w:hAnsi="宋体"/>
                <w:b/>
                <w:szCs w:val="24"/>
              </w:rPr>
              <w:t>)</w:t>
            </w:r>
            <w:r>
              <w:rPr>
                <w:rFonts w:ascii="宋体" w:hAnsi="宋体" w:hint="eastAsia"/>
                <w:b/>
                <w:szCs w:val="24"/>
              </w:rPr>
              <w:t>。</w:t>
            </w:r>
          </w:p>
          <w:p w14:paraId="5022B46F" w14:textId="77777777" w:rsidR="00A2049A" w:rsidRDefault="0029186B">
            <w:pPr>
              <w:snapToGrid w:val="0"/>
              <w:rPr>
                <w:b/>
                <w:szCs w:val="24"/>
              </w:rPr>
            </w:pPr>
            <w:r>
              <w:rPr>
                <w:rFonts w:ascii="宋体" w:hAnsi="宋体" w:hint="eastAsia"/>
                <w:szCs w:val="24"/>
              </w:rPr>
              <w:t>本产品成立、运行、到期、净值等信息将通过</w:t>
            </w:r>
            <w:r>
              <w:rPr>
                <w:rFonts w:ascii="仿宋_GB2312" w:hAnsi="宋体" w:cs="宋体" w:hint="eastAsia"/>
                <w:b/>
                <w:kern w:val="0"/>
                <w:szCs w:val="24"/>
              </w:rPr>
              <w:t>产品管理人官方网站</w:t>
            </w:r>
            <w:r>
              <w:rPr>
                <w:rFonts w:ascii="仿宋_GB2312" w:hAnsi="宋体" w:cs="宋体"/>
                <w:b/>
                <w:kern w:val="0"/>
                <w:szCs w:val="24"/>
              </w:rPr>
              <w:t>www.czbank-wm.com</w:t>
            </w:r>
            <w:r>
              <w:rPr>
                <w:rFonts w:ascii="宋体" w:hAnsi="宋体" w:hint="eastAsia"/>
                <w:b/>
                <w:bCs/>
                <w:szCs w:val="24"/>
              </w:rPr>
              <w:t>、</w:t>
            </w:r>
            <w:r>
              <w:rPr>
                <w:rFonts w:ascii="宋体" w:hAnsi="宋体" w:cs="宋体" w:hint="eastAsia"/>
                <w:b/>
                <w:bCs/>
                <w:kern w:val="0"/>
                <w:szCs w:val="24"/>
              </w:rPr>
              <w:t>销售</w:t>
            </w:r>
            <w:r>
              <w:rPr>
                <w:rFonts w:ascii="宋体" w:hAnsi="宋体" w:cs="宋体" w:hint="eastAsia"/>
                <w:b/>
                <w:kern w:val="0"/>
                <w:szCs w:val="24"/>
              </w:rPr>
              <w:t>机构官方网站、个人手机银行</w:t>
            </w:r>
            <w:r>
              <w:rPr>
                <w:rFonts w:ascii="宋体" w:hAnsi="宋体" w:hint="eastAsia"/>
                <w:b/>
                <w:bCs/>
                <w:szCs w:val="24"/>
              </w:rPr>
              <w:t>或其他约定的方式等</w:t>
            </w:r>
            <w:r>
              <w:rPr>
                <w:rFonts w:ascii="宋体" w:hAnsi="宋体" w:cs="宋体" w:hint="eastAsia"/>
                <w:b/>
                <w:bCs/>
                <w:kern w:val="0"/>
                <w:szCs w:val="24"/>
              </w:rPr>
              <w:t>一种或多种渠道进行</w:t>
            </w:r>
            <w:r>
              <w:rPr>
                <w:rFonts w:ascii="宋体" w:hAnsi="宋体" w:cs="宋体" w:hint="eastAsia"/>
                <w:b/>
                <w:kern w:val="0"/>
                <w:szCs w:val="24"/>
              </w:rPr>
              <w:t>信息披露，</w:t>
            </w:r>
            <w:r>
              <w:rPr>
                <w:rFonts w:ascii="宋体" w:hAnsi="宋体" w:hint="eastAsia"/>
                <w:szCs w:val="24"/>
              </w:rPr>
              <w:t>请投资者持续关注并及时查看。</w:t>
            </w:r>
          </w:p>
        </w:tc>
      </w:tr>
      <w:tr w:rsidR="00A2049A" w14:paraId="034826A4" w14:textId="77777777">
        <w:trPr>
          <w:trHeight w:val="425"/>
        </w:trPr>
        <w:tc>
          <w:tcPr>
            <w:tcW w:w="1673" w:type="dxa"/>
            <w:vAlign w:val="center"/>
          </w:tcPr>
          <w:p w14:paraId="3A6707CA" w14:textId="77777777" w:rsidR="00A2049A" w:rsidRDefault="0029186B">
            <w:pPr>
              <w:snapToGrid w:val="0"/>
              <w:jc w:val="center"/>
              <w:rPr>
                <w:rFonts w:ascii="宋体" w:hAnsi="宋体"/>
                <w:kern w:val="0"/>
                <w:szCs w:val="24"/>
              </w:rPr>
            </w:pPr>
            <w:r>
              <w:rPr>
                <w:rFonts w:ascii="宋体" w:hAnsi="宋体" w:hint="eastAsia"/>
                <w:bCs/>
                <w:iCs/>
                <w:szCs w:val="24"/>
              </w:rPr>
              <w:t>其他规定</w:t>
            </w:r>
          </w:p>
        </w:tc>
        <w:tc>
          <w:tcPr>
            <w:tcW w:w="7541" w:type="dxa"/>
            <w:gridSpan w:val="4"/>
            <w:vAlign w:val="center"/>
          </w:tcPr>
          <w:p w14:paraId="5295C792" w14:textId="77777777" w:rsidR="00A2049A" w:rsidRDefault="0029186B">
            <w:pPr>
              <w:snapToGrid w:val="0"/>
              <w:rPr>
                <w:rFonts w:ascii="宋体" w:hAnsi="宋体"/>
                <w:b/>
                <w:bCs/>
                <w:iCs/>
                <w:szCs w:val="24"/>
              </w:rPr>
            </w:pPr>
            <w:r>
              <w:rPr>
                <w:rFonts w:ascii="宋体" w:hAnsi="宋体"/>
                <w:b/>
                <w:bCs/>
                <w:iCs/>
                <w:szCs w:val="24"/>
              </w:rPr>
              <w:t>1.</w:t>
            </w:r>
            <w:r>
              <w:rPr>
                <w:rFonts w:ascii="宋体" w:hAnsi="宋体" w:hint="eastAsia"/>
                <w:b/>
                <w:bCs/>
                <w:iCs/>
                <w:szCs w:val="24"/>
              </w:rPr>
              <w:t>募集期内认购资金是否计息以销售机构为准，但利息不计入认购本金份额。</w:t>
            </w:r>
          </w:p>
          <w:p w14:paraId="3B6A5D68" w14:textId="77777777" w:rsidR="00A2049A" w:rsidRDefault="0029186B">
            <w:pPr>
              <w:snapToGrid w:val="0"/>
              <w:rPr>
                <w:rFonts w:ascii="宋体" w:hAnsi="宋体"/>
                <w:b/>
                <w:bCs/>
                <w:iCs/>
                <w:szCs w:val="24"/>
              </w:rPr>
            </w:pPr>
            <w:r>
              <w:rPr>
                <w:rFonts w:ascii="宋体" w:hAnsi="宋体"/>
                <w:b/>
                <w:bCs/>
                <w:iCs/>
                <w:szCs w:val="24"/>
              </w:rPr>
              <w:t>2.</w:t>
            </w:r>
            <w:r>
              <w:rPr>
                <w:rFonts w:ascii="宋体" w:hAnsi="宋体" w:hint="eastAsia"/>
                <w:b/>
                <w:bCs/>
                <w:iCs/>
                <w:szCs w:val="24"/>
              </w:rPr>
              <w:t>本产品</w:t>
            </w:r>
            <w:r>
              <w:rPr>
                <w:rFonts w:ascii="宋体" w:hAnsi="宋体"/>
                <w:b/>
                <w:bCs/>
                <w:iCs/>
                <w:szCs w:val="24"/>
              </w:rPr>
              <w:t>到期日（或提前终止日）至</w:t>
            </w:r>
            <w:r>
              <w:rPr>
                <w:rFonts w:ascii="宋体" w:hAnsi="宋体" w:hint="eastAsia"/>
                <w:b/>
                <w:bCs/>
                <w:iCs/>
                <w:szCs w:val="24"/>
              </w:rPr>
              <w:t>资金</w:t>
            </w:r>
            <w:r>
              <w:rPr>
                <w:rFonts w:ascii="宋体" w:hAnsi="宋体"/>
                <w:b/>
                <w:bCs/>
                <w:iCs/>
                <w:szCs w:val="24"/>
              </w:rPr>
              <w:t>到账日</w:t>
            </w:r>
            <w:r>
              <w:rPr>
                <w:rFonts w:ascii="宋体" w:hAnsi="宋体" w:hint="eastAsia"/>
                <w:b/>
                <w:bCs/>
                <w:iCs/>
                <w:szCs w:val="24"/>
              </w:rPr>
              <w:t>期间，投资者理财资金如因清算安排实际产生利息的，相关利息归投资者所有</w:t>
            </w:r>
            <w:r>
              <w:rPr>
                <w:rFonts w:ascii="宋体" w:hAnsi="宋体"/>
                <w:b/>
                <w:bCs/>
                <w:iCs/>
                <w:szCs w:val="24"/>
              </w:rPr>
              <w:t>。</w:t>
            </w:r>
          </w:p>
          <w:p w14:paraId="7619D379" w14:textId="77777777" w:rsidR="00A2049A" w:rsidRDefault="0029186B">
            <w:pPr>
              <w:snapToGrid w:val="0"/>
              <w:rPr>
                <w:rFonts w:ascii="宋体" w:hAnsi="宋体"/>
                <w:b/>
                <w:bCs/>
                <w:iCs/>
                <w:szCs w:val="24"/>
              </w:rPr>
            </w:pPr>
            <w:r>
              <w:rPr>
                <w:rFonts w:ascii="宋体" w:hAnsi="宋体" w:hint="eastAsia"/>
                <w:b/>
                <w:bCs/>
                <w:iCs/>
                <w:szCs w:val="24"/>
              </w:rPr>
              <w:t>3</w:t>
            </w:r>
            <w:r>
              <w:rPr>
                <w:rFonts w:ascii="宋体" w:hAnsi="宋体"/>
                <w:b/>
                <w:bCs/>
                <w:iCs/>
                <w:szCs w:val="24"/>
              </w:rPr>
              <w:t>.</w:t>
            </w:r>
            <w:r>
              <w:rPr>
                <w:rFonts w:ascii="宋体" w:hAnsi="宋体" w:hint="eastAsia"/>
                <w:b/>
                <w:bCs/>
                <w:iCs/>
                <w:szCs w:val="24"/>
              </w:rPr>
              <w:t>理财产品份额转让</w:t>
            </w:r>
            <w:r>
              <w:rPr>
                <w:rFonts w:ascii="宋体" w:hAnsi="宋体"/>
                <w:b/>
                <w:bCs/>
                <w:iCs/>
                <w:szCs w:val="24"/>
              </w:rPr>
              <w:t>、</w:t>
            </w:r>
            <w:r>
              <w:rPr>
                <w:rFonts w:ascii="宋体" w:hAnsi="宋体" w:hint="eastAsia"/>
                <w:b/>
                <w:bCs/>
                <w:iCs/>
                <w:szCs w:val="24"/>
              </w:rPr>
              <w:t>质押将依照销售机构与</w:t>
            </w:r>
            <w:r>
              <w:rPr>
                <w:rFonts w:ascii="宋体" w:hAnsi="宋体"/>
                <w:b/>
                <w:bCs/>
                <w:iCs/>
                <w:szCs w:val="24"/>
              </w:rPr>
              <w:t>管理人</w:t>
            </w:r>
            <w:r>
              <w:rPr>
                <w:rFonts w:ascii="宋体" w:hAnsi="宋体" w:hint="eastAsia"/>
                <w:b/>
                <w:bCs/>
                <w:iCs/>
                <w:szCs w:val="24"/>
              </w:rPr>
              <w:t>的业务政策执行。</w:t>
            </w:r>
          </w:p>
        </w:tc>
      </w:tr>
    </w:tbl>
    <w:p w14:paraId="7CD26908" w14:textId="77777777" w:rsidR="00A2049A" w:rsidRDefault="00A2049A"/>
    <w:p w14:paraId="307A3531" w14:textId="77777777" w:rsidR="00A2049A" w:rsidRDefault="0029186B">
      <w:pPr>
        <w:pStyle w:val="1"/>
      </w:pPr>
      <w:r>
        <w:rPr>
          <w:rFonts w:ascii="黑体" w:hAnsi="宋体" w:cs="宋体" w:hint="eastAsia"/>
          <w:bCs/>
          <w:kern w:val="0"/>
          <w:szCs w:val="24"/>
        </w:rPr>
        <w:br w:type="page"/>
      </w:r>
      <w:r>
        <w:rPr>
          <w:rFonts w:hint="eastAsia"/>
        </w:rPr>
        <w:lastRenderedPageBreak/>
        <w:t>理财产品的认购与成立</w:t>
      </w:r>
    </w:p>
    <w:p w14:paraId="08CFA4AF" w14:textId="77777777" w:rsidR="00A2049A" w:rsidRDefault="0029186B">
      <w:pPr>
        <w:pStyle w:val="2"/>
        <w:widowControl/>
        <w:adjustRightInd w:val="0"/>
        <w:snapToGrid w:val="0"/>
        <w:ind w:firstLine="482"/>
        <w:rPr>
          <w:rFonts w:ascii="仿宋_GB2312" w:hAnsi="宋体" w:cs="宋体"/>
          <w:bCs/>
          <w:kern w:val="0"/>
          <w:szCs w:val="24"/>
        </w:rPr>
      </w:pPr>
      <w:r>
        <w:rPr>
          <w:rFonts w:ascii="仿宋_GB2312" w:hAnsi="宋体" w:cs="宋体" w:hint="eastAsia"/>
          <w:bCs/>
          <w:kern w:val="0"/>
          <w:szCs w:val="24"/>
        </w:rPr>
        <w:t>参与主体及主要职责</w:t>
      </w:r>
    </w:p>
    <w:p w14:paraId="1C8D264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w:t>
      </w:r>
      <w:r>
        <w:rPr>
          <w:rFonts w:ascii="仿宋_GB2312" w:hAnsi="宋体" w:cs="宋体" w:hint="eastAsia"/>
          <w:bCs/>
          <w:kern w:val="0"/>
          <w:szCs w:val="24"/>
        </w:rPr>
        <w:t>产品管理人</w:t>
      </w:r>
    </w:p>
    <w:p w14:paraId="57C68B73"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名称：浙银理财有限责任公司</w:t>
      </w:r>
    </w:p>
    <w:p w14:paraId="2D7BC9EC"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注册地：浙江省杭州市萧山区宁围街道民和路</w:t>
      </w:r>
      <w:r>
        <w:rPr>
          <w:rFonts w:ascii="仿宋_GB2312" w:hAnsi="宋体" w:cs="宋体" w:hint="eastAsia"/>
          <w:bCs/>
          <w:kern w:val="0"/>
          <w:szCs w:val="24"/>
        </w:rPr>
        <w:t>939</w:t>
      </w:r>
      <w:r>
        <w:rPr>
          <w:rFonts w:ascii="仿宋_GB2312" w:hAnsi="宋体" w:cs="宋体" w:hint="eastAsia"/>
          <w:bCs/>
          <w:kern w:val="0"/>
          <w:szCs w:val="24"/>
        </w:rPr>
        <w:t>号浙江商会大厦</w:t>
      </w:r>
      <w:r>
        <w:rPr>
          <w:rFonts w:ascii="仿宋_GB2312" w:hAnsi="宋体" w:cs="宋体" w:hint="eastAsia"/>
          <w:bCs/>
          <w:kern w:val="0"/>
          <w:szCs w:val="24"/>
        </w:rPr>
        <w:t>2</w:t>
      </w:r>
      <w:r>
        <w:rPr>
          <w:rFonts w:ascii="仿宋_GB2312" w:hAnsi="宋体" w:cs="宋体" w:hint="eastAsia"/>
          <w:bCs/>
          <w:kern w:val="0"/>
          <w:szCs w:val="24"/>
        </w:rPr>
        <w:t>幢</w:t>
      </w:r>
      <w:r>
        <w:rPr>
          <w:rFonts w:ascii="仿宋_GB2312" w:hAnsi="宋体" w:cs="宋体" w:hint="eastAsia"/>
          <w:bCs/>
          <w:kern w:val="0"/>
          <w:szCs w:val="24"/>
        </w:rPr>
        <w:t>20-22</w:t>
      </w:r>
      <w:r>
        <w:rPr>
          <w:rFonts w:ascii="仿宋_GB2312" w:hAnsi="宋体" w:cs="宋体" w:hint="eastAsia"/>
          <w:bCs/>
          <w:kern w:val="0"/>
          <w:szCs w:val="24"/>
        </w:rPr>
        <w:t>楼</w:t>
      </w:r>
    </w:p>
    <w:p w14:paraId="6819E667"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浙银理财负责本产品的投资运作和产品管理，</w:t>
      </w:r>
      <w:r>
        <w:rPr>
          <w:rFonts w:ascii="仿宋_GB2312" w:hAnsi="宋体" w:cs="宋体" w:hint="eastAsia"/>
          <w:b/>
          <w:kern w:val="0"/>
          <w:szCs w:val="24"/>
        </w:rPr>
        <w:t>投资者在此授权并同意浙银理财享有以下权利</w:t>
      </w:r>
      <w:r>
        <w:rPr>
          <w:rFonts w:ascii="仿宋_GB2312" w:hAnsi="宋体" w:cs="宋体" w:hint="eastAsia"/>
          <w:bCs/>
          <w:kern w:val="0"/>
          <w:szCs w:val="24"/>
        </w:rPr>
        <w:t>：</w:t>
      </w:r>
    </w:p>
    <w:p w14:paraId="59A3A5C0" w14:textId="77777777" w:rsidR="00A2049A" w:rsidRDefault="0029186B">
      <w:pPr>
        <w:widowControl/>
        <w:numPr>
          <w:ilvl w:val="0"/>
          <w:numId w:val="3"/>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按照本产品销售文件的约定，管理、运用和处分理财产品资金；</w:t>
      </w:r>
    </w:p>
    <w:p w14:paraId="5B35E79B" w14:textId="77777777" w:rsidR="00A2049A" w:rsidRDefault="0029186B">
      <w:pPr>
        <w:widowControl/>
        <w:numPr>
          <w:ilvl w:val="0"/>
          <w:numId w:val="3"/>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按照本产品销售文件的约定，及时、足额获得管理费和本产品说明书约定的其他费用（如有）；</w:t>
      </w:r>
    </w:p>
    <w:p w14:paraId="39C8F638" w14:textId="77777777" w:rsidR="00A2049A" w:rsidRDefault="0029186B">
      <w:pPr>
        <w:widowControl/>
        <w:numPr>
          <w:ilvl w:val="0"/>
          <w:numId w:val="3"/>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管理人以其固有财产先行垫付因处理本产品相关事务所支出的理财产品费用及税费的，对理财产品资金享有优先受偿权；</w:t>
      </w:r>
    </w:p>
    <w:p w14:paraId="3E1BA282" w14:textId="77777777" w:rsidR="00A2049A" w:rsidRDefault="0029186B">
      <w:pPr>
        <w:widowControl/>
        <w:numPr>
          <w:ilvl w:val="0"/>
          <w:numId w:val="3"/>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管理人有权根据本产品销售文件的约定提前终止或延长本理财产品的期限；</w:t>
      </w:r>
    </w:p>
    <w:p w14:paraId="65B61243"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5</w:t>
      </w:r>
      <w:r>
        <w:rPr>
          <w:rFonts w:ascii="仿宋_GB2312" w:hAnsi="宋体" w:cs="宋体" w:hint="eastAsia"/>
          <w:bCs/>
          <w:kern w:val="0"/>
          <w:szCs w:val="24"/>
        </w:rPr>
        <w:t>）管理人有权单方调整本产品</w:t>
      </w:r>
      <w:r>
        <w:rPr>
          <w:rFonts w:ascii="仿宋_GB2312" w:hAnsi="宋体" w:cs="宋体" w:hint="eastAsia"/>
          <w:bCs/>
          <w:kern w:val="0"/>
          <w:szCs w:val="24"/>
        </w:rPr>
        <w:t>的发行规模上限、认</w:t>
      </w:r>
      <w:r>
        <w:rPr>
          <w:rFonts w:ascii="仿宋_GB2312" w:hAnsi="宋体" w:cs="宋体" w:hint="eastAsia"/>
          <w:bCs/>
          <w:kern w:val="0"/>
          <w:szCs w:val="24"/>
        </w:rPr>
        <w:t>/</w:t>
      </w:r>
      <w:r>
        <w:rPr>
          <w:rFonts w:ascii="仿宋_GB2312" w:hAnsi="宋体" w:cs="宋体" w:hint="eastAsia"/>
          <w:bCs/>
          <w:kern w:val="0"/>
          <w:szCs w:val="24"/>
        </w:rPr>
        <w:t>申购起点金额、投资者累计认</w:t>
      </w:r>
      <w:r>
        <w:rPr>
          <w:rFonts w:ascii="仿宋_GB2312" w:hAnsi="宋体" w:cs="宋体" w:hint="eastAsia"/>
          <w:bCs/>
          <w:kern w:val="0"/>
          <w:szCs w:val="24"/>
        </w:rPr>
        <w:t>/</w:t>
      </w:r>
      <w:r>
        <w:rPr>
          <w:rFonts w:ascii="仿宋_GB2312" w:hAnsi="宋体" w:cs="宋体" w:hint="eastAsia"/>
          <w:bCs/>
          <w:kern w:val="0"/>
          <w:szCs w:val="24"/>
        </w:rPr>
        <w:t>申购上限、赎回上限等要素；</w:t>
      </w:r>
    </w:p>
    <w:p w14:paraId="3E98BE72"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6</w:t>
      </w:r>
      <w:r>
        <w:rPr>
          <w:rFonts w:ascii="仿宋_GB2312" w:hAnsi="宋体" w:cs="宋体" w:hint="eastAsia"/>
          <w:bCs/>
          <w:kern w:val="0"/>
          <w:szCs w:val="24"/>
        </w:rPr>
        <w:t>）管理人有权按照法律法规和监管机构的要求将投资者的信息向有权部门或相关机构披露；</w:t>
      </w:r>
    </w:p>
    <w:p w14:paraId="3CC695D4"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7</w:t>
      </w:r>
      <w:r>
        <w:rPr>
          <w:rFonts w:ascii="仿宋_GB2312" w:hAnsi="宋体" w:cs="宋体" w:hint="eastAsia"/>
          <w:bCs/>
          <w:kern w:val="0"/>
          <w:szCs w:val="24"/>
        </w:rPr>
        <w:t>）以理财产品管理人的名义，依照法律法规相关规定以及为理财产品的利益，对被投资的各类资产行使出资人</w:t>
      </w:r>
      <w:r>
        <w:rPr>
          <w:rFonts w:ascii="仿宋_GB2312" w:hAnsi="宋体" w:cs="宋体" w:hint="eastAsia"/>
          <w:bCs/>
          <w:kern w:val="0"/>
          <w:szCs w:val="24"/>
        </w:rPr>
        <w:t>/</w:t>
      </w:r>
      <w:r>
        <w:rPr>
          <w:rFonts w:ascii="仿宋_GB2312" w:hAnsi="宋体" w:cs="宋体" w:hint="eastAsia"/>
          <w:bCs/>
          <w:kern w:val="0"/>
          <w:szCs w:val="24"/>
        </w:rPr>
        <w:t>投资者权利（包括但不限于表决投票的权利）；</w:t>
      </w:r>
    </w:p>
    <w:p w14:paraId="28DB015A"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8</w:t>
      </w:r>
      <w:r>
        <w:rPr>
          <w:rFonts w:ascii="仿宋_GB2312" w:hAnsi="宋体" w:cs="宋体" w:hint="eastAsia"/>
          <w:bCs/>
          <w:kern w:val="0"/>
          <w:szCs w:val="24"/>
        </w:rPr>
        <w:t>）以理财产品管理人的名义，依照法律法规相关规定以及代表理财产品份额持有人的利益代为行使追索的权利（包括但不限于提起诉讼</w:t>
      </w:r>
      <w:r>
        <w:rPr>
          <w:rFonts w:ascii="仿宋_GB2312" w:hAnsi="宋体" w:cs="宋体" w:hint="eastAsia"/>
          <w:bCs/>
          <w:kern w:val="0"/>
          <w:szCs w:val="24"/>
        </w:rPr>
        <w:t>/</w:t>
      </w:r>
      <w:r>
        <w:rPr>
          <w:rFonts w:ascii="仿宋_GB2312" w:hAnsi="宋体" w:cs="宋体" w:hint="eastAsia"/>
          <w:bCs/>
          <w:kern w:val="0"/>
          <w:szCs w:val="24"/>
        </w:rPr>
        <w:t>仲裁、申请保全</w:t>
      </w:r>
      <w:r>
        <w:rPr>
          <w:rFonts w:ascii="仿宋_GB2312" w:hAnsi="宋体" w:cs="宋体" w:hint="eastAsia"/>
          <w:bCs/>
          <w:kern w:val="0"/>
          <w:szCs w:val="24"/>
        </w:rPr>
        <w:t>/</w:t>
      </w:r>
      <w:r>
        <w:rPr>
          <w:rFonts w:ascii="仿宋_GB2312" w:hAnsi="宋体" w:cs="宋体" w:hint="eastAsia"/>
          <w:bCs/>
          <w:kern w:val="0"/>
          <w:szCs w:val="24"/>
        </w:rPr>
        <w:t>执行的权利）或者实施其他风险处置、行使、放弃、变更相关权利义务的</w:t>
      </w:r>
      <w:r>
        <w:rPr>
          <w:rFonts w:ascii="仿宋_GB2312" w:hAnsi="宋体" w:cs="宋体" w:hint="eastAsia"/>
          <w:bCs/>
          <w:kern w:val="0"/>
          <w:szCs w:val="24"/>
        </w:rPr>
        <w:t>法律行为；</w:t>
      </w:r>
    </w:p>
    <w:p w14:paraId="2FEA2F6C"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9</w:t>
      </w:r>
      <w:r>
        <w:rPr>
          <w:rFonts w:ascii="仿宋_GB2312" w:hAnsi="宋体" w:cs="宋体" w:hint="eastAsia"/>
          <w:bCs/>
          <w:kern w:val="0"/>
          <w:szCs w:val="24"/>
        </w:rPr>
        <w:t>）法律法规、监管政策及本产品销售文件约定的其他权利。</w:t>
      </w:r>
    </w:p>
    <w:p w14:paraId="50830D85"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产品托管机构</w:t>
      </w:r>
    </w:p>
    <w:p w14:paraId="71D93131"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名称：浙商银行股份有限公司</w:t>
      </w:r>
    </w:p>
    <w:p w14:paraId="3C8B9479"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注册地：浙江省杭州市萧山区鸿宁路</w:t>
      </w:r>
      <w:r>
        <w:rPr>
          <w:rFonts w:ascii="仿宋_GB2312" w:hAnsi="宋体" w:cs="宋体"/>
          <w:bCs/>
          <w:kern w:val="0"/>
          <w:szCs w:val="24"/>
        </w:rPr>
        <w:t>1788</w:t>
      </w:r>
      <w:r>
        <w:rPr>
          <w:rFonts w:ascii="仿宋_GB2312" w:hAnsi="宋体" w:cs="宋体" w:hint="eastAsia"/>
          <w:bCs/>
          <w:kern w:val="0"/>
          <w:szCs w:val="24"/>
        </w:rPr>
        <w:t>号</w:t>
      </w:r>
    </w:p>
    <w:p w14:paraId="0C40AF91"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bCs/>
          <w:kern w:val="0"/>
          <w:szCs w:val="24"/>
        </w:rPr>
        <w:t>95527</w:t>
      </w:r>
    </w:p>
    <w:p w14:paraId="3F1F32CA"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托管机构主要职责：提供包括账户开立、资金保管、资金清算、估值核算、投资监督等理财产品托管服务。</w:t>
      </w:r>
    </w:p>
    <w:p w14:paraId="36D56FDA"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14:paraId="5F1D474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hint="eastAsia"/>
          <w:bCs/>
          <w:kern w:val="0"/>
          <w:szCs w:val="24"/>
        </w:rPr>
        <w:t>产品销售</w:t>
      </w:r>
      <w:r>
        <w:rPr>
          <w:rFonts w:ascii="仿宋_GB2312" w:hAnsi="宋体" w:cs="宋体" w:hint="eastAsia"/>
          <w:bCs/>
          <w:kern w:val="0"/>
          <w:szCs w:val="24"/>
        </w:rPr>
        <w:t>机构</w:t>
      </w:r>
    </w:p>
    <w:p w14:paraId="67B49699"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名称：浙江长兴农村商业银行股份有限公司</w:t>
      </w:r>
    </w:p>
    <w:p w14:paraId="774BE41D"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注册地：浙江省湖州市长兴县太湖街道明珠路</w:t>
      </w:r>
      <w:r>
        <w:rPr>
          <w:rFonts w:ascii="仿宋_GB2312" w:hAnsi="宋体" w:cs="宋体" w:hint="eastAsia"/>
          <w:bCs/>
          <w:kern w:val="0"/>
          <w:szCs w:val="24"/>
        </w:rPr>
        <w:t>1298</w:t>
      </w:r>
      <w:r>
        <w:rPr>
          <w:rFonts w:ascii="仿宋_GB2312" w:hAnsi="宋体" w:cs="宋体" w:hint="eastAsia"/>
          <w:bCs/>
          <w:kern w:val="0"/>
          <w:szCs w:val="24"/>
        </w:rPr>
        <w:t>号</w:t>
      </w:r>
    </w:p>
    <w:p w14:paraId="18F09A80"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008CB02"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名称：嘉兴银行股份有限公司</w:t>
      </w:r>
    </w:p>
    <w:p w14:paraId="2B9AB78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注册地：浙江省嘉兴市昌盛南路</w:t>
      </w:r>
      <w:r>
        <w:rPr>
          <w:rFonts w:ascii="仿宋_GB2312" w:hAnsi="宋体" w:cs="宋体" w:hint="eastAsia"/>
          <w:bCs/>
          <w:kern w:val="0"/>
          <w:szCs w:val="24"/>
        </w:rPr>
        <w:t>1001</w:t>
      </w:r>
      <w:r>
        <w:rPr>
          <w:rFonts w:ascii="仿宋_GB2312" w:hAnsi="宋体" w:cs="宋体" w:hint="eastAsia"/>
          <w:bCs/>
          <w:kern w:val="0"/>
          <w:szCs w:val="24"/>
        </w:rPr>
        <w:t>号</w:t>
      </w:r>
    </w:p>
    <w:p w14:paraId="0560ADB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0573-96528</w:t>
      </w:r>
    </w:p>
    <w:p w14:paraId="01D9BB99"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名称：浙江岱山农村商业银行股份有限公司</w:t>
      </w:r>
    </w:p>
    <w:p w14:paraId="405D6071"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注册地：浙江省舟山市岱山县高亭镇衢山大道</w:t>
      </w:r>
      <w:r>
        <w:rPr>
          <w:rFonts w:ascii="仿宋_GB2312" w:hAnsi="宋体" w:cs="宋体" w:hint="eastAsia"/>
          <w:bCs/>
          <w:kern w:val="0"/>
          <w:szCs w:val="24"/>
        </w:rPr>
        <w:t>1009</w:t>
      </w:r>
      <w:r>
        <w:rPr>
          <w:rFonts w:ascii="仿宋_GB2312" w:hAnsi="宋体" w:cs="宋体" w:hint="eastAsia"/>
          <w:bCs/>
          <w:kern w:val="0"/>
          <w:szCs w:val="24"/>
        </w:rPr>
        <w:t>号</w:t>
      </w:r>
    </w:p>
    <w:p w14:paraId="198F19A5"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40E56AB4"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名称：浙江遂昌农村商业银行股份有限公司</w:t>
      </w:r>
    </w:p>
    <w:p w14:paraId="0B53EB3B"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注册地：浙江省丽水市遂昌县妙高街道溪边路</w:t>
      </w:r>
      <w:r>
        <w:rPr>
          <w:rFonts w:ascii="仿宋_GB2312" w:hAnsi="宋体" w:cs="宋体" w:hint="eastAsia"/>
          <w:bCs/>
          <w:kern w:val="0"/>
          <w:szCs w:val="24"/>
        </w:rPr>
        <w:t>100</w:t>
      </w:r>
      <w:r>
        <w:rPr>
          <w:rFonts w:ascii="仿宋_GB2312" w:hAnsi="宋体" w:cs="宋体" w:hint="eastAsia"/>
          <w:bCs/>
          <w:kern w:val="0"/>
          <w:szCs w:val="24"/>
        </w:rPr>
        <w:t>号</w:t>
      </w:r>
    </w:p>
    <w:p w14:paraId="32AF2541"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81AB1FD"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名称：浙江云和农村商业银行股份有限公司</w:t>
      </w:r>
    </w:p>
    <w:p w14:paraId="2A2E1B16"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w:t>
      </w:r>
      <w:r>
        <w:rPr>
          <w:rFonts w:ascii="仿宋_GB2312" w:hAnsi="宋体" w:cs="宋体" w:hint="eastAsia"/>
          <w:bCs/>
          <w:kern w:val="0"/>
          <w:szCs w:val="24"/>
        </w:rPr>
        <w:t xml:space="preserve"> </w:t>
      </w:r>
      <w:r>
        <w:rPr>
          <w:rFonts w:ascii="仿宋_GB2312" w:hAnsi="宋体" w:cs="宋体" w:hint="eastAsia"/>
          <w:bCs/>
          <w:kern w:val="0"/>
          <w:szCs w:val="24"/>
        </w:rPr>
        <w:t>浙江省丽水市云和县浮云街道新建路</w:t>
      </w:r>
      <w:r>
        <w:rPr>
          <w:rFonts w:ascii="仿宋_GB2312" w:hAnsi="宋体" w:cs="宋体" w:hint="eastAsia"/>
          <w:bCs/>
          <w:kern w:val="0"/>
          <w:szCs w:val="24"/>
        </w:rPr>
        <w:t>72</w:t>
      </w:r>
      <w:r>
        <w:rPr>
          <w:rFonts w:ascii="仿宋_GB2312" w:hAnsi="宋体" w:cs="宋体" w:hint="eastAsia"/>
          <w:bCs/>
          <w:kern w:val="0"/>
          <w:szCs w:val="24"/>
        </w:rPr>
        <w:t>号</w:t>
      </w:r>
    </w:p>
    <w:p w14:paraId="17A68A19"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21D3944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名称：浙江临海农村商业银行股份有限公司</w:t>
      </w:r>
    </w:p>
    <w:p w14:paraId="145E4442"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注册地：浙江省台州市临海市大洋街道河阳路</w:t>
      </w:r>
      <w:r>
        <w:rPr>
          <w:rFonts w:ascii="仿宋_GB2312" w:hAnsi="宋体" w:cs="宋体" w:hint="eastAsia"/>
          <w:bCs/>
          <w:kern w:val="0"/>
          <w:szCs w:val="24"/>
        </w:rPr>
        <w:t xml:space="preserve"> 299 </w:t>
      </w:r>
      <w:r>
        <w:rPr>
          <w:rFonts w:ascii="仿宋_GB2312" w:hAnsi="宋体" w:cs="宋体" w:hint="eastAsia"/>
          <w:bCs/>
          <w:kern w:val="0"/>
          <w:szCs w:val="24"/>
        </w:rPr>
        <w:t>号</w:t>
      </w:r>
    </w:p>
    <w:p w14:paraId="047C44E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6300ED57"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名称：浙江台州路桥农村商业银行股份有限公司</w:t>
      </w:r>
    </w:p>
    <w:p w14:paraId="27421004"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注册地：浙江省台州市路桥区路北街道中心大道</w:t>
      </w:r>
      <w:r>
        <w:rPr>
          <w:rFonts w:ascii="仿宋_GB2312" w:hAnsi="宋体" w:cs="宋体" w:hint="eastAsia"/>
          <w:bCs/>
          <w:kern w:val="0"/>
          <w:szCs w:val="24"/>
        </w:rPr>
        <w:t>5789</w:t>
      </w:r>
      <w:r>
        <w:rPr>
          <w:rFonts w:ascii="仿宋_GB2312" w:hAnsi="宋体" w:cs="宋体" w:hint="eastAsia"/>
          <w:bCs/>
          <w:kern w:val="0"/>
          <w:szCs w:val="24"/>
        </w:rPr>
        <w:t>号</w:t>
      </w:r>
    </w:p>
    <w:p w14:paraId="04A9996E"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405F53C0"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名称：浙江天台农村商业银行股份有限公司</w:t>
      </w:r>
    </w:p>
    <w:p w14:paraId="1E43F2BA"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注册地：浙江省天台县赤城街道飞鹤路</w:t>
      </w:r>
      <w:r>
        <w:rPr>
          <w:rFonts w:ascii="仿宋_GB2312" w:hAnsi="宋体" w:cs="宋体" w:hint="eastAsia"/>
          <w:bCs/>
          <w:kern w:val="0"/>
          <w:szCs w:val="24"/>
        </w:rPr>
        <w:t>358</w:t>
      </w:r>
      <w:r>
        <w:rPr>
          <w:rFonts w:ascii="仿宋_GB2312" w:hAnsi="宋体" w:cs="宋体" w:hint="eastAsia"/>
          <w:bCs/>
          <w:kern w:val="0"/>
          <w:szCs w:val="24"/>
        </w:rPr>
        <w:t>号</w:t>
      </w:r>
    </w:p>
    <w:p w14:paraId="249C1E4C"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A53823E"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名称：浙江仙居农村商业银行股份有限公司</w:t>
      </w:r>
    </w:p>
    <w:p w14:paraId="47F5206E"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注册地：浙江省台州市仙居县穿城中路</w:t>
      </w:r>
      <w:r>
        <w:rPr>
          <w:rFonts w:ascii="仿宋_GB2312" w:hAnsi="宋体" w:cs="宋体" w:hint="eastAsia"/>
          <w:bCs/>
          <w:kern w:val="0"/>
          <w:szCs w:val="24"/>
        </w:rPr>
        <w:t>21</w:t>
      </w:r>
      <w:r>
        <w:rPr>
          <w:rFonts w:ascii="仿宋_GB2312" w:hAnsi="宋体" w:cs="宋体" w:hint="eastAsia"/>
          <w:bCs/>
          <w:kern w:val="0"/>
          <w:szCs w:val="24"/>
        </w:rPr>
        <w:t>号</w:t>
      </w:r>
    </w:p>
    <w:p w14:paraId="42CBF6F2"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w:t>
      </w:r>
      <w:r>
        <w:rPr>
          <w:rFonts w:ascii="仿宋_GB2312" w:hAnsi="宋体" w:cs="宋体" w:hint="eastAsia"/>
          <w:bCs/>
          <w:kern w:val="0"/>
          <w:szCs w:val="24"/>
        </w:rPr>
        <w:t>线：</w:t>
      </w:r>
      <w:r>
        <w:rPr>
          <w:rFonts w:ascii="仿宋_GB2312" w:hAnsi="宋体" w:cs="宋体" w:hint="eastAsia"/>
          <w:bCs/>
          <w:kern w:val="0"/>
          <w:szCs w:val="24"/>
        </w:rPr>
        <w:t>96596</w:t>
      </w:r>
    </w:p>
    <w:p w14:paraId="74C440FB"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名称：浙江玉环农村商业银行股份有限公司</w:t>
      </w:r>
    </w:p>
    <w:p w14:paraId="3C6D439B"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注册地：浙江省玉环市玉城街道珠港大道</w:t>
      </w:r>
      <w:r>
        <w:rPr>
          <w:rFonts w:ascii="仿宋_GB2312" w:hAnsi="宋体" w:cs="宋体" w:hint="eastAsia"/>
          <w:bCs/>
          <w:kern w:val="0"/>
          <w:szCs w:val="24"/>
        </w:rPr>
        <w:t>26</w:t>
      </w:r>
      <w:r>
        <w:rPr>
          <w:rFonts w:ascii="仿宋_GB2312" w:hAnsi="宋体" w:cs="宋体" w:hint="eastAsia"/>
          <w:bCs/>
          <w:kern w:val="0"/>
          <w:szCs w:val="24"/>
        </w:rPr>
        <w:t>号</w:t>
      </w:r>
    </w:p>
    <w:p w14:paraId="6B29BCD7"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FB7D49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名称：浙江富阳农村商业银行股份有限公司</w:t>
      </w:r>
    </w:p>
    <w:p w14:paraId="44BD4614"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注册地：浙江省杭州市富阳区鹿山街道依江路</w:t>
      </w:r>
      <w:r>
        <w:rPr>
          <w:rFonts w:ascii="仿宋_GB2312" w:hAnsi="宋体" w:cs="宋体" w:hint="eastAsia"/>
          <w:bCs/>
          <w:kern w:val="0"/>
          <w:szCs w:val="24"/>
        </w:rPr>
        <w:t>501</w:t>
      </w:r>
      <w:r>
        <w:rPr>
          <w:rFonts w:ascii="仿宋_GB2312" w:hAnsi="宋体" w:cs="宋体" w:hint="eastAsia"/>
          <w:bCs/>
          <w:kern w:val="0"/>
          <w:szCs w:val="24"/>
        </w:rPr>
        <w:t>号</w:t>
      </w:r>
    </w:p>
    <w:p w14:paraId="27F7D493"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6827CE03"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名称：浙江龙泉农村商业银行股份有限公司</w:t>
      </w:r>
    </w:p>
    <w:p w14:paraId="69E57B63"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注册地：浙江省丽水市龙泉市龙渊街道中山东路</w:t>
      </w:r>
      <w:r>
        <w:rPr>
          <w:rFonts w:ascii="仿宋_GB2312" w:hAnsi="宋体" w:cs="宋体" w:hint="eastAsia"/>
          <w:bCs/>
          <w:kern w:val="0"/>
          <w:szCs w:val="24"/>
        </w:rPr>
        <w:t>101</w:t>
      </w:r>
      <w:r>
        <w:rPr>
          <w:rFonts w:ascii="仿宋_GB2312" w:hAnsi="宋体" w:cs="宋体" w:hint="eastAsia"/>
          <w:bCs/>
          <w:kern w:val="0"/>
          <w:szCs w:val="24"/>
        </w:rPr>
        <w:t>号</w:t>
      </w:r>
    </w:p>
    <w:p w14:paraId="2C85440A"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10629A03"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名称：宁波北仑农村商业银行股份有限公司</w:t>
      </w:r>
    </w:p>
    <w:p w14:paraId="048B5124"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注册地：浙江省宁波市北仑区宝山路新碶街道</w:t>
      </w:r>
      <w:r>
        <w:rPr>
          <w:rFonts w:ascii="仿宋_GB2312" w:hAnsi="宋体" w:cs="宋体" w:hint="eastAsia"/>
          <w:bCs/>
          <w:kern w:val="0"/>
          <w:szCs w:val="24"/>
        </w:rPr>
        <w:t>69</w:t>
      </w:r>
      <w:r>
        <w:rPr>
          <w:rFonts w:ascii="仿宋_GB2312" w:hAnsi="宋体" w:cs="宋体" w:hint="eastAsia"/>
          <w:bCs/>
          <w:kern w:val="0"/>
          <w:szCs w:val="24"/>
        </w:rPr>
        <w:t>号凤凰国际商务大厦</w:t>
      </w:r>
      <w:r>
        <w:rPr>
          <w:rFonts w:ascii="仿宋_GB2312" w:hAnsi="宋体" w:cs="宋体" w:hint="eastAsia"/>
          <w:bCs/>
          <w:kern w:val="0"/>
          <w:szCs w:val="24"/>
        </w:rPr>
        <w:t>1</w:t>
      </w:r>
      <w:r>
        <w:rPr>
          <w:rFonts w:ascii="仿宋_GB2312" w:hAnsi="宋体" w:cs="宋体" w:hint="eastAsia"/>
          <w:bCs/>
          <w:kern w:val="0"/>
          <w:szCs w:val="24"/>
        </w:rPr>
        <w:t>号楼北仑农商银行</w:t>
      </w:r>
    </w:p>
    <w:p w14:paraId="235C4CF2"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1D33F80D"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名称：浙江松阳农村商业银行股份有限公司</w:t>
      </w:r>
    </w:p>
    <w:p w14:paraId="551E845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注册地：浙江省丽水市松阳县水南街道要津南路</w:t>
      </w:r>
      <w:r>
        <w:rPr>
          <w:rFonts w:ascii="仿宋_GB2312" w:hAnsi="宋体" w:cs="宋体" w:hint="eastAsia"/>
          <w:bCs/>
          <w:kern w:val="0"/>
          <w:szCs w:val="24"/>
        </w:rPr>
        <w:t>71</w:t>
      </w:r>
      <w:r>
        <w:rPr>
          <w:rFonts w:ascii="仿宋_GB2312" w:hAnsi="宋体" w:cs="宋体" w:hint="eastAsia"/>
          <w:bCs/>
          <w:kern w:val="0"/>
          <w:szCs w:val="24"/>
        </w:rPr>
        <w:t>号</w:t>
      </w:r>
    </w:p>
    <w:p w14:paraId="1796DF97"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4752479A"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名称：浙江台州黄岩农村商业银行股份有限公司</w:t>
      </w:r>
    </w:p>
    <w:p w14:paraId="278BEBDA"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注册地：浙江省台州市黄岩区洞天路</w:t>
      </w:r>
      <w:r>
        <w:rPr>
          <w:rFonts w:ascii="仿宋_GB2312" w:hAnsi="宋体" w:cs="宋体" w:hint="eastAsia"/>
          <w:bCs/>
          <w:kern w:val="0"/>
          <w:szCs w:val="24"/>
        </w:rPr>
        <w:t xml:space="preserve"> 88 </w:t>
      </w:r>
      <w:r>
        <w:rPr>
          <w:rFonts w:ascii="仿宋_GB2312" w:hAnsi="宋体" w:cs="宋体" w:hint="eastAsia"/>
          <w:bCs/>
          <w:kern w:val="0"/>
          <w:szCs w:val="24"/>
        </w:rPr>
        <w:t>号</w:t>
      </w:r>
    </w:p>
    <w:p w14:paraId="6BAAD039"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2D9F3F2C"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名称：浙江禾城农村商业银行股份有限公司</w:t>
      </w:r>
    </w:p>
    <w:p w14:paraId="64FF7C88"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注册地：浙江省嘉兴市经济技术开发区文昌路</w:t>
      </w:r>
      <w:r>
        <w:rPr>
          <w:rFonts w:ascii="仿宋_GB2312" w:hAnsi="宋体" w:cs="宋体" w:hint="eastAsia"/>
          <w:bCs/>
          <w:kern w:val="0"/>
          <w:szCs w:val="24"/>
        </w:rPr>
        <w:t>1229</w:t>
      </w:r>
      <w:r>
        <w:rPr>
          <w:rFonts w:ascii="仿宋_GB2312" w:hAnsi="宋体" w:cs="宋体" w:hint="eastAsia"/>
          <w:bCs/>
          <w:kern w:val="0"/>
          <w:szCs w:val="24"/>
        </w:rPr>
        <w:t>号</w:t>
      </w:r>
    </w:p>
    <w:p w14:paraId="2923B8B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7C53866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名称：浙江舟山普陀农村商业银行股份有限公司</w:t>
      </w:r>
    </w:p>
    <w:p w14:paraId="62A94282"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注册地：浙江省舟山市普陀区东港街道麒麟街</w:t>
      </w:r>
      <w:r>
        <w:rPr>
          <w:rFonts w:ascii="仿宋_GB2312" w:hAnsi="宋体" w:cs="宋体" w:hint="eastAsia"/>
          <w:bCs/>
          <w:kern w:val="0"/>
          <w:szCs w:val="24"/>
        </w:rPr>
        <w:t>225</w:t>
      </w:r>
      <w:r>
        <w:rPr>
          <w:rFonts w:ascii="仿宋_GB2312" w:hAnsi="宋体" w:cs="宋体" w:hint="eastAsia"/>
          <w:bCs/>
          <w:kern w:val="0"/>
          <w:szCs w:val="24"/>
        </w:rPr>
        <w:t>号</w:t>
      </w:r>
      <w:r>
        <w:rPr>
          <w:rFonts w:ascii="仿宋_GB2312" w:hAnsi="宋体" w:cs="宋体" w:hint="eastAsia"/>
          <w:bCs/>
          <w:kern w:val="0"/>
          <w:szCs w:val="24"/>
        </w:rPr>
        <w:t xml:space="preserve"> (</w:t>
      </w:r>
      <w:r>
        <w:rPr>
          <w:rFonts w:ascii="仿宋_GB2312" w:hAnsi="宋体" w:cs="宋体" w:hint="eastAsia"/>
          <w:bCs/>
          <w:kern w:val="0"/>
          <w:szCs w:val="24"/>
        </w:rPr>
        <w:t>自贸试验区内</w:t>
      </w:r>
      <w:r>
        <w:rPr>
          <w:rFonts w:ascii="仿宋_GB2312" w:hAnsi="宋体" w:cs="宋体" w:hint="eastAsia"/>
          <w:bCs/>
          <w:kern w:val="0"/>
          <w:szCs w:val="24"/>
        </w:rPr>
        <w:t>)</w:t>
      </w:r>
    </w:p>
    <w:p w14:paraId="49A6C37E"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0EA34879"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名称：浙江平湖农村商业银行</w:t>
      </w:r>
      <w:r>
        <w:rPr>
          <w:rFonts w:ascii="仿宋_GB2312" w:hAnsi="宋体" w:cs="宋体" w:hint="eastAsia"/>
          <w:bCs/>
          <w:kern w:val="0"/>
          <w:szCs w:val="24"/>
        </w:rPr>
        <w:t>股份有限公司</w:t>
      </w:r>
    </w:p>
    <w:p w14:paraId="54F565F3"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注册地：浙江省平湖市当湖街道胜利路</w:t>
      </w:r>
      <w:r>
        <w:rPr>
          <w:rFonts w:ascii="仿宋_GB2312" w:hAnsi="宋体" w:cs="宋体" w:hint="eastAsia"/>
          <w:bCs/>
          <w:kern w:val="0"/>
          <w:szCs w:val="24"/>
        </w:rPr>
        <w:t>518</w:t>
      </w:r>
      <w:r>
        <w:rPr>
          <w:rFonts w:ascii="仿宋_GB2312" w:hAnsi="宋体" w:cs="宋体" w:hint="eastAsia"/>
          <w:bCs/>
          <w:kern w:val="0"/>
          <w:szCs w:val="24"/>
        </w:rPr>
        <w:t>号</w:t>
      </w:r>
    </w:p>
    <w:p w14:paraId="59B62278"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2DBE8FFB"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名称：浙江海盐农村商业银行股份有限公司</w:t>
      </w:r>
    </w:p>
    <w:p w14:paraId="4FC3FD8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注册地：浙江省嘉兴市海盐县武原街道盐北东路</w:t>
      </w:r>
      <w:r>
        <w:rPr>
          <w:rFonts w:ascii="仿宋_GB2312" w:hAnsi="宋体" w:cs="宋体" w:hint="eastAsia"/>
          <w:bCs/>
          <w:kern w:val="0"/>
          <w:szCs w:val="24"/>
        </w:rPr>
        <w:t>1177</w:t>
      </w:r>
      <w:r>
        <w:rPr>
          <w:rFonts w:ascii="仿宋_GB2312" w:hAnsi="宋体" w:cs="宋体" w:hint="eastAsia"/>
          <w:bCs/>
          <w:kern w:val="0"/>
          <w:szCs w:val="24"/>
        </w:rPr>
        <w:t>号</w:t>
      </w:r>
    </w:p>
    <w:p w14:paraId="31BB4532"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D26D5EE"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名称：浙江萧山农村商业银行股份有限公司</w:t>
      </w:r>
    </w:p>
    <w:p w14:paraId="15ECCA63"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注册地：浙江省杭州市萧山区盈丰街道鸿宁路</w:t>
      </w:r>
      <w:r>
        <w:rPr>
          <w:rFonts w:ascii="仿宋_GB2312" w:hAnsi="宋体" w:cs="宋体" w:hint="eastAsia"/>
          <w:bCs/>
          <w:kern w:val="0"/>
          <w:szCs w:val="24"/>
        </w:rPr>
        <w:t>2288</w:t>
      </w:r>
      <w:r>
        <w:rPr>
          <w:rFonts w:ascii="仿宋_GB2312" w:hAnsi="宋体" w:cs="宋体" w:hint="eastAsia"/>
          <w:bCs/>
          <w:kern w:val="0"/>
          <w:szCs w:val="24"/>
        </w:rPr>
        <w:t>号</w:t>
      </w:r>
    </w:p>
    <w:p w14:paraId="69C278F3"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CDC6502"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名称：浙江嵊泗农村商业银行股份有限公司</w:t>
      </w:r>
    </w:p>
    <w:p w14:paraId="7961C24C"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注册地：浙江省嵊泗县菜园镇沙河路</w:t>
      </w:r>
      <w:r>
        <w:rPr>
          <w:rFonts w:ascii="仿宋_GB2312" w:hAnsi="宋体" w:cs="宋体" w:hint="eastAsia"/>
          <w:bCs/>
          <w:kern w:val="0"/>
          <w:szCs w:val="24"/>
        </w:rPr>
        <w:t>110</w:t>
      </w:r>
      <w:r>
        <w:rPr>
          <w:rFonts w:ascii="仿宋_GB2312" w:hAnsi="宋体" w:cs="宋体" w:hint="eastAsia"/>
          <w:bCs/>
          <w:kern w:val="0"/>
          <w:szCs w:val="24"/>
        </w:rPr>
        <w:t>号</w:t>
      </w:r>
    </w:p>
    <w:p w14:paraId="7E9481C7"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客户服务热线：</w:t>
      </w:r>
      <w:r>
        <w:rPr>
          <w:rFonts w:ascii="仿宋_GB2312" w:hAnsi="宋体" w:cs="宋体" w:hint="eastAsia"/>
          <w:bCs/>
          <w:kern w:val="0"/>
          <w:szCs w:val="24"/>
        </w:rPr>
        <w:t>96596</w:t>
      </w:r>
    </w:p>
    <w:p w14:paraId="143575FE"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名称：浙江台州椒江农村商业银行股份有限公司</w:t>
      </w:r>
    </w:p>
    <w:p w14:paraId="1A3F65B9"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注册地：浙江省台州市椒江区洪家街道中心大道</w:t>
      </w:r>
      <w:r>
        <w:rPr>
          <w:rFonts w:ascii="仿宋_GB2312" w:hAnsi="宋体" w:cs="宋体" w:hint="eastAsia"/>
          <w:bCs/>
          <w:kern w:val="0"/>
          <w:szCs w:val="24"/>
        </w:rPr>
        <w:t>4081</w:t>
      </w:r>
      <w:r>
        <w:rPr>
          <w:rFonts w:ascii="仿宋_GB2312" w:hAnsi="宋体" w:cs="宋体" w:hint="eastAsia"/>
          <w:bCs/>
          <w:kern w:val="0"/>
          <w:szCs w:val="24"/>
        </w:rPr>
        <w:t>号</w:t>
      </w:r>
    </w:p>
    <w:p w14:paraId="7634B257"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1F391670"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名称：浙江东阳农村商业银行股份有限公司</w:t>
      </w:r>
    </w:p>
    <w:p w14:paraId="66AFCD54"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注册地：浙江省东阳市双岘路</w:t>
      </w:r>
      <w:r>
        <w:rPr>
          <w:rFonts w:ascii="仿宋_GB2312" w:hAnsi="宋体" w:cs="宋体" w:hint="eastAsia"/>
          <w:bCs/>
          <w:kern w:val="0"/>
          <w:szCs w:val="24"/>
        </w:rPr>
        <w:t>18</w:t>
      </w:r>
      <w:r>
        <w:rPr>
          <w:rFonts w:ascii="仿宋_GB2312" w:hAnsi="宋体" w:cs="宋体" w:hint="eastAsia"/>
          <w:bCs/>
          <w:kern w:val="0"/>
          <w:szCs w:val="24"/>
        </w:rPr>
        <w:t>号</w:t>
      </w:r>
    </w:p>
    <w:p w14:paraId="1BE6FE53"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2D780CE0"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名称：浙江临安农村商业银行股份有限公司</w:t>
      </w:r>
    </w:p>
    <w:p w14:paraId="4716EE0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注册地：浙江省杭州市临安区锦城街道城中街</w:t>
      </w:r>
      <w:r>
        <w:rPr>
          <w:rFonts w:ascii="仿宋_GB2312" w:hAnsi="宋体" w:cs="宋体" w:hint="eastAsia"/>
          <w:bCs/>
          <w:kern w:val="0"/>
          <w:szCs w:val="24"/>
        </w:rPr>
        <w:t>442</w:t>
      </w:r>
      <w:r>
        <w:rPr>
          <w:rFonts w:ascii="仿宋_GB2312" w:hAnsi="宋体" w:cs="宋体" w:hint="eastAsia"/>
          <w:bCs/>
          <w:kern w:val="0"/>
          <w:szCs w:val="24"/>
        </w:rPr>
        <w:t>号</w:t>
      </w:r>
    </w:p>
    <w:p w14:paraId="169670B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11AA238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名称：浙江青田农村商业银行股份有限公司</w:t>
      </w:r>
    </w:p>
    <w:p w14:paraId="72D347C8"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注册地：浙江省青田县鹤城街道鹤城东路</w:t>
      </w:r>
      <w:r>
        <w:rPr>
          <w:rFonts w:ascii="仿宋_GB2312" w:hAnsi="宋体" w:cs="宋体" w:hint="eastAsia"/>
          <w:bCs/>
          <w:kern w:val="0"/>
          <w:szCs w:val="24"/>
        </w:rPr>
        <w:t>180</w:t>
      </w:r>
      <w:r>
        <w:rPr>
          <w:rFonts w:ascii="仿宋_GB2312" w:hAnsi="宋体" w:cs="宋体" w:hint="eastAsia"/>
          <w:bCs/>
          <w:kern w:val="0"/>
          <w:szCs w:val="24"/>
        </w:rPr>
        <w:t>号</w:t>
      </w:r>
    </w:p>
    <w:p w14:paraId="058AAB1B"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109AC47"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名称：浙江桐庐农村商业银行股份有限公司</w:t>
      </w:r>
    </w:p>
    <w:p w14:paraId="723719EA"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注册地：浙江省杭州市桐庐县城迎春南路</w:t>
      </w:r>
      <w:r>
        <w:rPr>
          <w:rFonts w:ascii="仿宋_GB2312" w:hAnsi="宋体" w:cs="宋体" w:hint="eastAsia"/>
          <w:bCs/>
          <w:kern w:val="0"/>
          <w:szCs w:val="24"/>
        </w:rPr>
        <w:t>278</w:t>
      </w:r>
      <w:r>
        <w:rPr>
          <w:rFonts w:ascii="仿宋_GB2312" w:hAnsi="宋体" w:cs="宋体" w:hint="eastAsia"/>
          <w:bCs/>
          <w:kern w:val="0"/>
          <w:szCs w:val="24"/>
        </w:rPr>
        <w:t>号</w:t>
      </w:r>
    </w:p>
    <w:p w14:paraId="174C805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w:t>
      </w:r>
      <w:r>
        <w:rPr>
          <w:rFonts w:ascii="仿宋_GB2312" w:hAnsi="宋体" w:cs="宋体" w:hint="eastAsia"/>
          <w:bCs/>
          <w:kern w:val="0"/>
          <w:szCs w:val="24"/>
        </w:rPr>
        <w:t>596</w:t>
      </w:r>
    </w:p>
    <w:p w14:paraId="52207216"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名称：浙江绍兴恒信农村商业银行股份有限公司</w:t>
      </w:r>
    </w:p>
    <w:p w14:paraId="20034807"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注册地：浙江省绍兴市中兴中路</w:t>
      </w:r>
      <w:r>
        <w:rPr>
          <w:rFonts w:ascii="仿宋_GB2312" w:hAnsi="宋体" w:cs="宋体" w:hint="eastAsia"/>
          <w:bCs/>
          <w:kern w:val="0"/>
          <w:szCs w:val="24"/>
        </w:rPr>
        <w:t>159</w:t>
      </w:r>
      <w:r>
        <w:rPr>
          <w:rFonts w:ascii="仿宋_GB2312" w:hAnsi="宋体" w:cs="宋体" w:hint="eastAsia"/>
          <w:bCs/>
          <w:kern w:val="0"/>
          <w:szCs w:val="24"/>
        </w:rPr>
        <w:t>号</w:t>
      </w:r>
    </w:p>
    <w:p w14:paraId="4FB4AC9C"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B0D7482"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名称：浙江德清农村商业银行股份有限公司</w:t>
      </w:r>
    </w:p>
    <w:p w14:paraId="07FBA544"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注册地：浙江省德清县武康街道沈长圩街</w:t>
      </w:r>
      <w:r>
        <w:rPr>
          <w:rFonts w:ascii="仿宋_GB2312" w:hAnsi="宋体" w:cs="宋体" w:hint="eastAsia"/>
          <w:bCs/>
          <w:kern w:val="0"/>
          <w:szCs w:val="24"/>
        </w:rPr>
        <w:t>50</w:t>
      </w:r>
      <w:r>
        <w:rPr>
          <w:rFonts w:ascii="仿宋_GB2312" w:hAnsi="宋体" w:cs="宋体" w:hint="eastAsia"/>
          <w:bCs/>
          <w:kern w:val="0"/>
          <w:szCs w:val="24"/>
        </w:rPr>
        <w:t>号</w:t>
      </w:r>
    </w:p>
    <w:p w14:paraId="4AA807E5"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3040FC8"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名称：浙江建德农村商业银行股份有限公司</w:t>
      </w:r>
    </w:p>
    <w:p w14:paraId="5B518B66"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注册地：浙江省建德市新安江街道江滨中路</w:t>
      </w:r>
      <w:r>
        <w:rPr>
          <w:rFonts w:ascii="仿宋_GB2312" w:hAnsi="宋体" w:cs="宋体" w:hint="eastAsia"/>
          <w:bCs/>
          <w:kern w:val="0"/>
          <w:szCs w:val="24"/>
        </w:rPr>
        <w:t>176</w:t>
      </w:r>
      <w:r>
        <w:rPr>
          <w:rFonts w:ascii="仿宋_GB2312" w:hAnsi="宋体" w:cs="宋体" w:hint="eastAsia"/>
          <w:bCs/>
          <w:kern w:val="0"/>
          <w:szCs w:val="24"/>
        </w:rPr>
        <w:t>号</w:t>
      </w:r>
    </w:p>
    <w:p w14:paraId="22E78B3E"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0177FE95"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名称：浙江庆元农村商业银行股份有限公司</w:t>
      </w:r>
    </w:p>
    <w:p w14:paraId="3DF075E1"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注册地：浙江省丽水市庆元县濛洲街道云鹤路</w:t>
      </w:r>
      <w:r>
        <w:rPr>
          <w:rFonts w:ascii="仿宋_GB2312" w:hAnsi="宋体" w:cs="宋体" w:hint="eastAsia"/>
          <w:bCs/>
          <w:kern w:val="0"/>
          <w:szCs w:val="24"/>
        </w:rPr>
        <w:t>3</w:t>
      </w:r>
      <w:r>
        <w:rPr>
          <w:rFonts w:ascii="仿宋_GB2312" w:hAnsi="宋体" w:cs="宋体" w:hint="eastAsia"/>
          <w:bCs/>
          <w:kern w:val="0"/>
          <w:szCs w:val="24"/>
        </w:rPr>
        <w:t>号</w:t>
      </w:r>
    </w:p>
    <w:p w14:paraId="271ECD6B"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15E58DB4"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名称：浙江上虞农村商业银行股份有限公司</w:t>
      </w:r>
    </w:p>
    <w:p w14:paraId="7F4A648C"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注册地：浙江省绍兴市上虞区百官街道德盛路</w:t>
      </w:r>
      <w:r>
        <w:rPr>
          <w:rFonts w:ascii="仿宋_GB2312" w:hAnsi="宋体" w:cs="宋体" w:hint="eastAsia"/>
          <w:bCs/>
          <w:kern w:val="0"/>
          <w:szCs w:val="24"/>
        </w:rPr>
        <w:t>55</w:t>
      </w:r>
      <w:r>
        <w:rPr>
          <w:rFonts w:ascii="仿宋_GB2312" w:hAnsi="宋体" w:cs="宋体" w:hint="eastAsia"/>
          <w:bCs/>
          <w:kern w:val="0"/>
          <w:szCs w:val="24"/>
        </w:rPr>
        <w:t>号</w:t>
      </w:r>
    </w:p>
    <w:p w14:paraId="18EF7A9A"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A1C87BB"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名称：中原银行股份有限公司</w:t>
      </w:r>
    </w:p>
    <w:p w14:paraId="7718AD26"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注册地：河南省郑州市郑东新区金融岛外环路</w:t>
      </w:r>
      <w:r>
        <w:rPr>
          <w:rFonts w:ascii="仿宋_GB2312" w:hAnsi="宋体" w:cs="宋体" w:hint="eastAsia"/>
          <w:bCs/>
          <w:kern w:val="0"/>
          <w:szCs w:val="24"/>
        </w:rPr>
        <w:t>9</w:t>
      </w:r>
      <w:r>
        <w:rPr>
          <w:rFonts w:ascii="仿宋_GB2312" w:hAnsi="宋体" w:cs="宋体" w:hint="eastAsia"/>
          <w:bCs/>
          <w:kern w:val="0"/>
          <w:szCs w:val="24"/>
        </w:rPr>
        <w:t>号</w:t>
      </w:r>
    </w:p>
    <w:p w14:paraId="05952386"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95186</w:t>
      </w:r>
    </w:p>
    <w:p w14:paraId="6A9F1459"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名称：赣州银行股份有限公司</w:t>
      </w:r>
    </w:p>
    <w:p w14:paraId="19A9A96A"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注册地：江西省赣州市赣江源大道</w:t>
      </w:r>
      <w:r>
        <w:rPr>
          <w:rFonts w:ascii="仿宋_GB2312" w:hAnsi="宋体" w:cs="宋体" w:hint="eastAsia"/>
          <w:bCs/>
          <w:kern w:val="0"/>
          <w:szCs w:val="24"/>
        </w:rPr>
        <w:t>26</w:t>
      </w:r>
      <w:r>
        <w:rPr>
          <w:rFonts w:ascii="仿宋_GB2312" w:hAnsi="宋体" w:cs="宋体" w:hint="eastAsia"/>
          <w:bCs/>
          <w:kern w:val="0"/>
          <w:szCs w:val="24"/>
        </w:rPr>
        <w:t>号</w:t>
      </w:r>
    </w:p>
    <w:p w14:paraId="6E93D865"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40084-96296</w:t>
      </w:r>
    </w:p>
    <w:p w14:paraId="75E0D617"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名称：浙江义乌农村商业银行股份有限公司</w:t>
      </w:r>
    </w:p>
    <w:p w14:paraId="714F57ED"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注册地：浙江省义乌市福田街道城北路</w:t>
      </w:r>
      <w:r>
        <w:rPr>
          <w:rFonts w:ascii="仿宋_GB2312" w:hAnsi="宋体" w:cs="宋体" w:hint="eastAsia"/>
          <w:bCs/>
          <w:kern w:val="0"/>
          <w:szCs w:val="24"/>
        </w:rPr>
        <w:t>677</w:t>
      </w:r>
      <w:r>
        <w:rPr>
          <w:rFonts w:ascii="仿宋_GB2312" w:hAnsi="宋体" w:cs="宋体" w:hint="eastAsia"/>
          <w:bCs/>
          <w:kern w:val="0"/>
          <w:szCs w:val="24"/>
        </w:rPr>
        <w:t>号</w:t>
      </w:r>
    </w:p>
    <w:p w14:paraId="1AF0762B"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32B801ED"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名称：湖州吴兴农村商业银行股份有限公司</w:t>
      </w:r>
    </w:p>
    <w:p w14:paraId="3DEBD2E4"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注册地：浙江省湖州市东街</w:t>
      </w:r>
      <w:r>
        <w:rPr>
          <w:rFonts w:ascii="仿宋_GB2312" w:hAnsi="宋体" w:cs="宋体" w:hint="eastAsia"/>
          <w:bCs/>
          <w:kern w:val="0"/>
          <w:szCs w:val="24"/>
        </w:rPr>
        <w:t>55</w:t>
      </w:r>
      <w:r>
        <w:rPr>
          <w:rFonts w:ascii="仿宋_GB2312" w:hAnsi="宋体" w:cs="宋体" w:hint="eastAsia"/>
          <w:bCs/>
          <w:kern w:val="0"/>
          <w:szCs w:val="24"/>
        </w:rPr>
        <w:t>号</w:t>
      </w:r>
    </w:p>
    <w:p w14:paraId="4375760A"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51EEE5D1"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名称：浙江丽水莲都农村商业银行股份有限公司</w:t>
      </w:r>
    </w:p>
    <w:p w14:paraId="747AA3E0"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注册地：浙江省丽水市莲都区解放街</w:t>
      </w:r>
      <w:r>
        <w:rPr>
          <w:rFonts w:ascii="仿宋_GB2312" w:hAnsi="宋体" w:cs="宋体" w:hint="eastAsia"/>
          <w:bCs/>
          <w:kern w:val="0"/>
          <w:szCs w:val="24"/>
        </w:rPr>
        <w:t>438</w:t>
      </w:r>
      <w:r>
        <w:rPr>
          <w:rFonts w:ascii="仿宋_GB2312" w:hAnsi="宋体" w:cs="宋体" w:hint="eastAsia"/>
          <w:bCs/>
          <w:kern w:val="0"/>
          <w:szCs w:val="24"/>
        </w:rPr>
        <w:t>号</w:t>
      </w:r>
    </w:p>
    <w:p w14:paraId="071CF06D"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201621FD"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名称：江苏苏商银行股份有限公司</w:t>
      </w:r>
    </w:p>
    <w:p w14:paraId="3F2B741E"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注册地：南京市建邺区庐山路</w:t>
      </w:r>
      <w:r>
        <w:rPr>
          <w:rFonts w:ascii="仿宋_GB2312" w:hAnsi="宋体" w:cs="宋体" w:hint="eastAsia"/>
          <w:bCs/>
          <w:kern w:val="0"/>
          <w:szCs w:val="24"/>
        </w:rPr>
        <w:t>248</w:t>
      </w:r>
      <w:r>
        <w:rPr>
          <w:rFonts w:ascii="仿宋_GB2312" w:hAnsi="宋体" w:cs="宋体" w:hint="eastAsia"/>
          <w:bCs/>
          <w:kern w:val="0"/>
          <w:szCs w:val="24"/>
        </w:rPr>
        <w:t>号</w:t>
      </w:r>
      <w:r>
        <w:rPr>
          <w:rFonts w:ascii="仿宋_GB2312" w:hAnsi="宋体" w:cs="宋体" w:hint="eastAsia"/>
          <w:bCs/>
          <w:kern w:val="0"/>
          <w:szCs w:val="24"/>
        </w:rPr>
        <w:t>4</w:t>
      </w:r>
      <w:r>
        <w:rPr>
          <w:rFonts w:ascii="仿宋_GB2312" w:hAnsi="宋体" w:cs="宋体" w:hint="eastAsia"/>
          <w:bCs/>
          <w:kern w:val="0"/>
          <w:szCs w:val="24"/>
        </w:rPr>
        <w:t>号楼第</w:t>
      </w:r>
      <w:r>
        <w:rPr>
          <w:rFonts w:ascii="仿宋_GB2312" w:hAnsi="宋体" w:cs="宋体" w:hint="eastAsia"/>
          <w:bCs/>
          <w:kern w:val="0"/>
          <w:szCs w:val="24"/>
        </w:rPr>
        <w:t>6</w:t>
      </w:r>
      <w:r>
        <w:rPr>
          <w:rFonts w:ascii="仿宋_GB2312" w:hAnsi="宋体" w:cs="宋体" w:hint="eastAsia"/>
          <w:bCs/>
          <w:kern w:val="0"/>
          <w:szCs w:val="24"/>
        </w:rPr>
        <w:t>、</w:t>
      </w:r>
      <w:r>
        <w:rPr>
          <w:rFonts w:ascii="仿宋_GB2312" w:hAnsi="宋体" w:cs="宋体" w:hint="eastAsia"/>
          <w:bCs/>
          <w:kern w:val="0"/>
          <w:szCs w:val="24"/>
        </w:rPr>
        <w:t>7</w:t>
      </w:r>
      <w:r>
        <w:rPr>
          <w:rFonts w:ascii="仿宋_GB2312" w:hAnsi="宋体" w:cs="宋体" w:hint="eastAsia"/>
          <w:bCs/>
          <w:kern w:val="0"/>
          <w:szCs w:val="24"/>
        </w:rPr>
        <w:t>、</w:t>
      </w:r>
      <w:r>
        <w:rPr>
          <w:rFonts w:ascii="仿宋_GB2312" w:hAnsi="宋体" w:cs="宋体" w:hint="eastAsia"/>
          <w:bCs/>
          <w:kern w:val="0"/>
          <w:szCs w:val="24"/>
        </w:rPr>
        <w:t>8</w:t>
      </w:r>
      <w:r>
        <w:rPr>
          <w:rFonts w:ascii="仿宋_GB2312" w:hAnsi="宋体" w:cs="宋体" w:hint="eastAsia"/>
          <w:bCs/>
          <w:kern w:val="0"/>
          <w:szCs w:val="24"/>
        </w:rPr>
        <w:t>、</w:t>
      </w:r>
      <w:r>
        <w:rPr>
          <w:rFonts w:ascii="仿宋_GB2312" w:hAnsi="宋体" w:cs="宋体" w:hint="eastAsia"/>
          <w:bCs/>
          <w:kern w:val="0"/>
          <w:szCs w:val="24"/>
        </w:rPr>
        <w:t>9</w:t>
      </w:r>
      <w:r>
        <w:rPr>
          <w:rFonts w:ascii="仿宋_GB2312" w:hAnsi="宋体" w:cs="宋体" w:hint="eastAsia"/>
          <w:bCs/>
          <w:kern w:val="0"/>
          <w:szCs w:val="24"/>
        </w:rPr>
        <w:t>、</w:t>
      </w:r>
      <w:r>
        <w:rPr>
          <w:rFonts w:ascii="仿宋_GB2312" w:hAnsi="宋体" w:cs="宋体" w:hint="eastAsia"/>
          <w:bCs/>
          <w:kern w:val="0"/>
          <w:szCs w:val="24"/>
        </w:rPr>
        <w:t>18</w:t>
      </w:r>
      <w:r>
        <w:rPr>
          <w:rFonts w:ascii="仿宋_GB2312" w:hAnsi="宋体" w:cs="宋体" w:hint="eastAsia"/>
          <w:bCs/>
          <w:kern w:val="0"/>
          <w:szCs w:val="24"/>
        </w:rPr>
        <w:t>、</w:t>
      </w:r>
      <w:r>
        <w:rPr>
          <w:rFonts w:ascii="仿宋_GB2312" w:hAnsi="宋体" w:cs="宋体" w:hint="eastAsia"/>
          <w:bCs/>
          <w:kern w:val="0"/>
          <w:szCs w:val="24"/>
        </w:rPr>
        <w:t>27</w:t>
      </w:r>
      <w:r>
        <w:rPr>
          <w:rFonts w:ascii="仿宋_GB2312" w:hAnsi="宋体" w:cs="宋体" w:hint="eastAsia"/>
          <w:bCs/>
          <w:kern w:val="0"/>
          <w:szCs w:val="24"/>
        </w:rPr>
        <w:t>、</w:t>
      </w:r>
      <w:r>
        <w:rPr>
          <w:rFonts w:ascii="仿宋_GB2312" w:hAnsi="宋体" w:cs="宋体" w:hint="eastAsia"/>
          <w:bCs/>
          <w:kern w:val="0"/>
          <w:szCs w:val="24"/>
        </w:rPr>
        <w:t>28</w:t>
      </w:r>
      <w:r>
        <w:rPr>
          <w:rFonts w:ascii="仿宋_GB2312" w:hAnsi="宋体" w:cs="宋体" w:hint="eastAsia"/>
          <w:bCs/>
          <w:kern w:val="0"/>
          <w:szCs w:val="24"/>
        </w:rPr>
        <w:t>、</w:t>
      </w:r>
      <w:r>
        <w:rPr>
          <w:rFonts w:ascii="仿宋_GB2312" w:hAnsi="宋体" w:cs="宋体" w:hint="eastAsia"/>
          <w:bCs/>
          <w:kern w:val="0"/>
          <w:szCs w:val="24"/>
        </w:rPr>
        <w:t>29</w:t>
      </w:r>
      <w:r>
        <w:rPr>
          <w:rFonts w:ascii="仿宋_GB2312" w:hAnsi="宋体" w:cs="宋体" w:hint="eastAsia"/>
          <w:bCs/>
          <w:kern w:val="0"/>
          <w:szCs w:val="24"/>
        </w:rPr>
        <w:t>层，</w:t>
      </w:r>
      <w:r>
        <w:rPr>
          <w:rFonts w:ascii="仿宋_GB2312" w:hAnsi="宋体" w:cs="宋体" w:hint="eastAsia"/>
          <w:bCs/>
          <w:kern w:val="0"/>
          <w:szCs w:val="24"/>
        </w:rPr>
        <w:t>4</w:t>
      </w:r>
      <w:r>
        <w:rPr>
          <w:rFonts w:ascii="仿宋_GB2312" w:hAnsi="宋体" w:cs="宋体" w:hint="eastAsia"/>
          <w:bCs/>
          <w:kern w:val="0"/>
          <w:szCs w:val="24"/>
        </w:rPr>
        <w:t>号楼裙楼第</w:t>
      </w:r>
      <w:r>
        <w:rPr>
          <w:rFonts w:ascii="仿宋_GB2312" w:hAnsi="宋体" w:cs="宋体" w:hint="eastAsia"/>
          <w:bCs/>
          <w:kern w:val="0"/>
          <w:szCs w:val="24"/>
        </w:rPr>
        <w:t>1</w:t>
      </w: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层</w:t>
      </w:r>
    </w:p>
    <w:p w14:paraId="31CB75C4"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956101</w:t>
      </w:r>
    </w:p>
    <w:p w14:paraId="7DE785A7"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名称：浙江武义农村商业银行股份有限公司</w:t>
      </w:r>
    </w:p>
    <w:p w14:paraId="6F26B787"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注册地：浙江省武义县武阳中路</w:t>
      </w:r>
      <w:r>
        <w:rPr>
          <w:rFonts w:ascii="仿宋_GB2312" w:hAnsi="宋体" w:cs="宋体" w:hint="eastAsia"/>
          <w:bCs/>
          <w:kern w:val="0"/>
          <w:szCs w:val="24"/>
        </w:rPr>
        <w:t>37</w:t>
      </w:r>
      <w:r>
        <w:rPr>
          <w:rFonts w:ascii="仿宋_GB2312" w:hAnsi="宋体" w:cs="宋体" w:hint="eastAsia"/>
          <w:bCs/>
          <w:kern w:val="0"/>
          <w:szCs w:val="24"/>
        </w:rPr>
        <w:t>号</w:t>
      </w:r>
    </w:p>
    <w:p w14:paraId="5BA4796C"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14:paraId="2D464853"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名称：宁波鄞州农村商业银行股份有限公司</w:t>
      </w:r>
    </w:p>
    <w:p w14:paraId="4CBE0535"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注册地：浙江省宁波市鄞州区民惠西路</w:t>
      </w:r>
      <w:r>
        <w:rPr>
          <w:rFonts w:ascii="仿宋_GB2312" w:hAnsi="宋体" w:cs="宋体" w:hint="eastAsia"/>
          <w:bCs/>
          <w:kern w:val="0"/>
          <w:szCs w:val="24"/>
        </w:rPr>
        <w:t>88</w:t>
      </w:r>
      <w:r>
        <w:rPr>
          <w:rFonts w:ascii="仿宋_GB2312" w:hAnsi="宋体" w:cs="宋体" w:hint="eastAsia"/>
          <w:bCs/>
          <w:kern w:val="0"/>
          <w:szCs w:val="24"/>
        </w:rPr>
        <w:t>号</w:t>
      </w:r>
    </w:p>
    <w:p w14:paraId="646AC423"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956058</w:t>
      </w:r>
    </w:p>
    <w:p w14:paraId="5E82AC7F"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本产品的认购将通过销售机构的</w:t>
      </w:r>
      <w:r>
        <w:rPr>
          <w:rFonts w:ascii="仿宋_GB2312" w:hAnsi="宋体" w:cs="宋体"/>
          <w:bCs/>
          <w:kern w:val="0"/>
          <w:szCs w:val="24"/>
        </w:rPr>
        <w:t>销售渠道</w:t>
      </w:r>
      <w:r>
        <w:rPr>
          <w:rFonts w:ascii="仿宋_GB2312" w:hAnsi="宋体" w:cs="宋体" w:hint="eastAsia"/>
          <w:bCs/>
          <w:kern w:val="0"/>
          <w:szCs w:val="24"/>
        </w:rPr>
        <w:t>进行（</w:t>
      </w:r>
      <w:r>
        <w:rPr>
          <w:rFonts w:ascii="仿宋_GB2312" w:hAnsi="宋体" w:cs="宋体"/>
          <w:bCs/>
          <w:kern w:val="0"/>
          <w:szCs w:val="24"/>
        </w:rPr>
        <w:t>具体以销售机构提供的方式为准</w:t>
      </w:r>
      <w:r>
        <w:rPr>
          <w:rFonts w:ascii="仿宋_GB2312" w:hAnsi="宋体" w:cs="宋体"/>
          <w:bCs/>
          <w:kern w:val="0"/>
          <w:szCs w:val="24"/>
        </w:rPr>
        <w:t>)</w:t>
      </w:r>
      <w:r>
        <w:rPr>
          <w:rFonts w:ascii="仿宋_GB2312" w:hAnsi="宋体" w:cs="宋体"/>
          <w:bCs/>
          <w:kern w:val="0"/>
          <w:szCs w:val="24"/>
        </w:rPr>
        <w:t>。本产品销售机构包括但不限于</w:t>
      </w:r>
      <w:r>
        <w:rPr>
          <w:rFonts w:ascii="仿宋_GB2312" w:hAnsi="宋体" w:cs="宋体" w:hint="eastAsia"/>
          <w:bCs/>
          <w:kern w:val="0"/>
          <w:szCs w:val="24"/>
        </w:rPr>
        <w:t>【</w:t>
      </w:r>
      <w:r>
        <w:rPr>
          <w:rFonts w:ascii="仿宋_GB2312" w:hAnsi="宋体" w:cs="宋体" w:hint="eastAsia"/>
          <w:bCs/>
          <w:kern w:val="0"/>
          <w:szCs w:val="24"/>
        </w:rPr>
        <w:t>浙江长兴农村商业银行股份有限公司，嘉兴银行股份有限公司，浙江岱山农村商业银行股份有限公司，浙江遂昌农村商业银行股份有限公司，浙江云和农村商业银行股份有限公司，浙江临海农村商业银行股份有限公司，浙江台州路桥农村商业银行股份有限公司，浙江天台农村商业银行股份有限公司，浙江仙居农村商业银行股份有限公司，浙江玉环农村商业银行股份有限公司，浙江富阳农村商业银行股份有限公司，浙江龙泉农村商业银行股份有限公司，宁波北仑农</w:t>
      </w:r>
      <w:r>
        <w:rPr>
          <w:rFonts w:ascii="仿宋_GB2312" w:hAnsi="宋体" w:cs="宋体" w:hint="eastAsia"/>
          <w:bCs/>
          <w:kern w:val="0"/>
          <w:szCs w:val="24"/>
        </w:rPr>
        <w:t>村商业银行股</w:t>
      </w:r>
      <w:r>
        <w:rPr>
          <w:rFonts w:ascii="仿宋_GB2312" w:hAnsi="宋体" w:cs="宋体" w:hint="eastAsia"/>
          <w:bCs/>
          <w:kern w:val="0"/>
          <w:szCs w:val="24"/>
        </w:rPr>
        <w:lastRenderedPageBreak/>
        <w:t>份有限公司，浙江松阳农村商业银行股份有限公司，浙江台州黄岩农村商业银行股份有限公司，浙江禾城农村商业银行股份有限公司，浙江舟山普陀农村商业银行股份有限公司，浙江平湖农村商业银行股份有限公司，浙江海盐农村商业银行股份有限公司，浙江萧山农村商业银行股份有限公司，浙江嵊泗农村商业银行股份有限公司，浙江台州椒江农村商业银行股份有限公司，浙江东阳农村商业银行股份有限公司，浙江临安农村商业银行股份有限公司，浙江青田农村商业银行股份有限公司，浙江桐庐农村商业银行股份有限公司，浙江绍兴恒信农村商业银行股份有限公</w:t>
      </w:r>
      <w:r>
        <w:rPr>
          <w:rFonts w:ascii="仿宋_GB2312" w:hAnsi="宋体" w:cs="宋体" w:hint="eastAsia"/>
          <w:bCs/>
          <w:kern w:val="0"/>
          <w:szCs w:val="24"/>
        </w:rPr>
        <w:t>司，浙江德清农村商业银行股份有限公司，浙江建德农村商业银行股份有限公司，浙江庆元农村商业银行股份有限公司，浙江上虞农村商业银行股份有限公司，中原银行股份有限公司，赣州银行股份有限公司，浙江义乌农村商业银行股份有限公司，湖州吴兴农村商业银行股份有限公司，浙江丽水莲都农村商业银行股份有限公司，江苏苏商银行股份有限公司，浙江武义农村商业银行股份有限公司，宁波鄞州农村商业银行股份有限公司</w:t>
      </w:r>
      <w:r>
        <w:rPr>
          <w:rFonts w:ascii="仿宋_GB2312" w:hAnsi="宋体" w:cs="宋体" w:hint="eastAsia"/>
          <w:bCs/>
          <w:kern w:val="0"/>
          <w:szCs w:val="24"/>
        </w:rPr>
        <w:t>】等机构，如有</w:t>
      </w:r>
      <w:r>
        <w:rPr>
          <w:rFonts w:ascii="仿宋_GB2312" w:hAnsi="宋体" w:cs="宋体"/>
          <w:bCs/>
          <w:kern w:val="0"/>
          <w:szCs w:val="24"/>
        </w:rPr>
        <w:t>变更以管理人</w:t>
      </w:r>
      <w:r>
        <w:rPr>
          <w:rFonts w:ascii="仿宋_GB2312" w:hAnsi="宋体" w:cs="宋体" w:hint="eastAsia"/>
          <w:bCs/>
          <w:kern w:val="0"/>
          <w:szCs w:val="24"/>
        </w:rPr>
        <w:t>信息披露为准。</w:t>
      </w:r>
    </w:p>
    <w:p w14:paraId="67E6CE82"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销售</w:t>
      </w:r>
      <w:r>
        <w:rPr>
          <w:rFonts w:ascii="仿宋_GB2312" w:hAnsi="宋体" w:cs="宋体"/>
          <w:bCs/>
          <w:kern w:val="0"/>
          <w:szCs w:val="24"/>
        </w:rPr>
        <w:t>机构</w:t>
      </w:r>
      <w:r>
        <w:rPr>
          <w:rFonts w:ascii="仿宋_GB2312" w:hAnsi="宋体" w:cs="宋体" w:hint="eastAsia"/>
          <w:bCs/>
          <w:kern w:val="0"/>
          <w:szCs w:val="24"/>
        </w:rPr>
        <w:t>主要职责：理财产品宣传推介；为</w:t>
      </w:r>
      <w:r>
        <w:rPr>
          <w:rFonts w:ascii="仿宋_GB2312" w:hAnsi="宋体" w:cs="宋体"/>
          <w:bCs/>
          <w:kern w:val="0"/>
          <w:szCs w:val="24"/>
        </w:rPr>
        <w:t>投资者办理</w:t>
      </w:r>
      <w:r>
        <w:rPr>
          <w:rFonts w:ascii="仿宋_GB2312" w:hAnsi="宋体" w:cs="宋体" w:hint="eastAsia"/>
          <w:bCs/>
          <w:kern w:val="0"/>
          <w:szCs w:val="24"/>
        </w:rPr>
        <w:t>理财产品份额认购</w:t>
      </w:r>
      <w:r>
        <w:rPr>
          <w:rFonts w:ascii="仿宋_GB2312" w:hAnsi="宋体" w:cs="宋体"/>
          <w:bCs/>
          <w:kern w:val="0"/>
          <w:szCs w:val="24"/>
        </w:rPr>
        <w:t>/</w:t>
      </w:r>
      <w:r>
        <w:rPr>
          <w:rFonts w:ascii="仿宋_GB2312" w:hAnsi="宋体" w:cs="宋体" w:hint="eastAsia"/>
          <w:bCs/>
          <w:kern w:val="0"/>
          <w:szCs w:val="24"/>
        </w:rPr>
        <w:t>申购</w:t>
      </w:r>
      <w:r>
        <w:rPr>
          <w:rFonts w:ascii="仿宋_GB2312" w:hAnsi="宋体" w:cs="宋体"/>
          <w:bCs/>
          <w:kern w:val="0"/>
          <w:szCs w:val="24"/>
        </w:rPr>
        <w:t>/</w:t>
      </w:r>
      <w:r>
        <w:rPr>
          <w:rFonts w:ascii="仿宋_GB2312" w:hAnsi="宋体" w:cs="宋体" w:hint="eastAsia"/>
          <w:bCs/>
          <w:kern w:val="0"/>
          <w:szCs w:val="24"/>
        </w:rPr>
        <w:t>赎回服务；投资者</w:t>
      </w:r>
      <w:r>
        <w:rPr>
          <w:rFonts w:ascii="仿宋_GB2312" w:hAnsi="宋体" w:cs="宋体" w:hint="eastAsia"/>
          <w:bCs/>
          <w:kern w:val="0"/>
          <w:szCs w:val="24"/>
        </w:rPr>
        <w:t>风险承受能力评估和投资者适当性管理；</w:t>
      </w:r>
      <w:r>
        <w:rPr>
          <w:rFonts w:ascii="仿宋_GB2312" w:hint="eastAsia"/>
        </w:rPr>
        <w:t>反洗钱、反恐怖融资、反扩散融资及非居民金融账户涉税信息尽职调查等</w:t>
      </w:r>
      <w:r>
        <w:rPr>
          <w:rFonts w:ascii="仿宋_GB2312"/>
        </w:rPr>
        <w:t>；</w:t>
      </w:r>
      <w:r>
        <w:rPr>
          <w:rFonts w:ascii="仿宋_GB2312" w:hint="eastAsia"/>
        </w:rPr>
        <w:t>协助投资者与管理人沟通</w:t>
      </w:r>
      <w:r>
        <w:rPr>
          <w:rFonts w:ascii="仿宋_GB2312" w:hAnsi="宋体" w:cs="宋体" w:hint="eastAsia"/>
          <w:bCs/>
          <w:kern w:val="0"/>
          <w:szCs w:val="24"/>
        </w:rPr>
        <w:t>和客户维护等销售服务；国务院银行业监督管理机构规定的其他职责。</w:t>
      </w:r>
    </w:p>
    <w:p w14:paraId="6A2A0C57" w14:textId="77777777" w:rsidR="00A2049A" w:rsidRDefault="0029186B">
      <w:pPr>
        <w:widowControl/>
        <w:tabs>
          <w:tab w:val="left" w:pos="709"/>
        </w:tabs>
        <w:adjustRightInd w:val="0"/>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★重要</w:t>
      </w:r>
      <w:r>
        <w:rPr>
          <w:rFonts w:ascii="仿宋_GB2312" w:hAnsi="宋体" w:cs="宋体"/>
          <w:b/>
          <w:bCs/>
          <w:kern w:val="0"/>
          <w:szCs w:val="24"/>
        </w:rPr>
        <w:t>提示：</w:t>
      </w:r>
      <w:r>
        <w:rPr>
          <w:rFonts w:ascii="仿宋_GB2312" w:hAnsi="宋体" w:cs="宋体" w:hint="eastAsia"/>
          <w:b/>
          <w:bCs/>
          <w:kern w:val="0"/>
          <w:szCs w:val="24"/>
        </w:rPr>
        <w:t>浙银理财委托托管机构托管理财产品或委托销售机构销售理财产品的，可能涉及委托浙商银行股份有限公司（以下简称“浙商银行”）担任理财产品的托管机构或销售机构。浙银理财是浙商银行控股的子公司，双方存在关联关系。如浙银理财委托浙商银行托管或销售本理财产品，将严格履行现行法律法规和监管规定所规定必须履行的程序。前述关联关系可能导致影响管理人独立决策的潜在风险。投资者确认已充分知悉前述关联关系，并接受理财产品由销售机构代理销售、托管机构托管。</w:t>
      </w:r>
    </w:p>
    <w:p w14:paraId="6E5C4DA8" w14:textId="77777777" w:rsidR="00A2049A" w:rsidRDefault="0029186B">
      <w:pPr>
        <w:pStyle w:val="2"/>
        <w:widowControl/>
        <w:adjustRightInd w:val="0"/>
        <w:snapToGrid w:val="0"/>
        <w:ind w:firstLine="482"/>
      </w:pPr>
      <w:r>
        <w:t>募集期</w:t>
      </w:r>
    </w:p>
    <w:p w14:paraId="2745D08C"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产品募集期内，投资者可多次对本产品认购、追加、</w:t>
      </w:r>
      <w:r>
        <w:rPr>
          <w:rFonts w:hint="eastAsia"/>
        </w:rPr>
        <w:t>撤单</w:t>
      </w:r>
      <w:r>
        <w:rPr>
          <w:rFonts w:ascii="仿宋_GB2312" w:hAnsi="宋体" w:cs="宋体" w:hint="eastAsia"/>
          <w:bCs/>
          <w:kern w:val="0"/>
          <w:szCs w:val="24"/>
        </w:rPr>
        <w:t>。如投资者认购成功，</w:t>
      </w:r>
      <w:r>
        <w:rPr>
          <w:rFonts w:ascii="仿宋_GB2312" w:hAnsi="宋体" w:cs="宋体" w:hint="eastAsia"/>
          <w:bCs/>
          <w:kern w:val="0"/>
          <w:szCs w:val="24"/>
        </w:rPr>
        <w:t>销售机构有权冻结投资者认购资金，</w:t>
      </w:r>
      <w:r>
        <w:rPr>
          <w:rFonts w:ascii="仿宋_GB2312" w:hAnsi="宋体" w:cs="宋体" w:hint="eastAsia"/>
          <w:b/>
          <w:kern w:val="0"/>
          <w:szCs w:val="24"/>
        </w:rPr>
        <w:t>但募集期内认购资金是否计息以销售机构规则为准</w:t>
      </w:r>
      <w:r>
        <w:rPr>
          <w:rFonts w:ascii="仿宋_GB2312" w:hAnsi="宋体" w:cs="宋体" w:hint="eastAsia"/>
          <w:bCs/>
          <w:kern w:val="0"/>
          <w:szCs w:val="24"/>
        </w:rPr>
        <w:t>。销售机构实际受理投资者成功提交的认购申请时间可能与说明书不一致，具体以销售机构信息为准。</w:t>
      </w:r>
    </w:p>
    <w:p w14:paraId="234450FA"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本理财产品累计认购份额达到发行规模上限时，销售机构有权停止接受认购申请。管理人有权根据募集情况提前终止或延长产品募集期，</w:t>
      </w:r>
      <w:r>
        <w:rPr>
          <w:rFonts w:ascii="仿宋_GB2312" w:hAnsi="宋体" w:cs="宋体"/>
          <w:bCs/>
          <w:kern w:val="0"/>
          <w:szCs w:val="24"/>
        </w:rPr>
        <w:t>如有变动</w:t>
      </w:r>
      <w:r>
        <w:rPr>
          <w:rFonts w:ascii="仿宋_GB2312" w:hAnsi="宋体" w:cs="宋体" w:hint="eastAsia"/>
          <w:bCs/>
          <w:kern w:val="0"/>
          <w:szCs w:val="24"/>
        </w:rPr>
        <w:t>以管理人或销售机构公告为准。</w:t>
      </w:r>
    </w:p>
    <w:p w14:paraId="4BCDD80A" w14:textId="77777777" w:rsidR="00A2049A" w:rsidRDefault="0029186B">
      <w:pPr>
        <w:pStyle w:val="2"/>
        <w:ind w:firstLine="482"/>
      </w:pPr>
      <w:r>
        <w:rPr>
          <w:rFonts w:hint="eastAsia"/>
        </w:rPr>
        <w:t>投资</w:t>
      </w:r>
      <w:r>
        <w:t>冷静期</w:t>
      </w:r>
    </w:p>
    <w:p w14:paraId="3C444340" w14:textId="77777777" w:rsidR="00A2049A" w:rsidRDefault="0029186B">
      <w:pPr>
        <w:autoSpaceDE w:val="0"/>
        <w:autoSpaceDN w:val="0"/>
        <w:adjustRightInd w:val="0"/>
        <w:snapToGrid w:val="0"/>
        <w:spacing w:line="360" w:lineRule="auto"/>
        <w:ind w:firstLineChars="200" w:firstLine="482"/>
        <w:rPr>
          <w:rFonts w:ascii="宋体" w:hAnsi="宋体"/>
          <w:b/>
          <w:szCs w:val="24"/>
        </w:rPr>
      </w:pPr>
      <w:r>
        <w:rPr>
          <w:rFonts w:ascii="宋体" w:hAnsi="宋体" w:hint="eastAsia"/>
          <w:b/>
          <w:szCs w:val="24"/>
        </w:rPr>
        <w:t>公募</w:t>
      </w:r>
      <w:r>
        <w:rPr>
          <w:rFonts w:ascii="宋体" w:hAnsi="宋体"/>
          <w:b/>
          <w:szCs w:val="24"/>
        </w:rPr>
        <w:t>：</w:t>
      </w:r>
      <w:r>
        <w:rPr>
          <w:rFonts w:ascii="宋体" w:hAnsi="宋体" w:hint="eastAsia"/>
          <w:b/>
          <w:szCs w:val="24"/>
        </w:rPr>
        <w:t>本产品为公募理财产品，无投资冷静期设置。</w:t>
      </w:r>
    </w:p>
    <w:p w14:paraId="671204DD" w14:textId="77777777" w:rsidR="00A2049A" w:rsidRDefault="0029186B">
      <w:pPr>
        <w:pStyle w:val="2"/>
        <w:widowControl/>
        <w:snapToGrid w:val="0"/>
        <w:ind w:firstLine="482"/>
        <w:rPr>
          <w:rStyle w:val="20"/>
          <w:rFonts w:ascii="仿宋_GB2312" w:hAnsi="宋体"/>
        </w:rPr>
      </w:pPr>
      <w:r>
        <w:rPr>
          <w:rFonts w:ascii="仿宋_GB2312" w:hAnsi="宋体" w:cs="宋体" w:hint="eastAsia"/>
          <w:bCs/>
          <w:kern w:val="0"/>
          <w:szCs w:val="24"/>
        </w:rPr>
        <w:lastRenderedPageBreak/>
        <w:t>募集对象</w:t>
      </w:r>
    </w:p>
    <w:p w14:paraId="640EAB40"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本产品面向</w:t>
      </w:r>
      <w:r>
        <w:rPr>
          <w:rFonts w:ascii="宋体" w:hAnsi="宋体" w:hint="eastAsia"/>
          <w:szCs w:val="24"/>
        </w:rPr>
        <w:t>【个人</w:t>
      </w:r>
      <w:r>
        <w:rPr>
          <w:rFonts w:ascii="宋体" w:hAnsi="宋体" w:hint="eastAsia"/>
          <w:szCs w:val="24"/>
        </w:rPr>
        <w:t>、</w:t>
      </w:r>
      <w:r>
        <w:rPr>
          <w:rFonts w:ascii="宋体" w:hAnsi="宋体" w:hint="eastAsia"/>
          <w:szCs w:val="24"/>
        </w:rPr>
        <w:t>机构</w:t>
      </w:r>
      <w:r>
        <w:rPr>
          <w:rFonts w:ascii="宋体" w:hAnsi="宋体" w:hint="eastAsia"/>
          <w:szCs w:val="24"/>
        </w:rPr>
        <w:t>投资者】</w:t>
      </w:r>
      <w:r>
        <w:rPr>
          <w:rFonts w:ascii="仿宋_GB2312" w:hAnsi="宋体" w:cs="宋体" w:hint="eastAsia"/>
          <w:bCs/>
          <w:kern w:val="0"/>
          <w:szCs w:val="24"/>
        </w:rPr>
        <w:t>销售，其中普通投资者须经销售机构风险承受能力评估评定为</w:t>
      </w:r>
      <w:r>
        <w:rPr>
          <w:rFonts w:ascii="宋体" w:hAnsi="宋体" w:hint="eastAsia"/>
          <w:szCs w:val="24"/>
        </w:rPr>
        <w:t>【</w:t>
      </w:r>
      <w:r>
        <w:rPr>
          <w:rFonts w:ascii="宋体" w:hAnsi="宋体" w:hint="eastAsia"/>
          <w:b/>
          <w:bCs/>
          <w:szCs w:val="24"/>
        </w:rPr>
        <w:t>稳健型</w:t>
      </w:r>
      <w:r>
        <w:rPr>
          <w:rFonts w:ascii="宋体" w:hAnsi="宋体" w:hint="eastAsia"/>
          <w:szCs w:val="24"/>
        </w:rPr>
        <w:t>】</w:t>
      </w:r>
      <w:r>
        <w:rPr>
          <w:rFonts w:ascii="仿宋_GB2312" w:hAnsi="宋体" w:cs="宋体" w:hint="eastAsia"/>
          <w:b/>
          <w:bCs/>
          <w:kern w:val="0"/>
          <w:szCs w:val="24"/>
        </w:rPr>
        <w:t>及以上</w:t>
      </w:r>
      <w:r>
        <w:rPr>
          <w:rFonts w:ascii="仿宋_GB2312" w:hAnsi="宋体" w:cs="宋体" w:hint="eastAsia"/>
          <w:bCs/>
          <w:kern w:val="0"/>
          <w:szCs w:val="24"/>
        </w:rPr>
        <w:t>（法律法规和有关规定禁止购买者除外）。如普通投资者首次通过销售机构购买产品管理人的理财产品，需通过销售机构进行风险承受能力评估后方可购买。</w:t>
      </w:r>
    </w:p>
    <w:p w14:paraId="27D5EB70" w14:textId="77777777" w:rsidR="00A2049A" w:rsidRDefault="0029186B">
      <w:pPr>
        <w:pStyle w:val="2"/>
        <w:widowControl/>
        <w:snapToGrid w:val="0"/>
        <w:ind w:firstLine="482"/>
        <w:rPr>
          <w:rFonts w:ascii="仿宋_GB2312" w:hAnsi="宋体" w:cs="宋体"/>
          <w:bCs/>
          <w:kern w:val="0"/>
          <w:szCs w:val="24"/>
        </w:rPr>
      </w:pPr>
      <w:r>
        <w:rPr>
          <w:rFonts w:ascii="仿宋_GB2312" w:hAnsi="宋体" w:cs="宋体" w:hint="eastAsia"/>
          <w:bCs/>
          <w:kern w:val="0"/>
          <w:szCs w:val="24"/>
        </w:rPr>
        <w:t>认购起点金额</w:t>
      </w:r>
    </w:p>
    <w:p w14:paraId="30DF09CF"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本理财产品初始份额净值为</w:t>
      </w:r>
      <w:r>
        <w:rPr>
          <w:rFonts w:ascii="仿宋_GB2312" w:hAnsi="宋体" w:cs="宋体" w:hint="eastAsia"/>
          <w:bCs/>
          <w:kern w:val="0"/>
          <w:szCs w:val="24"/>
        </w:rPr>
        <w:t>1.00</w:t>
      </w:r>
      <w:r>
        <w:rPr>
          <w:rFonts w:ascii="仿宋_GB2312" w:hAnsi="宋体" w:cs="宋体" w:hint="eastAsia"/>
          <w:bCs/>
          <w:kern w:val="0"/>
          <w:szCs w:val="24"/>
        </w:rPr>
        <w:t>00</w:t>
      </w:r>
      <w:r>
        <w:rPr>
          <w:rFonts w:ascii="仿宋_GB2312" w:hAnsi="宋体" w:cs="宋体" w:hint="eastAsia"/>
          <w:bCs/>
          <w:kern w:val="0"/>
          <w:szCs w:val="24"/>
        </w:rPr>
        <w:t>00</w:t>
      </w:r>
      <w:r>
        <w:rPr>
          <w:rFonts w:ascii="仿宋_GB2312" w:hAnsi="宋体" w:cs="宋体" w:hint="eastAsia"/>
          <w:bCs/>
          <w:kern w:val="0"/>
          <w:szCs w:val="24"/>
        </w:rPr>
        <w:t>元</w:t>
      </w:r>
      <w:r>
        <w:rPr>
          <w:rFonts w:ascii="仿宋_GB2312" w:hAnsi="宋体" w:cs="宋体" w:hint="eastAsia"/>
          <w:bCs/>
          <w:kern w:val="0"/>
          <w:szCs w:val="24"/>
        </w:rPr>
        <w:t>/</w:t>
      </w:r>
      <w:r>
        <w:rPr>
          <w:rFonts w:ascii="仿宋_GB2312" w:hAnsi="宋体" w:cs="宋体" w:hint="eastAsia"/>
          <w:bCs/>
          <w:kern w:val="0"/>
          <w:szCs w:val="24"/>
        </w:rPr>
        <w:t>份。</w:t>
      </w:r>
    </w:p>
    <w:p w14:paraId="2313625C"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A</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5D6A9782"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B</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7EB15990"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C</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1BF8EACB"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D</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2964C0EA"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E</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6E4F7088"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F</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4239A967"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G</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投资者初始认购起点为</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】元</w:t>
      </w:r>
      <w:r>
        <w:rPr>
          <w:rFonts w:ascii="仿宋_GB2312" w:hAnsi="宋体" w:cs="宋体" w:hint="eastAsia"/>
          <w:bCs/>
          <w:kern w:val="0"/>
          <w:szCs w:val="24"/>
        </w:rPr>
        <w:t>，超过部分以</w:t>
      </w:r>
      <w:r>
        <w:rPr>
          <w:rFonts w:ascii="仿宋_GB2312" w:hAnsi="宋体" w:cs="宋体" w:hint="eastAsia"/>
          <w:bCs/>
          <w:kern w:val="0"/>
          <w:szCs w:val="24"/>
        </w:rPr>
        <w:t>【</w:t>
      </w:r>
      <w:r>
        <w:rPr>
          <w:rFonts w:ascii="仿宋_GB2312" w:hAnsi="宋体" w:cs="宋体" w:hint="eastAsia"/>
          <w:bCs/>
          <w:kern w:val="0"/>
          <w:szCs w:val="24"/>
        </w:rPr>
        <w:t>0.01</w:t>
      </w:r>
      <w:r>
        <w:rPr>
          <w:rFonts w:ascii="仿宋_GB2312" w:hAnsi="宋体" w:cs="宋体" w:hint="eastAsia"/>
          <w:bCs/>
          <w:kern w:val="0"/>
          <w:szCs w:val="24"/>
        </w:rPr>
        <w:t>】元</w:t>
      </w:r>
      <w:r>
        <w:rPr>
          <w:rFonts w:ascii="仿宋_GB2312" w:hAnsi="宋体" w:cs="宋体" w:hint="eastAsia"/>
          <w:bCs/>
          <w:kern w:val="0"/>
          <w:szCs w:val="24"/>
        </w:rPr>
        <w:t>的整数倍增加。</w:t>
      </w:r>
    </w:p>
    <w:p w14:paraId="3E39837C" w14:textId="77777777" w:rsidR="00A2049A" w:rsidRDefault="0029186B">
      <w:pPr>
        <w:pStyle w:val="2"/>
        <w:widowControl/>
        <w:snapToGrid w:val="0"/>
        <w:ind w:firstLine="482"/>
        <w:rPr>
          <w:rFonts w:ascii="仿宋_GB2312" w:hAnsi="宋体" w:cs="宋体"/>
          <w:bCs/>
          <w:kern w:val="0"/>
          <w:szCs w:val="24"/>
        </w:rPr>
      </w:pPr>
      <w:r>
        <w:rPr>
          <w:rFonts w:ascii="仿宋_GB2312" w:hAnsi="宋体" w:cs="宋体" w:hint="eastAsia"/>
          <w:bCs/>
          <w:kern w:val="0"/>
          <w:szCs w:val="24"/>
        </w:rPr>
        <w:t>认购</w:t>
      </w:r>
      <w:r>
        <w:rPr>
          <w:rFonts w:ascii="仿宋_GB2312" w:hAnsi="宋体" w:cs="宋体"/>
          <w:bCs/>
          <w:kern w:val="0"/>
          <w:szCs w:val="24"/>
        </w:rPr>
        <w:t>份额</w:t>
      </w:r>
      <w:r>
        <w:rPr>
          <w:rFonts w:ascii="仿宋_GB2312" w:hAnsi="宋体" w:cs="宋体" w:hint="eastAsia"/>
          <w:bCs/>
          <w:kern w:val="0"/>
          <w:szCs w:val="24"/>
        </w:rPr>
        <w:t>的</w:t>
      </w:r>
      <w:r>
        <w:rPr>
          <w:rFonts w:ascii="仿宋_GB2312" w:hAnsi="宋体" w:cs="宋体"/>
          <w:bCs/>
          <w:kern w:val="0"/>
          <w:szCs w:val="24"/>
        </w:rPr>
        <w:t>计算</w:t>
      </w:r>
    </w:p>
    <w:p w14:paraId="03334867"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本产品采用金额认购方法，认购时计算方法如下：</w:t>
      </w:r>
      <w:r>
        <w:rPr>
          <w:rFonts w:ascii="仿宋_GB2312" w:hAnsi="宋体" w:cs="宋体"/>
          <w:bCs/>
          <w:kern w:val="0"/>
          <w:szCs w:val="24"/>
        </w:rPr>
        <w:t xml:space="preserve"> </w:t>
      </w:r>
    </w:p>
    <w:p w14:paraId="5CA0A7C4"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净认购金额</w:t>
      </w:r>
      <w:r>
        <w:rPr>
          <w:rFonts w:ascii="仿宋_GB2312" w:hAnsi="宋体" w:cs="宋体" w:hint="eastAsia"/>
          <w:bCs/>
          <w:kern w:val="0"/>
          <w:szCs w:val="24"/>
        </w:rPr>
        <w:t>=</w:t>
      </w:r>
      <w:r>
        <w:rPr>
          <w:rFonts w:ascii="仿宋_GB2312" w:hAnsi="宋体" w:cs="宋体" w:hint="eastAsia"/>
          <w:bCs/>
          <w:kern w:val="0"/>
          <w:szCs w:val="24"/>
        </w:rPr>
        <w:t>认购金额</w:t>
      </w:r>
      <w:r>
        <w:rPr>
          <w:rFonts w:ascii="仿宋_GB2312" w:hAnsi="宋体" w:cs="宋体" w:hint="eastAsia"/>
          <w:bCs/>
          <w:kern w:val="0"/>
          <w:szCs w:val="24"/>
        </w:rPr>
        <w:t>/</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认购费率）（认购</w:t>
      </w:r>
      <w:r>
        <w:rPr>
          <w:rFonts w:ascii="仿宋_GB2312" w:hAnsi="宋体" w:cs="宋体"/>
          <w:bCs/>
          <w:kern w:val="0"/>
          <w:szCs w:val="24"/>
        </w:rPr>
        <w:t>费</w:t>
      </w:r>
      <w:r>
        <w:rPr>
          <w:rFonts w:ascii="仿宋_GB2312" w:hAnsi="宋体" w:cs="宋体" w:hint="eastAsia"/>
          <w:bCs/>
          <w:kern w:val="0"/>
          <w:szCs w:val="24"/>
        </w:rPr>
        <w:t>率详见产品说明书</w:t>
      </w:r>
      <w:r>
        <w:rPr>
          <w:rFonts w:ascii="仿宋_GB2312" w:hAnsi="宋体" w:cs="宋体"/>
          <w:bCs/>
          <w:kern w:val="0"/>
          <w:szCs w:val="24"/>
        </w:rPr>
        <w:t>关于费用</w:t>
      </w:r>
      <w:r>
        <w:rPr>
          <w:rFonts w:ascii="仿宋_GB2312" w:hAnsi="宋体" w:cs="宋体" w:hint="eastAsia"/>
          <w:bCs/>
          <w:kern w:val="0"/>
          <w:szCs w:val="24"/>
        </w:rPr>
        <w:t>的说明）</w:t>
      </w:r>
    </w:p>
    <w:p w14:paraId="785F5489"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认购</w:t>
      </w:r>
      <w:r>
        <w:rPr>
          <w:rFonts w:ascii="仿宋_GB2312" w:hAnsi="宋体" w:cs="宋体"/>
          <w:bCs/>
          <w:kern w:val="0"/>
          <w:szCs w:val="24"/>
        </w:rPr>
        <w:t>费用</w:t>
      </w:r>
      <w:r>
        <w:rPr>
          <w:rFonts w:ascii="仿宋_GB2312" w:hAnsi="宋体" w:cs="宋体"/>
          <w:bCs/>
          <w:kern w:val="0"/>
          <w:szCs w:val="24"/>
        </w:rPr>
        <w:t>=</w:t>
      </w:r>
      <w:r>
        <w:rPr>
          <w:rFonts w:ascii="仿宋_GB2312" w:hAnsi="宋体" w:cs="宋体" w:hint="eastAsia"/>
          <w:bCs/>
          <w:kern w:val="0"/>
          <w:szCs w:val="24"/>
        </w:rPr>
        <w:t>净认购金额×认购费率</w:t>
      </w:r>
    </w:p>
    <w:p w14:paraId="48C80676"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认购</w:t>
      </w:r>
      <w:r>
        <w:rPr>
          <w:rFonts w:ascii="仿宋_GB2312" w:hAnsi="宋体" w:cs="宋体"/>
          <w:bCs/>
          <w:kern w:val="0"/>
          <w:szCs w:val="24"/>
        </w:rPr>
        <w:t>份额</w:t>
      </w:r>
      <w:r>
        <w:rPr>
          <w:rFonts w:ascii="仿宋_GB2312" w:hAnsi="宋体" w:cs="宋体"/>
          <w:bCs/>
          <w:kern w:val="0"/>
          <w:szCs w:val="24"/>
        </w:rPr>
        <w:t>=</w:t>
      </w:r>
      <w:r>
        <w:rPr>
          <w:rFonts w:ascii="仿宋_GB2312" w:hAnsi="宋体" w:cs="宋体"/>
          <w:bCs/>
          <w:kern w:val="0"/>
          <w:szCs w:val="24"/>
        </w:rPr>
        <w:t>净认购金额</w:t>
      </w:r>
      <w:r>
        <w:rPr>
          <w:rFonts w:ascii="仿宋_GB2312" w:hAnsi="宋体" w:cs="宋体" w:hint="eastAsia"/>
          <w:bCs/>
          <w:kern w:val="0"/>
          <w:szCs w:val="24"/>
        </w:rPr>
        <w:t>/</w:t>
      </w:r>
      <w:r>
        <w:rPr>
          <w:rFonts w:ascii="仿宋_GB2312" w:hAnsi="宋体" w:cs="宋体" w:hint="eastAsia"/>
          <w:bCs/>
          <w:kern w:val="0"/>
          <w:szCs w:val="24"/>
        </w:rPr>
        <w:t>理财产品单位份额净值</w:t>
      </w:r>
    </w:p>
    <w:p w14:paraId="14417FD6"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认购份额以四舍五入的方法保留到小数点后两位。</w:t>
      </w:r>
    </w:p>
    <w:p w14:paraId="1D6E82E6" w14:textId="77777777" w:rsidR="00A2049A" w:rsidRDefault="0029186B">
      <w:pPr>
        <w:pStyle w:val="2"/>
        <w:widowControl/>
        <w:snapToGrid w:val="0"/>
        <w:ind w:firstLine="482"/>
        <w:rPr>
          <w:rFonts w:ascii="仿宋_GB2312" w:hAnsi="宋体" w:cs="宋体"/>
          <w:bCs/>
          <w:kern w:val="0"/>
          <w:szCs w:val="24"/>
        </w:rPr>
      </w:pPr>
      <w:r>
        <w:rPr>
          <w:rFonts w:ascii="仿宋_GB2312" w:hAnsi="宋体" w:cs="宋体" w:hint="eastAsia"/>
          <w:bCs/>
          <w:kern w:val="0"/>
          <w:szCs w:val="24"/>
        </w:rPr>
        <w:t>认购确认：</w:t>
      </w:r>
    </w:p>
    <w:p w14:paraId="795E8B41"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投资者提交认购申请后，如管理人在认购</w:t>
      </w:r>
      <w:r>
        <w:rPr>
          <w:rFonts w:ascii="仿宋_GB2312" w:hAnsi="宋体" w:cs="宋体"/>
          <w:bCs/>
          <w:kern w:val="0"/>
          <w:szCs w:val="24"/>
        </w:rPr>
        <w:t>确认日</w:t>
      </w:r>
      <w:r>
        <w:rPr>
          <w:rFonts w:ascii="仿宋_GB2312" w:hAnsi="宋体" w:cs="宋体" w:hint="eastAsia"/>
          <w:bCs/>
          <w:kern w:val="0"/>
          <w:szCs w:val="24"/>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14:paraId="60AF03C8" w14:textId="77777777" w:rsidR="00A2049A" w:rsidRDefault="0029186B">
      <w:pPr>
        <w:pStyle w:val="2"/>
        <w:widowControl/>
        <w:snapToGrid w:val="0"/>
        <w:ind w:firstLine="482"/>
        <w:rPr>
          <w:rFonts w:ascii="仿宋_GB2312" w:hAnsi="宋体" w:cs="宋体"/>
          <w:bCs/>
          <w:kern w:val="0"/>
          <w:szCs w:val="24"/>
        </w:rPr>
      </w:pPr>
      <w:r>
        <w:rPr>
          <w:rFonts w:ascii="仿宋_GB2312" w:hAnsi="宋体" w:cs="宋体" w:hint="eastAsia"/>
          <w:bCs/>
          <w:kern w:val="0"/>
          <w:szCs w:val="24"/>
        </w:rPr>
        <w:t>认购撤销</w:t>
      </w:r>
    </w:p>
    <w:p w14:paraId="2DBF862B"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募集期内投资者可以撤销已提交的认购申请，具体请以销售机构规定为准。</w:t>
      </w:r>
    </w:p>
    <w:p w14:paraId="05071E24" w14:textId="77777777" w:rsidR="00A2049A" w:rsidRDefault="0029186B">
      <w:pPr>
        <w:pStyle w:val="2"/>
        <w:widowControl/>
        <w:snapToGrid w:val="0"/>
        <w:ind w:firstLine="482"/>
        <w:rPr>
          <w:rFonts w:ascii="仿宋_GB2312" w:hAnsi="宋体" w:cs="宋体"/>
          <w:bCs/>
          <w:kern w:val="0"/>
          <w:szCs w:val="24"/>
        </w:rPr>
      </w:pPr>
      <w:r>
        <w:rPr>
          <w:rFonts w:ascii="仿宋_GB2312" w:hAnsi="宋体" w:cs="宋体" w:hint="eastAsia"/>
          <w:bCs/>
          <w:kern w:val="0"/>
          <w:szCs w:val="24"/>
        </w:rPr>
        <w:t>投资者单户累计认购上限</w:t>
      </w:r>
    </w:p>
    <w:p w14:paraId="5C9887FA" w14:textId="77777777" w:rsidR="00A2049A" w:rsidRDefault="0029186B">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bCs/>
          <w:kern w:val="0"/>
          <w:szCs w:val="24"/>
        </w:rPr>
        <w:t>A</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w:t>
      </w:r>
      <w:r>
        <w:rPr>
          <w:rFonts w:ascii="仿宋_GB2312" w:hAnsi="宋体" w:cs="宋体" w:hint="eastAsia"/>
          <w:bCs/>
          <w:kern w:val="0"/>
          <w:szCs w:val="24"/>
        </w:rPr>
        <w:t>万元。</w:t>
      </w:r>
    </w:p>
    <w:p w14:paraId="392FC94E" w14:textId="77777777" w:rsidR="00A2049A" w:rsidRDefault="0029186B">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B</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724C8F9F" w14:textId="77777777" w:rsidR="00A2049A" w:rsidRDefault="0029186B">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C</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59F6F8FA" w14:textId="77777777" w:rsidR="00A2049A" w:rsidRDefault="0029186B">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D</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679B79CB" w14:textId="77777777" w:rsidR="00A2049A" w:rsidRDefault="0029186B">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lastRenderedPageBreak/>
        <w:t>【</w:t>
      </w:r>
      <w:r>
        <w:rPr>
          <w:rFonts w:ascii="仿宋_GB2312" w:hAnsi="宋体" w:cs="宋体" w:hint="eastAsia"/>
          <w:bCs/>
          <w:kern w:val="0"/>
          <w:szCs w:val="24"/>
        </w:rPr>
        <w:t>E</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3733C5A3" w14:textId="77777777" w:rsidR="00A2049A" w:rsidRDefault="0029186B">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F</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3DDCD6E2" w14:textId="77777777" w:rsidR="00A2049A" w:rsidRDefault="0029186B">
      <w:pPr>
        <w:widowControl/>
        <w:tabs>
          <w:tab w:val="left" w:pos="709"/>
        </w:tabs>
        <w:snapToGrid w:val="0"/>
        <w:spacing w:line="360" w:lineRule="auto"/>
        <w:ind w:leftChars="200" w:left="720" w:hangingChars="100" w:hanging="24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G</w:t>
      </w:r>
      <w:r>
        <w:rPr>
          <w:rFonts w:ascii="仿宋_GB2312" w:hAnsi="宋体" w:cs="宋体" w:hint="eastAsia"/>
          <w:bCs/>
          <w:kern w:val="0"/>
          <w:szCs w:val="24"/>
        </w:rPr>
        <w:t>份额</w:t>
      </w:r>
      <w:r>
        <w:rPr>
          <w:rFonts w:ascii="仿宋_GB2312" w:hAnsi="宋体" w:cs="宋体"/>
          <w:bCs/>
          <w:kern w:val="0"/>
          <w:szCs w:val="24"/>
        </w:rPr>
        <w:t>】</w:t>
      </w:r>
      <w:r>
        <w:rPr>
          <w:rFonts w:ascii="仿宋_GB2312" w:hAnsi="宋体" w:cs="宋体" w:hint="eastAsia"/>
          <w:bCs/>
          <w:kern w:val="0"/>
          <w:szCs w:val="24"/>
        </w:rPr>
        <w:t>投资者单户累计认购本理财产品份额合计金额不超过【</w:t>
      </w:r>
      <w:r>
        <w:rPr>
          <w:rFonts w:ascii="仿宋_GB2312" w:hAnsi="宋体" w:cs="宋体" w:hint="eastAsia"/>
          <w:bCs/>
          <w:kern w:val="0"/>
          <w:szCs w:val="24"/>
        </w:rPr>
        <w:t>/</w:t>
      </w:r>
      <w:r>
        <w:rPr>
          <w:rFonts w:ascii="仿宋_GB2312" w:hAnsi="宋体" w:cs="宋体" w:hint="eastAsia"/>
          <w:bCs/>
          <w:kern w:val="0"/>
          <w:szCs w:val="24"/>
        </w:rPr>
        <w:t>】万元。</w:t>
      </w:r>
    </w:p>
    <w:p w14:paraId="6FB7E2A4"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在产品运作过程中因收益分配、净值波动等被动超上限的情形除外。管理人有权调整投资者累计认购上限，并提前公告。如果投资者单户累计认购金额</w:t>
      </w:r>
      <w:r>
        <w:rPr>
          <w:rFonts w:ascii="仿宋_GB2312" w:hAnsi="宋体" w:cs="宋体"/>
          <w:bCs/>
          <w:kern w:val="0"/>
          <w:szCs w:val="24"/>
        </w:rPr>
        <w:t>超</w:t>
      </w:r>
      <w:r>
        <w:rPr>
          <w:rFonts w:ascii="仿宋_GB2312" w:hAnsi="宋体" w:cs="宋体" w:hint="eastAsia"/>
          <w:bCs/>
          <w:kern w:val="0"/>
          <w:szCs w:val="24"/>
        </w:rPr>
        <w:t>过上限</w:t>
      </w:r>
      <w:r>
        <w:rPr>
          <w:rFonts w:ascii="仿宋_GB2312" w:hAnsi="宋体" w:cs="宋体"/>
          <w:bCs/>
          <w:kern w:val="0"/>
          <w:szCs w:val="24"/>
        </w:rPr>
        <w:t>，管理人</w:t>
      </w:r>
      <w:r>
        <w:rPr>
          <w:rFonts w:ascii="仿宋_GB2312" w:hAnsi="宋体" w:cs="宋体" w:hint="eastAsia"/>
          <w:bCs/>
          <w:kern w:val="0"/>
          <w:szCs w:val="24"/>
        </w:rPr>
        <w:t>有权根据实际情况决定拒绝或受理。</w:t>
      </w:r>
    </w:p>
    <w:p w14:paraId="028B6048"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宋体" w:hAnsi="宋体" w:hint="eastAsia"/>
          <w:bCs/>
          <w:szCs w:val="24"/>
        </w:rPr>
        <w:t>单一投资者持有份额不得超过本产品总份额【</w:t>
      </w:r>
      <w:r>
        <w:rPr>
          <w:rFonts w:ascii="宋体" w:hAnsi="宋体" w:hint="eastAsia"/>
          <w:bCs/>
          <w:szCs w:val="24"/>
        </w:rPr>
        <w:t>50%</w:t>
      </w:r>
      <w:r>
        <w:rPr>
          <w:rFonts w:ascii="宋体" w:hAnsi="宋体" w:hint="eastAsia"/>
          <w:bCs/>
          <w:szCs w:val="24"/>
        </w:rPr>
        <w:t>】，非因产品管理人主观因素导致突破上述比例限制的，在单一投资者持有比例降至【</w:t>
      </w:r>
      <w:r>
        <w:rPr>
          <w:rFonts w:ascii="宋体" w:hAnsi="宋体" w:hint="eastAsia"/>
          <w:bCs/>
          <w:szCs w:val="24"/>
        </w:rPr>
        <w:t>50%</w:t>
      </w:r>
      <w:r>
        <w:rPr>
          <w:rFonts w:ascii="宋体" w:hAnsi="宋体" w:hint="eastAsia"/>
          <w:bCs/>
          <w:szCs w:val="24"/>
        </w:rPr>
        <w:t>】以下之前，产品管理人不得再接受投资者对本产品的认购。</w:t>
      </w:r>
    </w:p>
    <w:p w14:paraId="1A68903A" w14:textId="77777777" w:rsidR="00A2049A" w:rsidRDefault="0029186B">
      <w:pPr>
        <w:pStyle w:val="2"/>
        <w:widowControl/>
        <w:snapToGrid w:val="0"/>
        <w:ind w:firstLine="482"/>
        <w:rPr>
          <w:rFonts w:ascii="仿宋_GB2312" w:hAnsi="宋体" w:cs="宋体"/>
          <w:bCs/>
          <w:kern w:val="0"/>
          <w:szCs w:val="24"/>
        </w:rPr>
      </w:pPr>
      <w:r>
        <w:rPr>
          <w:rFonts w:ascii="仿宋_GB2312" w:hAnsi="宋体" w:cs="宋体" w:hint="eastAsia"/>
          <w:bCs/>
          <w:kern w:val="0"/>
          <w:szCs w:val="24"/>
        </w:rPr>
        <w:t>产品成立</w:t>
      </w:r>
    </w:p>
    <w:p w14:paraId="6E9292DE"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募集期届满，募集总资金累计金额不低于产品最低成立规模时，产品成立。</w:t>
      </w:r>
    </w:p>
    <w:p w14:paraId="74B67E29"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
          <w:bCs/>
          <w:kern w:val="0"/>
          <w:szCs w:val="24"/>
        </w:rPr>
        <w:t>本产品募集期限内，如募集总金额未达到产品最低成立规模，或国家宏观政策以及市场相关法规政策发生变化，或市场发生剧烈波动，或发生其他经管理人合理判断难以履行本理财产品说明书约定或可能导致投资者权益受损的情形，管理人有权利但无义务宣布本理财产品不成立</w:t>
      </w:r>
      <w:r>
        <w:rPr>
          <w:rFonts w:ascii="仿宋_GB2312" w:hAnsi="宋体" w:hint="eastAsia"/>
          <w:b/>
          <w:kern w:val="0"/>
          <w:szCs w:val="24"/>
        </w:rPr>
        <w:t>，亦有权延长募集期或调整募集规模</w:t>
      </w:r>
      <w:r>
        <w:rPr>
          <w:rFonts w:ascii="仿宋_GB2312" w:hAnsi="宋体" w:cs="宋体" w:hint="eastAsia"/>
          <w:b/>
          <w:bCs/>
          <w:kern w:val="0"/>
          <w:szCs w:val="24"/>
        </w:rPr>
        <w:t>。</w:t>
      </w:r>
    </w:p>
    <w:p w14:paraId="6AB78ED8" w14:textId="77777777" w:rsidR="00A2049A" w:rsidRDefault="0029186B">
      <w:pPr>
        <w:widowControl/>
        <w:tabs>
          <w:tab w:val="left" w:pos="709"/>
        </w:tabs>
        <w:snapToGrid w:val="0"/>
        <w:spacing w:line="360" w:lineRule="auto"/>
        <w:ind w:firstLineChars="200" w:firstLine="480"/>
        <w:rPr>
          <w:rFonts w:ascii="仿宋_GB2312" w:hAnsi="宋体" w:cs="宋体"/>
          <w:b/>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）产品不成立：管理人决定理财产品不成立，将及时通过本产品说明书约定的</w:t>
      </w:r>
      <w:r>
        <w:rPr>
          <w:rFonts w:ascii="仿宋_GB2312" w:hAnsi="宋体" w:cs="宋体"/>
          <w:bCs/>
          <w:kern w:val="0"/>
          <w:szCs w:val="24"/>
        </w:rPr>
        <w:t>方式</w:t>
      </w:r>
      <w:r>
        <w:rPr>
          <w:rFonts w:ascii="仿宋_GB2312" w:hAnsi="宋体" w:cs="宋体" w:hint="eastAsia"/>
          <w:bCs/>
          <w:kern w:val="0"/>
          <w:szCs w:val="24"/>
        </w:rPr>
        <w:t>披露产品不成立相关信息，并在不晚于产品原计划成立日后的</w:t>
      </w:r>
      <w:r>
        <w:rPr>
          <w:rFonts w:ascii="仿宋_GB2312" w:hAnsi="宋体" w:cs="宋体" w:hint="eastAsia"/>
          <w:bCs/>
          <w:kern w:val="0"/>
          <w:szCs w:val="24"/>
        </w:rPr>
        <w:t>3</w:t>
      </w:r>
      <w:r>
        <w:rPr>
          <w:rFonts w:ascii="仿宋_GB2312" w:hAnsi="宋体" w:cs="宋体" w:hint="eastAsia"/>
          <w:bCs/>
          <w:kern w:val="0"/>
          <w:szCs w:val="24"/>
        </w:rPr>
        <w:t>个</w:t>
      </w:r>
      <w:r>
        <w:rPr>
          <w:rFonts w:ascii="宋体" w:hAnsi="宋体" w:hint="eastAsia"/>
          <w:b/>
          <w:szCs w:val="24"/>
        </w:rPr>
        <w:t>工作日</w:t>
      </w:r>
      <w:r>
        <w:rPr>
          <w:rFonts w:ascii="仿宋_GB2312" w:hAnsi="宋体" w:cs="宋体" w:hint="eastAsia"/>
          <w:bCs/>
          <w:kern w:val="0"/>
          <w:szCs w:val="24"/>
        </w:rPr>
        <w:t>通过销售机构将理财投资本金退回投资者指定账户。</w:t>
      </w:r>
    </w:p>
    <w:p w14:paraId="4783FB74" w14:textId="77777777" w:rsidR="00A2049A" w:rsidRDefault="0029186B">
      <w:pPr>
        <w:widowControl/>
        <w:tabs>
          <w:tab w:val="left" w:pos="709"/>
        </w:tabs>
        <w:snapToGrid w:val="0"/>
        <w:spacing w:line="360" w:lineRule="auto"/>
        <w:ind w:firstLineChars="200" w:firstLine="480"/>
        <w:rPr>
          <w:rFonts w:ascii="仿宋_GB2312" w:hAnsi="宋体"/>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w:t>
      </w:r>
      <w:r>
        <w:rPr>
          <w:rFonts w:ascii="仿宋_GB2312" w:hAnsi="宋体" w:hint="eastAsia"/>
          <w:kern w:val="0"/>
          <w:szCs w:val="24"/>
        </w:rPr>
        <w:t>延长产品募集期</w:t>
      </w:r>
      <w:r>
        <w:rPr>
          <w:rFonts w:ascii="仿宋_GB2312" w:hAnsi="宋体" w:hint="eastAsia"/>
          <w:kern w:val="0"/>
          <w:szCs w:val="24"/>
        </w:rPr>
        <w:t>:</w:t>
      </w:r>
      <w:r>
        <w:rPr>
          <w:rFonts w:ascii="仿宋_GB2312" w:hAnsi="宋体" w:cs="宋体" w:hint="eastAsia"/>
          <w:bCs/>
          <w:kern w:val="0"/>
          <w:szCs w:val="24"/>
        </w:rPr>
        <w:t>管理人决定延长产品募集</w:t>
      </w:r>
      <w:r>
        <w:rPr>
          <w:rFonts w:ascii="仿宋_GB2312" w:hAnsi="宋体" w:cs="宋体" w:hint="eastAsia"/>
          <w:bCs/>
          <w:kern w:val="0"/>
          <w:szCs w:val="24"/>
        </w:rPr>
        <w:t>期，</w:t>
      </w:r>
      <w:r>
        <w:rPr>
          <w:rFonts w:ascii="仿宋_GB2312" w:hAnsi="宋体" w:hint="eastAsia"/>
          <w:kern w:val="0"/>
          <w:szCs w:val="24"/>
        </w:rPr>
        <w:t>将在理财</w:t>
      </w:r>
      <w:r>
        <w:rPr>
          <w:rFonts w:ascii="仿宋_GB2312" w:hAnsi="宋体"/>
          <w:kern w:val="0"/>
          <w:szCs w:val="24"/>
        </w:rPr>
        <w:t>产品</w:t>
      </w:r>
      <w:r>
        <w:rPr>
          <w:rFonts w:ascii="仿宋_GB2312" w:hAnsi="宋体" w:hint="eastAsia"/>
          <w:kern w:val="0"/>
          <w:szCs w:val="24"/>
        </w:rPr>
        <w:t>原定成立日前</w:t>
      </w:r>
      <w:r>
        <w:rPr>
          <w:rFonts w:ascii="仿宋_GB2312" w:hAnsi="宋体" w:cs="宋体" w:hint="eastAsia"/>
          <w:bCs/>
          <w:kern w:val="0"/>
          <w:szCs w:val="24"/>
        </w:rPr>
        <w:t>通过本产品说明书约定</w:t>
      </w:r>
      <w:r>
        <w:rPr>
          <w:rFonts w:ascii="仿宋_GB2312" w:hAnsi="宋体" w:cs="宋体"/>
          <w:bCs/>
          <w:kern w:val="0"/>
          <w:szCs w:val="24"/>
        </w:rPr>
        <w:t>方式</w:t>
      </w:r>
      <w:r>
        <w:rPr>
          <w:rFonts w:ascii="仿宋_GB2312" w:hAnsi="宋体" w:hint="eastAsia"/>
          <w:kern w:val="0"/>
          <w:szCs w:val="24"/>
        </w:rPr>
        <w:t>发布募集期延长公告。</w:t>
      </w:r>
    </w:p>
    <w:p w14:paraId="0DEF096B" w14:textId="77777777" w:rsidR="00A2049A" w:rsidRDefault="0029186B">
      <w:pPr>
        <w:widowControl/>
        <w:tabs>
          <w:tab w:val="left" w:pos="709"/>
        </w:tabs>
        <w:snapToGrid w:val="0"/>
        <w:spacing w:line="360" w:lineRule="auto"/>
        <w:ind w:firstLineChars="200" w:firstLine="480"/>
        <w:rPr>
          <w:rFonts w:ascii="仿宋_GB2312" w:hAnsi="宋体"/>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w:t>
      </w:r>
      <w:r>
        <w:rPr>
          <w:rFonts w:ascii="仿宋_GB2312" w:hAnsi="宋体" w:hint="eastAsia"/>
          <w:kern w:val="0"/>
          <w:szCs w:val="24"/>
        </w:rPr>
        <w:t>调整产品募集规模：</w:t>
      </w:r>
      <w:r>
        <w:rPr>
          <w:rFonts w:ascii="仿宋_GB2312" w:hAnsi="宋体" w:cs="宋体" w:hint="eastAsia"/>
          <w:bCs/>
          <w:kern w:val="0"/>
          <w:szCs w:val="24"/>
        </w:rPr>
        <w:t>管理人决定调整产品募集规模，</w:t>
      </w:r>
      <w:r>
        <w:rPr>
          <w:rFonts w:ascii="仿宋_GB2312" w:hAnsi="宋体" w:hint="eastAsia"/>
          <w:kern w:val="0"/>
          <w:szCs w:val="24"/>
        </w:rPr>
        <w:t>将及时通过</w:t>
      </w:r>
      <w:r>
        <w:rPr>
          <w:rFonts w:ascii="仿宋_GB2312" w:hAnsi="宋体" w:cs="宋体" w:hint="eastAsia"/>
          <w:bCs/>
          <w:kern w:val="0"/>
          <w:szCs w:val="24"/>
        </w:rPr>
        <w:t>本产品说明书约定</w:t>
      </w:r>
      <w:r>
        <w:rPr>
          <w:rFonts w:ascii="仿宋_GB2312" w:hAnsi="宋体" w:cs="宋体"/>
          <w:bCs/>
          <w:kern w:val="0"/>
          <w:szCs w:val="24"/>
        </w:rPr>
        <w:t>方式</w:t>
      </w:r>
      <w:r>
        <w:rPr>
          <w:rFonts w:ascii="仿宋_GB2312" w:hAnsi="宋体" w:hint="eastAsia"/>
          <w:kern w:val="0"/>
          <w:szCs w:val="24"/>
        </w:rPr>
        <w:t>发布产品募集规模调整公告。</w:t>
      </w:r>
    </w:p>
    <w:p w14:paraId="7A354C1B" w14:textId="77777777" w:rsidR="00A2049A" w:rsidRDefault="0029186B">
      <w:pPr>
        <w:widowControl/>
        <w:jc w:val="left"/>
        <w:rPr>
          <w:rFonts w:ascii="仿宋_GB2312" w:hAnsi="宋体"/>
          <w:kern w:val="0"/>
          <w:szCs w:val="24"/>
        </w:rPr>
      </w:pPr>
      <w:r>
        <w:rPr>
          <w:rFonts w:ascii="仿宋_GB2312" w:hAnsi="宋体"/>
          <w:kern w:val="0"/>
          <w:szCs w:val="24"/>
        </w:rPr>
        <w:br w:type="page"/>
      </w:r>
    </w:p>
    <w:p w14:paraId="54408CDB" w14:textId="77777777" w:rsidR="00A2049A" w:rsidRDefault="0029186B">
      <w:pPr>
        <w:pStyle w:val="1"/>
        <w:rPr>
          <w:rFonts w:ascii="仿宋_GB2312" w:hAnsi="宋体"/>
          <w:kern w:val="0"/>
          <w:szCs w:val="24"/>
        </w:rPr>
      </w:pPr>
      <w:r>
        <w:rPr>
          <w:rFonts w:hint="eastAsia"/>
        </w:rPr>
        <w:lastRenderedPageBreak/>
        <w:t>理财产品的申购与赎回</w:t>
      </w:r>
    </w:p>
    <w:p w14:paraId="4B98D1B7" w14:textId="77777777" w:rsidR="00A2049A" w:rsidRDefault="0029186B">
      <w:r>
        <w:rPr>
          <w:rFonts w:ascii="仿宋_GB2312" w:hAnsi="宋体" w:cs="宋体" w:hint="eastAsia"/>
          <w:bCs/>
          <w:kern w:val="0"/>
          <w:szCs w:val="24"/>
        </w:rPr>
        <w:t>本理财产品为封闭式</w:t>
      </w:r>
      <w:r>
        <w:rPr>
          <w:rFonts w:ascii="仿宋_GB2312" w:hAnsi="宋体" w:cs="宋体"/>
          <w:bCs/>
          <w:kern w:val="0"/>
          <w:szCs w:val="24"/>
        </w:rPr>
        <w:t>产品，</w:t>
      </w:r>
      <w:r>
        <w:rPr>
          <w:rFonts w:ascii="仿宋_GB2312" w:hAnsi="宋体" w:cs="宋体" w:hint="eastAsia"/>
          <w:bCs/>
          <w:kern w:val="0"/>
          <w:szCs w:val="24"/>
        </w:rPr>
        <w:t>产品存续期不设置</w:t>
      </w:r>
      <w:r>
        <w:rPr>
          <w:rFonts w:ascii="仿宋_GB2312" w:hAnsi="宋体" w:cs="宋体"/>
          <w:bCs/>
          <w:kern w:val="0"/>
          <w:szCs w:val="24"/>
        </w:rPr>
        <w:t>申购与赎回。</w:t>
      </w:r>
      <w:r>
        <w:br w:type="page"/>
      </w:r>
    </w:p>
    <w:p w14:paraId="5FF3CA9B" w14:textId="77777777" w:rsidR="00A2049A" w:rsidRDefault="0029186B">
      <w:pPr>
        <w:pStyle w:val="1"/>
      </w:pPr>
      <w:r>
        <w:rPr>
          <w:rFonts w:hint="eastAsia"/>
        </w:rPr>
        <w:lastRenderedPageBreak/>
        <w:t>理财产品的投资</w:t>
      </w:r>
    </w:p>
    <w:p w14:paraId="6A385092" w14:textId="77777777" w:rsidR="00A2049A" w:rsidRDefault="0029186B">
      <w:pPr>
        <w:pStyle w:val="2"/>
        <w:ind w:firstLine="482"/>
        <w:rPr>
          <w:rFonts w:ascii="楷体_GB2312" w:eastAsia="楷体_GB2312" w:hAnsi="宋体" w:cs="宋体"/>
          <w:bCs/>
          <w:kern w:val="0"/>
          <w:szCs w:val="24"/>
        </w:rPr>
      </w:pPr>
      <w:r>
        <w:rPr>
          <w:rFonts w:ascii="楷体_GB2312" w:eastAsia="楷体_GB2312" w:hAnsi="宋体" w:cs="宋体" w:hint="eastAsia"/>
          <w:bCs/>
          <w:kern w:val="0"/>
          <w:szCs w:val="24"/>
        </w:rPr>
        <w:t>投资范围</w:t>
      </w:r>
    </w:p>
    <w:p w14:paraId="138D9785" w14:textId="77777777" w:rsidR="00A2049A" w:rsidRDefault="0029186B">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理财产品投资于境内外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非标准化债权等债权类资产，优先股、上市公司股票、公募</w:t>
      </w:r>
      <w:r>
        <w:rPr>
          <w:rFonts w:ascii="仿宋_GB2312" w:hAnsi="宋体" w:cs="宋体" w:hint="eastAsia"/>
          <w:bCs/>
          <w:kern w:val="0"/>
          <w:szCs w:val="24"/>
        </w:rPr>
        <w:t>REITs</w:t>
      </w:r>
      <w:r>
        <w:rPr>
          <w:rFonts w:ascii="仿宋_GB2312" w:hAnsi="宋体" w:cs="宋体" w:hint="eastAsia"/>
          <w:bCs/>
          <w:kern w:val="0"/>
          <w:szCs w:val="24"/>
        </w:rPr>
        <w:t>、交易型开放式指数基金（</w:t>
      </w:r>
      <w:r>
        <w:rPr>
          <w:rFonts w:ascii="仿宋_GB2312" w:hAnsi="宋体" w:cs="宋体" w:hint="eastAsia"/>
          <w:bCs/>
          <w:kern w:val="0"/>
          <w:szCs w:val="24"/>
        </w:rPr>
        <w:t>ETF</w:t>
      </w:r>
      <w:r>
        <w:rPr>
          <w:rFonts w:ascii="仿宋_GB2312" w:hAnsi="宋体" w:cs="宋体" w:hint="eastAsia"/>
          <w:bCs/>
          <w:kern w:val="0"/>
          <w:szCs w:val="24"/>
        </w:rPr>
        <w:t>）、上市型开放式基金（</w:t>
      </w:r>
      <w:r>
        <w:rPr>
          <w:rFonts w:ascii="仿宋_GB2312" w:hAnsi="宋体" w:cs="宋体" w:hint="eastAsia"/>
          <w:bCs/>
          <w:kern w:val="0"/>
          <w:szCs w:val="24"/>
        </w:rPr>
        <w:t>LOF</w:t>
      </w:r>
      <w:r>
        <w:rPr>
          <w:rFonts w:ascii="仿宋_GB2312" w:hAnsi="宋体" w:cs="宋体" w:hint="eastAsia"/>
          <w:bCs/>
          <w:kern w:val="0"/>
          <w:szCs w:val="24"/>
        </w:rPr>
        <w:t>）等权益类资产，远期、国债期货、股指期货、商品期货、收益互换、利率互换、期权、债券借贷、结构性存款等商品和金融衍生品类资产，主要投</w:t>
      </w:r>
      <w:r>
        <w:rPr>
          <w:rFonts w:ascii="仿宋_GB2312" w:hAnsi="宋体" w:cs="宋体" w:hint="eastAsia"/>
          <w:bCs/>
          <w:kern w:val="0"/>
          <w:szCs w:val="24"/>
        </w:rPr>
        <w:t>向上述资产类别且符合监管机构要求的公募证券投资基金、信托计划、资产管理计划等资产管理产品以及国务院银行业监督管理机构认可的其他资产。</w:t>
      </w:r>
    </w:p>
    <w:p w14:paraId="1C9C9B04" w14:textId="77777777" w:rsidR="00A2049A" w:rsidRDefault="0029186B">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bCs/>
          <w:kern w:val="0"/>
          <w:szCs w:val="24"/>
        </w:rPr>
        <w:t>本理财产品在投资于境外资产之前，管理人应获得相应的业务经营范围或投资交易资格。</w:t>
      </w:r>
    </w:p>
    <w:p w14:paraId="26714C7C" w14:textId="77777777" w:rsidR="00A2049A" w:rsidRDefault="0029186B">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本理财</w:t>
      </w:r>
      <w:r>
        <w:rPr>
          <w:rFonts w:ascii="仿宋_GB2312" w:hAnsi="宋体" w:cs="宋体"/>
          <w:bCs/>
          <w:kern w:val="0"/>
          <w:szCs w:val="24"/>
        </w:rPr>
        <w:t>产品在投资</w:t>
      </w:r>
      <w:r>
        <w:rPr>
          <w:rFonts w:ascii="仿宋_GB2312" w:hAnsi="宋体" w:cs="宋体" w:hint="eastAsia"/>
          <w:bCs/>
          <w:kern w:val="0"/>
          <w:szCs w:val="24"/>
        </w:rPr>
        <w:t>于</w:t>
      </w:r>
      <w:r>
        <w:rPr>
          <w:rFonts w:ascii="仿宋_GB2312" w:hAnsi="宋体" w:cs="宋体"/>
          <w:bCs/>
          <w:kern w:val="0"/>
          <w:szCs w:val="24"/>
        </w:rPr>
        <w:t>商品及金融衍生品类资产之前，管理人应获得相应的业务经营范围或投资交易资格。</w:t>
      </w:r>
    </w:p>
    <w:p w14:paraId="1AFD18C0" w14:textId="77777777" w:rsidR="00A2049A" w:rsidRDefault="0029186B">
      <w:pPr>
        <w:tabs>
          <w:tab w:val="left" w:pos="3119"/>
        </w:tabs>
        <w:autoSpaceDE w:val="0"/>
        <w:autoSpaceDN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本理财产品投资的资产范围须完全符合法律法规或监管规定，如因法律法规或监管规定的变更、修订或更新导致本理财产品投资某类资产受到限制或禁止的，该类资产将被视为从上述资产范围中自动剔除。</w:t>
      </w:r>
    </w:p>
    <w:p w14:paraId="40AF7BA2" w14:textId="77777777" w:rsidR="00A2049A" w:rsidRDefault="0029186B">
      <w:pPr>
        <w:pStyle w:val="2"/>
        <w:ind w:firstLine="482"/>
      </w:pPr>
      <w:r>
        <w:rPr>
          <w:rFonts w:hint="eastAsia"/>
        </w:rPr>
        <w:t>投资比例</w:t>
      </w:r>
    </w:p>
    <w:p w14:paraId="59DD7686"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本产品各投资资产占比如下：</w:t>
      </w:r>
    </w:p>
    <w:tbl>
      <w:tblPr>
        <w:tblStyle w:val="ac"/>
        <w:tblW w:w="0" w:type="auto"/>
        <w:tblInd w:w="2577" w:type="dxa"/>
        <w:tblLook w:val="04A0" w:firstRow="1" w:lastRow="0" w:firstColumn="1" w:lastColumn="0" w:noHBand="0" w:noVBand="1"/>
      </w:tblPr>
      <w:tblGrid>
        <w:gridCol w:w="4219"/>
        <w:gridCol w:w="1456"/>
      </w:tblGrid>
      <w:tr w:rsidR="00A2049A" w14:paraId="7B9D463F" w14:textId="77777777">
        <w:tc>
          <w:tcPr>
            <w:tcW w:w="4219" w:type="dxa"/>
          </w:tcPr>
          <w:p w14:paraId="0ECB8ADF" w14:textId="77777777" w:rsidR="00A2049A" w:rsidRDefault="0029186B">
            <w:pPr>
              <w:widowControl/>
              <w:spacing w:line="360" w:lineRule="auto"/>
              <w:jc w:val="center"/>
              <w:rPr>
                <w:rFonts w:ascii="仿宋_GB2312" w:hAnsi="宋体" w:cs="宋体"/>
                <w:bCs/>
                <w:kern w:val="0"/>
                <w:szCs w:val="24"/>
              </w:rPr>
            </w:pPr>
            <w:r>
              <w:rPr>
                <w:rFonts w:ascii="仿宋_GB2312" w:hAnsi="宋体" w:cs="宋体" w:hint="eastAsia"/>
                <w:bCs/>
                <w:kern w:val="0"/>
                <w:szCs w:val="24"/>
              </w:rPr>
              <w:t>投资资产</w:t>
            </w:r>
          </w:p>
        </w:tc>
        <w:tc>
          <w:tcPr>
            <w:tcW w:w="1456" w:type="dxa"/>
          </w:tcPr>
          <w:p w14:paraId="48F2F04F" w14:textId="77777777" w:rsidR="00A2049A" w:rsidRDefault="0029186B">
            <w:pPr>
              <w:widowControl/>
              <w:spacing w:line="360" w:lineRule="auto"/>
              <w:jc w:val="center"/>
              <w:rPr>
                <w:rFonts w:ascii="仿宋_GB2312" w:hAnsi="宋体" w:cs="宋体"/>
                <w:bCs/>
                <w:kern w:val="0"/>
                <w:szCs w:val="24"/>
              </w:rPr>
            </w:pPr>
            <w:r>
              <w:rPr>
                <w:rFonts w:ascii="仿宋_GB2312" w:hAnsi="宋体" w:cs="宋体" w:hint="eastAsia"/>
                <w:bCs/>
                <w:kern w:val="0"/>
                <w:szCs w:val="24"/>
              </w:rPr>
              <w:t>投资比例</w:t>
            </w:r>
          </w:p>
        </w:tc>
      </w:tr>
      <w:tr w:rsidR="00A2049A" w14:paraId="637A8C70" w14:textId="77777777">
        <w:tc>
          <w:tcPr>
            <w:tcW w:w="4219" w:type="dxa"/>
          </w:tcPr>
          <w:p w14:paraId="32919966" w14:textId="77777777" w:rsidR="00A2049A" w:rsidRDefault="0029186B">
            <w:pPr>
              <w:widowControl/>
              <w:spacing w:line="360" w:lineRule="auto"/>
              <w:jc w:val="center"/>
              <w:rPr>
                <w:rFonts w:ascii="仿宋_GB2312" w:hAnsi="宋体" w:cs="宋体"/>
                <w:bCs/>
                <w:kern w:val="0"/>
                <w:szCs w:val="24"/>
              </w:rPr>
            </w:pPr>
            <w:r>
              <w:rPr>
                <w:rFonts w:ascii="仿宋_GB2312" w:hAnsi="宋体" w:cs="宋体" w:hint="eastAsia"/>
                <w:bCs/>
                <w:kern w:val="0"/>
                <w:szCs w:val="24"/>
              </w:rPr>
              <w:t>债权类资产</w:t>
            </w:r>
          </w:p>
        </w:tc>
        <w:tc>
          <w:tcPr>
            <w:tcW w:w="1456" w:type="dxa"/>
          </w:tcPr>
          <w:p w14:paraId="48779E06" w14:textId="77777777" w:rsidR="00A2049A" w:rsidRDefault="0029186B">
            <w:pPr>
              <w:widowControl/>
              <w:spacing w:line="360" w:lineRule="auto"/>
              <w:jc w:val="center"/>
              <w:rPr>
                <w:rFonts w:ascii="仿宋_GB2312" w:hAnsi="宋体" w:cs="宋体"/>
                <w:bCs/>
                <w:kern w:val="0"/>
                <w:szCs w:val="24"/>
              </w:rPr>
            </w:pPr>
            <w:r>
              <w:rPr>
                <w:rFonts w:ascii="仿宋_GB2312" w:hAnsi="宋体" w:cs="宋体" w:hint="eastAsia"/>
                <w:bCs/>
                <w:kern w:val="0"/>
                <w:szCs w:val="24"/>
              </w:rPr>
              <w:t>80%-100%</w:t>
            </w:r>
          </w:p>
        </w:tc>
      </w:tr>
      <w:tr w:rsidR="00A2049A" w14:paraId="330D0092" w14:textId="77777777">
        <w:tc>
          <w:tcPr>
            <w:tcW w:w="4219" w:type="dxa"/>
          </w:tcPr>
          <w:p w14:paraId="24751A6F" w14:textId="77777777" w:rsidR="00A2049A" w:rsidRDefault="0029186B">
            <w:pPr>
              <w:widowControl/>
              <w:spacing w:line="360" w:lineRule="auto"/>
              <w:jc w:val="center"/>
              <w:rPr>
                <w:rFonts w:ascii="仿宋_GB2312" w:hAnsi="宋体" w:cs="宋体"/>
                <w:bCs/>
                <w:kern w:val="0"/>
                <w:szCs w:val="24"/>
              </w:rPr>
            </w:pPr>
            <w:r>
              <w:rPr>
                <w:rFonts w:ascii="仿宋_GB2312" w:hAnsi="宋体" w:cs="宋体" w:hint="eastAsia"/>
                <w:bCs/>
                <w:kern w:val="0"/>
                <w:szCs w:val="24"/>
              </w:rPr>
              <w:t>权益类资产、商品及金融衍生品类资产</w:t>
            </w:r>
          </w:p>
        </w:tc>
        <w:tc>
          <w:tcPr>
            <w:tcW w:w="1456" w:type="dxa"/>
          </w:tcPr>
          <w:p w14:paraId="5E3DAA00" w14:textId="77777777" w:rsidR="00A2049A" w:rsidRDefault="0029186B">
            <w:pPr>
              <w:widowControl/>
              <w:spacing w:line="360" w:lineRule="auto"/>
              <w:jc w:val="center"/>
              <w:rPr>
                <w:rFonts w:ascii="仿宋_GB2312" w:hAnsi="宋体" w:cs="宋体"/>
                <w:bCs/>
                <w:kern w:val="0"/>
                <w:szCs w:val="24"/>
              </w:rPr>
            </w:pPr>
            <w:bookmarkStart w:id="0" w:name="_GoBack"/>
            <w:r>
              <w:rPr>
                <w:rFonts w:ascii="仿宋_GB2312" w:hAnsi="宋体" w:cs="宋体" w:hint="eastAsia"/>
                <w:bCs/>
                <w:kern w:val="0"/>
                <w:szCs w:val="24"/>
              </w:rPr>
              <w:t>0-20%</w:t>
            </w:r>
            <w:bookmarkEnd w:id="0"/>
          </w:p>
        </w:tc>
      </w:tr>
    </w:tbl>
    <w:p w14:paraId="01CF308C" w14:textId="77777777" w:rsidR="00A2049A" w:rsidRDefault="00A2049A">
      <w:pPr>
        <w:widowControl/>
        <w:spacing w:line="360" w:lineRule="auto"/>
        <w:jc w:val="left"/>
        <w:rPr>
          <w:rFonts w:ascii="仿宋_GB2312" w:hAnsi="宋体" w:cs="宋体"/>
          <w:bCs/>
          <w:kern w:val="0"/>
          <w:szCs w:val="24"/>
        </w:rPr>
      </w:pPr>
    </w:p>
    <w:p w14:paraId="781D8AC8" w14:textId="77777777" w:rsidR="00A2049A" w:rsidRDefault="0029186B">
      <w:pPr>
        <w:widowControl/>
        <w:spacing w:line="360" w:lineRule="auto"/>
        <w:jc w:val="left"/>
        <w:rPr>
          <w:rFonts w:ascii="仿宋_GB2312" w:hAnsi="宋体" w:cs="宋体"/>
          <w:bCs/>
          <w:kern w:val="0"/>
          <w:szCs w:val="24"/>
        </w:rPr>
      </w:pPr>
      <w:r>
        <w:rPr>
          <w:rFonts w:ascii="仿宋_GB2312" w:hAnsi="宋体" w:cs="宋体" w:hint="eastAsia"/>
          <w:bCs/>
          <w:kern w:val="0"/>
          <w:szCs w:val="24"/>
        </w:rPr>
        <w:t xml:space="preserve"> </w:t>
      </w:r>
      <w:r>
        <w:rPr>
          <w:rFonts w:ascii="仿宋_GB2312" w:hAnsi="宋体" w:cs="宋体"/>
          <w:bCs/>
          <w:kern w:val="0"/>
          <w:szCs w:val="24"/>
        </w:rPr>
        <w:t xml:space="preserve">   </w:t>
      </w:r>
      <w:r>
        <w:rPr>
          <w:rFonts w:ascii="仿宋_GB2312" w:hAnsi="宋体" w:cs="宋体" w:hint="eastAsia"/>
          <w:bCs/>
          <w:kern w:val="0"/>
          <w:szCs w:val="24"/>
        </w:rPr>
        <w:t>管理人将在产品成立后一个月内使资产配置比例符合上述规定。</w:t>
      </w:r>
    </w:p>
    <w:p w14:paraId="63FE8853" w14:textId="77777777" w:rsidR="00A2049A" w:rsidRDefault="0029186B">
      <w:pPr>
        <w:tabs>
          <w:tab w:val="left" w:pos="3119"/>
        </w:tabs>
        <w:autoSpaceDE w:val="0"/>
        <w:autoSpaceDN w:val="0"/>
        <w:adjustRightInd w:val="0"/>
        <w:snapToGrid w:val="0"/>
        <w:spacing w:line="360" w:lineRule="auto"/>
        <w:ind w:rightChars="15" w:right="36" w:firstLineChars="200" w:firstLine="480"/>
        <w:jc w:val="left"/>
        <w:rPr>
          <w:rFonts w:ascii="仿宋_GB2312" w:hAnsi="宋体" w:cs="宋体"/>
          <w:bCs/>
          <w:kern w:val="0"/>
          <w:szCs w:val="24"/>
        </w:rPr>
      </w:pPr>
      <w:r>
        <w:rPr>
          <w:rFonts w:ascii="仿宋_GB2312" w:hAnsi="宋体" w:cs="宋体" w:hint="eastAsia"/>
          <w:bCs/>
          <w:kern w:val="0"/>
          <w:szCs w:val="24"/>
        </w:rPr>
        <w:t>本产品投资于非标准化债权资产小于产品资产净值的【</w:t>
      </w:r>
      <w:r>
        <w:rPr>
          <w:rFonts w:ascii="仿宋_GB2312" w:hAnsi="宋体" w:cs="宋体" w:hint="eastAsia"/>
          <w:bCs/>
          <w:kern w:val="0"/>
          <w:szCs w:val="24"/>
        </w:rPr>
        <w:t>50</w:t>
      </w:r>
      <w:r>
        <w:rPr>
          <w:rFonts w:ascii="仿宋_GB2312" w:hAnsi="宋体" w:cs="宋体" w:hint="eastAsia"/>
          <w:bCs/>
          <w:kern w:val="0"/>
          <w:szCs w:val="24"/>
        </w:rPr>
        <w:t>】</w:t>
      </w:r>
      <w:r>
        <w:rPr>
          <w:rFonts w:ascii="仿宋_GB2312" w:hAnsi="宋体" w:cs="宋体"/>
          <w:bCs/>
          <w:kern w:val="0"/>
          <w:szCs w:val="24"/>
        </w:rPr>
        <w:t>%</w:t>
      </w:r>
      <w:r>
        <w:rPr>
          <w:rFonts w:ascii="仿宋_GB2312" w:hAnsi="宋体" w:cs="宋体" w:hint="eastAsia"/>
          <w:bCs/>
          <w:kern w:val="0"/>
          <w:szCs w:val="24"/>
        </w:rPr>
        <w:t>，非标准化债权资产的到期日不得晚于本产品的到期日。</w:t>
      </w:r>
    </w:p>
    <w:p w14:paraId="170EB528"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相关法律法规和监管部门对以上投资范围和配置比例有另行规定的，按照监管最新规定执行。如监管对投资比例无其他明确规定和要求的，由产品管理人与托管人协商确定计算方法。本产品存续期内非</w:t>
      </w:r>
      <w:r>
        <w:rPr>
          <w:rFonts w:ascii="仿宋_GB2312" w:hAnsi="宋体" w:cs="宋体"/>
          <w:bCs/>
          <w:kern w:val="0"/>
          <w:szCs w:val="24"/>
        </w:rPr>
        <w:t>因</w:t>
      </w:r>
      <w:r>
        <w:rPr>
          <w:rFonts w:ascii="仿宋_GB2312" w:hAnsi="宋体" w:cs="宋体" w:hint="eastAsia"/>
          <w:bCs/>
          <w:kern w:val="0"/>
          <w:szCs w:val="24"/>
        </w:rPr>
        <w:t>产品</w:t>
      </w:r>
      <w:r>
        <w:rPr>
          <w:rFonts w:ascii="仿宋_GB2312" w:hAnsi="宋体" w:cs="宋体"/>
          <w:bCs/>
          <w:kern w:val="0"/>
          <w:szCs w:val="24"/>
        </w:rPr>
        <w:t>管理人主</w:t>
      </w:r>
      <w:r>
        <w:rPr>
          <w:rFonts w:ascii="仿宋_GB2312" w:hAnsi="宋体" w:cs="宋体" w:hint="eastAsia"/>
          <w:bCs/>
          <w:kern w:val="0"/>
          <w:szCs w:val="24"/>
        </w:rPr>
        <w:t>观</w:t>
      </w:r>
      <w:r>
        <w:rPr>
          <w:rFonts w:ascii="仿宋_GB2312" w:hAnsi="宋体" w:cs="宋体"/>
          <w:bCs/>
          <w:kern w:val="0"/>
          <w:szCs w:val="24"/>
        </w:rPr>
        <w:t>因素</w:t>
      </w:r>
      <w:r>
        <w:rPr>
          <w:rFonts w:ascii="仿宋_GB2312" w:hAnsi="宋体" w:cs="宋体" w:hint="eastAsia"/>
          <w:bCs/>
          <w:kern w:val="0"/>
          <w:szCs w:val="24"/>
        </w:rPr>
        <w:t>导致产品投资突破上述比例限制，管理人将尽合理努力，在流动性受限资</w:t>
      </w:r>
      <w:r>
        <w:rPr>
          <w:rFonts w:ascii="仿宋_GB2312" w:hAnsi="宋体" w:cs="宋体" w:hint="eastAsia"/>
          <w:bCs/>
          <w:kern w:val="0"/>
          <w:szCs w:val="24"/>
        </w:rPr>
        <w:lastRenderedPageBreak/>
        <w:t>产可出售、可转让或者恢复交易的</w:t>
      </w:r>
      <w:r>
        <w:rPr>
          <w:rFonts w:ascii="仿宋_GB2312" w:hAnsi="宋体" w:cs="宋体" w:hint="eastAsia"/>
          <w:bCs/>
          <w:kern w:val="0"/>
          <w:szCs w:val="24"/>
        </w:rPr>
        <w:t>15</w:t>
      </w:r>
      <w:r>
        <w:rPr>
          <w:rFonts w:ascii="仿宋_GB2312" w:hAnsi="宋体" w:cs="宋体" w:hint="eastAsia"/>
          <w:bCs/>
          <w:kern w:val="0"/>
          <w:szCs w:val="24"/>
        </w:rPr>
        <w:t>个交易日内调整至规定区间。</w:t>
      </w:r>
    </w:p>
    <w:p w14:paraId="4A60192E" w14:textId="77777777" w:rsidR="00A2049A" w:rsidRDefault="0029186B">
      <w:pPr>
        <w:pStyle w:val="2"/>
        <w:ind w:firstLine="482"/>
        <w:rPr>
          <w:rFonts w:ascii="仿宋_GB2312" w:hAnsi="宋体" w:cs="宋体"/>
          <w:bCs/>
          <w:kern w:val="0"/>
          <w:szCs w:val="24"/>
        </w:rPr>
      </w:pPr>
      <w:r>
        <w:rPr>
          <w:rFonts w:hint="eastAsia"/>
        </w:rPr>
        <w:t>投资限制</w:t>
      </w:r>
    </w:p>
    <w:p w14:paraId="102C7CCE"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投资限制中列示的资产品种不代表管理人的实际投向，本理财计划投资范围以“投资范围”章节表述为准。</w:t>
      </w:r>
    </w:p>
    <w:p w14:paraId="705FC6A6"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．投资集中度限制</w:t>
      </w:r>
    </w:p>
    <w:p w14:paraId="1A7406D6"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）本理财计划持有单只证券或单只公募证券投资基金的市值不得超过该理财计划净资产的</w:t>
      </w:r>
      <w:r>
        <w:rPr>
          <w:rFonts w:ascii="仿宋_GB2312" w:hAnsi="宋体" w:cs="宋体" w:hint="eastAsia"/>
          <w:bCs/>
          <w:kern w:val="0"/>
          <w:szCs w:val="24"/>
        </w:rPr>
        <w:t>10%</w:t>
      </w:r>
      <w:r>
        <w:rPr>
          <w:rFonts w:ascii="仿宋_GB2312" w:hAnsi="宋体" w:cs="宋体" w:hint="eastAsia"/>
          <w:bCs/>
          <w:kern w:val="0"/>
          <w:szCs w:val="24"/>
        </w:rPr>
        <w:t>。</w:t>
      </w:r>
    </w:p>
    <w:p w14:paraId="0BCA62DA"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）管理人发行的全部公募理财计划持有单只证券或单只公募证券投资基金的市值，不得超过该证券市值或该公募证券投资基金市值的</w:t>
      </w:r>
      <w:r>
        <w:rPr>
          <w:rFonts w:ascii="仿宋_GB2312" w:hAnsi="宋体" w:cs="宋体" w:hint="eastAsia"/>
          <w:bCs/>
          <w:kern w:val="0"/>
          <w:szCs w:val="24"/>
        </w:rPr>
        <w:t>30%</w:t>
      </w:r>
      <w:r>
        <w:rPr>
          <w:rFonts w:ascii="仿宋_GB2312" w:hAnsi="宋体" w:cs="宋体" w:hint="eastAsia"/>
          <w:bCs/>
          <w:kern w:val="0"/>
          <w:szCs w:val="24"/>
        </w:rPr>
        <w:t>。</w:t>
      </w:r>
    </w:p>
    <w:p w14:paraId="12D3A057"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）管理人发行的全部理财计划持有单一</w:t>
      </w:r>
      <w:r>
        <w:rPr>
          <w:rFonts w:ascii="仿宋_GB2312" w:hAnsi="宋体" w:cs="宋体" w:hint="eastAsia"/>
          <w:bCs/>
          <w:kern w:val="0"/>
          <w:szCs w:val="24"/>
        </w:rPr>
        <w:t>上市公司发行的股票，不得超过该上市公司可流通股票的</w:t>
      </w:r>
      <w:r>
        <w:rPr>
          <w:rFonts w:ascii="仿宋_GB2312" w:hAnsi="宋体" w:cs="宋体" w:hint="eastAsia"/>
          <w:bCs/>
          <w:kern w:val="0"/>
          <w:szCs w:val="24"/>
        </w:rPr>
        <w:t>30%</w:t>
      </w:r>
      <w:r>
        <w:rPr>
          <w:rFonts w:ascii="仿宋_GB2312" w:hAnsi="宋体" w:cs="宋体" w:hint="eastAsia"/>
          <w:bCs/>
          <w:kern w:val="0"/>
          <w:szCs w:val="24"/>
        </w:rPr>
        <w:t>。</w:t>
      </w:r>
    </w:p>
    <w:p w14:paraId="25C234EA"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4</w:t>
      </w:r>
      <w:r>
        <w:rPr>
          <w:rFonts w:ascii="仿宋_GB2312" w:hAnsi="宋体" w:cs="宋体" w:hint="eastAsia"/>
          <w:bCs/>
          <w:kern w:val="0"/>
          <w:szCs w:val="24"/>
        </w:rPr>
        <w:t>）管理人发行的全部开放式公募理财计划投资单一上市公司发行的股票</w:t>
      </w:r>
      <w:r>
        <w:rPr>
          <w:rFonts w:ascii="仿宋_GB2312" w:hAnsi="宋体" w:cs="宋体" w:hint="eastAsia"/>
          <w:bCs/>
          <w:kern w:val="0"/>
          <w:szCs w:val="24"/>
        </w:rPr>
        <w:t>,</w:t>
      </w:r>
      <w:r>
        <w:rPr>
          <w:rFonts w:ascii="仿宋_GB2312" w:hAnsi="宋体" w:cs="宋体" w:hint="eastAsia"/>
          <w:bCs/>
          <w:kern w:val="0"/>
          <w:szCs w:val="24"/>
        </w:rPr>
        <w:t>不得超过该上市公司可流通股票的</w:t>
      </w:r>
      <w:r>
        <w:rPr>
          <w:rFonts w:ascii="仿宋_GB2312" w:hAnsi="宋体" w:cs="宋体" w:hint="eastAsia"/>
          <w:bCs/>
          <w:kern w:val="0"/>
          <w:szCs w:val="24"/>
        </w:rPr>
        <w:t>15%</w:t>
      </w:r>
      <w:r>
        <w:rPr>
          <w:rFonts w:ascii="仿宋_GB2312" w:hAnsi="宋体" w:cs="宋体" w:hint="eastAsia"/>
          <w:bCs/>
          <w:kern w:val="0"/>
          <w:szCs w:val="24"/>
        </w:rPr>
        <w:t>。国务院银行业监督管理机构另有规定的除外。</w:t>
      </w:r>
    </w:p>
    <w:p w14:paraId="37813A9C"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非因管理人主观因素导致突破前述比例限制的，管理人应当在流动性受限资产可出售、可转让或者恢复交易的</w:t>
      </w:r>
      <w:r>
        <w:rPr>
          <w:rFonts w:ascii="仿宋_GB2312" w:hAnsi="宋体" w:cs="宋体" w:hint="eastAsia"/>
          <w:bCs/>
          <w:kern w:val="0"/>
          <w:szCs w:val="24"/>
        </w:rPr>
        <w:t>10</w:t>
      </w:r>
      <w:r>
        <w:rPr>
          <w:rFonts w:ascii="仿宋_GB2312" w:hAnsi="宋体" w:cs="宋体" w:hint="eastAsia"/>
          <w:bCs/>
          <w:kern w:val="0"/>
          <w:szCs w:val="24"/>
        </w:rPr>
        <w:t>个交易日内调整至符合要求，国务院银行业监督管理机构规定的特殊情形除外。</w:t>
      </w:r>
    </w:p>
    <w:p w14:paraId="504CB677"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．投资期限限制</w:t>
      </w:r>
    </w:p>
    <w:p w14:paraId="1E350E50"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本理财计划投资的非标准化债权类资产到期日不得晚于理财计划最近一次开放日。</w:t>
      </w:r>
    </w:p>
    <w:p w14:paraId="46AE657E"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．投资杠杆率限制</w:t>
      </w:r>
    </w:p>
    <w:p w14:paraId="198878F3"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本理财计划的总资产不得超过净资产的【</w:t>
      </w:r>
      <w:r>
        <w:rPr>
          <w:rFonts w:ascii="仿宋_GB2312" w:hAnsi="宋体" w:cs="宋体" w:hint="eastAsia"/>
          <w:bCs/>
          <w:kern w:val="0"/>
          <w:szCs w:val="24"/>
        </w:rPr>
        <w:t>200</w:t>
      </w:r>
      <w:r>
        <w:rPr>
          <w:rFonts w:ascii="仿宋_GB2312" w:hAnsi="宋体" w:cs="宋体" w:hint="eastAsia"/>
          <w:bCs/>
          <w:kern w:val="0"/>
          <w:szCs w:val="24"/>
        </w:rPr>
        <w:t>%</w:t>
      </w:r>
      <w:r>
        <w:rPr>
          <w:rFonts w:ascii="仿宋_GB2312" w:hAnsi="宋体" w:cs="宋体" w:hint="eastAsia"/>
          <w:bCs/>
          <w:kern w:val="0"/>
          <w:szCs w:val="24"/>
        </w:rPr>
        <w:t>】。</w:t>
      </w:r>
    </w:p>
    <w:p w14:paraId="4A52F2F7"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．流动性限制</w:t>
      </w:r>
    </w:p>
    <w:p w14:paraId="65814B8A"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）本理财计划直接投资于流动性受限资产的市值在开放日不得超过该理财计划资产净值的</w:t>
      </w:r>
      <w:r>
        <w:rPr>
          <w:rFonts w:ascii="仿宋_GB2312" w:hAnsi="宋体" w:cs="宋体" w:hint="eastAsia"/>
          <w:bCs/>
          <w:kern w:val="0"/>
          <w:szCs w:val="24"/>
        </w:rPr>
        <w:t>15%</w:t>
      </w:r>
      <w:r>
        <w:rPr>
          <w:rFonts w:ascii="仿宋_GB2312" w:hAnsi="宋体" w:cs="宋体" w:hint="eastAsia"/>
          <w:bCs/>
          <w:kern w:val="0"/>
          <w:szCs w:val="24"/>
        </w:rPr>
        <w:t>。</w:t>
      </w:r>
    </w:p>
    <w:p w14:paraId="3654DFAA"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）本理财计划还应满足以下限制【</w:t>
      </w:r>
      <w:r>
        <w:rPr>
          <w:rFonts w:ascii="仿宋_GB2312" w:hAnsi="宋体" w:cs="宋体" w:hint="eastAsia"/>
          <w:bCs/>
          <w:kern w:val="0"/>
          <w:szCs w:val="24"/>
        </w:rPr>
        <w:t>c</w:t>
      </w:r>
      <w:r>
        <w:rPr>
          <w:rFonts w:ascii="仿宋_GB2312" w:hAnsi="宋体" w:cs="宋体" w:hint="eastAsia"/>
          <w:bCs/>
          <w:kern w:val="0"/>
          <w:szCs w:val="24"/>
        </w:rPr>
        <w:t>】</w:t>
      </w:r>
    </w:p>
    <w:p w14:paraId="11248F54"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 xml:space="preserve">a. </w:t>
      </w:r>
      <w:r>
        <w:rPr>
          <w:rFonts w:ascii="仿宋_GB2312" w:hAnsi="宋体" w:cs="宋体" w:hint="eastAsia"/>
          <w:bCs/>
          <w:kern w:val="0"/>
          <w:szCs w:val="24"/>
        </w:rPr>
        <w:t>本理财计划应当持有不低于该理财计划资产净值</w:t>
      </w:r>
      <w:r>
        <w:rPr>
          <w:rFonts w:ascii="仿宋_GB2312" w:hAnsi="宋体" w:cs="宋体" w:hint="eastAsia"/>
          <w:bCs/>
          <w:kern w:val="0"/>
          <w:szCs w:val="24"/>
        </w:rPr>
        <w:t>5%</w:t>
      </w:r>
      <w:r>
        <w:rPr>
          <w:rFonts w:ascii="仿宋_GB2312" w:hAnsi="宋体" w:cs="宋体" w:hint="eastAsia"/>
          <w:bCs/>
          <w:kern w:val="0"/>
          <w:szCs w:val="24"/>
        </w:rPr>
        <w:t>的现金或者到期日在一年以内的国债、中央银行票据和政策性金融债券。</w:t>
      </w:r>
    </w:p>
    <w:p w14:paraId="18FB4337"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 xml:space="preserve">b. </w:t>
      </w:r>
      <w:r>
        <w:rPr>
          <w:rFonts w:ascii="仿宋_GB2312" w:hAnsi="宋体" w:cs="宋体" w:hint="eastAsia"/>
          <w:bCs/>
          <w:kern w:val="0"/>
          <w:szCs w:val="24"/>
        </w:rPr>
        <w:t>本理财计划应当在开放日及开放日前</w:t>
      </w:r>
      <w:r>
        <w:rPr>
          <w:rFonts w:ascii="仿宋_GB2312" w:hAnsi="宋体" w:cs="宋体" w:hint="eastAsia"/>
          <w:bCs/>
          <w:kern w:val="0"/>
          <w:szCs w:val="24"/>
        </w:rPr>
        <w:t>7</w:t>
      </w:r>
      <w:r>
        <w:rPr>
          <w:rFonts w:ascii="仿宋_GB2312" w:hAnsi="宋体" w:cs="宋体" w:hint="eastAsia"/>
          <w:bCs/>
          <w:kern w:val="0"/>
          <w:szCs w:val="24"/>
        </w:rPr>
        <w:t>个工作日内持有不低于该理财计划资产净值</w:t>
      </w:r>
      <w:r>
        <w:rPr>
          <w:rFonts w:ascii="仿宋_GB2312" w:hAnsi="宋体" w:cs="宋体" w:hint="eastAsia"/>
          <w:bCs/>
          <w:kern w:val="0"/>
          <w:szCs w:val="24"/>
        </w:rPr>
        <w:t>5%</w:t>
      </w:r>
      <w:r>
        <w:rPr>
          <w:rFonts w:ascii="仿宋_GB2312" w:hAnsi="宋体" w:cs="宋体" w:hint="eastAsia"/>
          <w:bCs/>
          <w:kern w:val="0"/>
          <w:szCs w:val="24"/>
        </w:rPr>
        <w:t>的现金或者到期日在一年以内的国债、中央银行票据和政策性金融债券。</w:t>
      </w:r>
    </w:p>
    <w:p w14:paraId="6904C530" w14:textId="77777777" w:rsidR="00A2049A" w:rsidRDefault="0029186B">
      <w:pPr>
        <w:tabs>
          <w:tab w:val="left" w:pos="3119"/>
        </w:tabs>
        <w:autoSpaceDE w:val="0"/>
        <w:autoSpaceDN w:val="0"/>
        <w:adjustRightInd w:val="0"/>
        <w:spacing w:line="360" w:lineRule="auto"/>
        <w:ind w:rightChars="15" w:right="36" w:firstLineChars="200" w:firstLine="482"/>
        <w:contextualSpacing/>
        <w:rPr>
          <w:rFonts w:ascii="仿宋_GB2312" w:hAnsi="宋体" w:cs="宋体"/>
          <w:bCs/>
          <w:kern w:val="0"/>
          <w:szCs w:val="24"/>
        </w:rPr>
      </w:pPr>
      <w:r>
        <w:rPr>
          <w:rFonts w:ascii="仿宋_GB2312" w:hAnsi="宋体" w:cs="宋体" w:hint="eastAsia"/>
          <w:b/>
          <w:kern w:val="0"/>
          <w:szCs w:val="24"/>
        </w:rPr>
        <w:t xml:space="preserve">c. </w:t>
      </w:r>
      <w:r>
        <w:rPr>
          <w:rFonts w:ascii="仿宋_GB2312" w:hAnsi="宋体" w:cs="宋体" w:hint="eastAsia"/>
          <w:b/>
          <w:kern w:val="0"/>
          <w:szCs w:val="24"/>
        </w:rPr>
        <w:t>本理财计划投资不存在活跃交易市场，并且需要采用估值技术确定公允价值的资产比例可达到理财产品净资产</w:t>
      </w:r>
      <w:r>
        <w:rPr>
          <w:rFonts w:ascii="仿宋_GB2312" w:hAnsi="宋体" w:cs="宋体" w:hint="eastAsia"/>
          <w:b/>
          <w:kern w:val="0"/>
          <w:szCs w:val="24"/>
        </w:rPr>
        <w:t>50%</w:t>
      </w:r>
      <w:r>
        <w:rPr>
          <w:rFonts w:ascii="仿宋_GB2312" w:hAnsi="宋体" w:cs="宋体" w:hint="eastAsia"/>
          <w:b/>
          <w:kern w:val="0"/>
          <w:szCs w:val="24"/>
        </w:rPr>
        <w:t>以上。</w:t>
      </w:r>
      <w:r>
        <w:rPr>
          <w:rFonts w:ascii="仿宋_GB2312" w:hAnsi="宋体" w:cs="宋体" w:hint="eastAsia"/>
          <w:bCs/>
          <w:kern w:val="0"/>
          <w:szCs w:val="24"/>
        </w:rPr>
        <w:t xml:space="preserve">                   </w:t>
      </w:r>
    </w:p>
    <w:p w14:paraId="499E1672"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lastRenderedPageBreak/>
        <w:t>（</w:t>
      </w:r>
      <w:r>
        <w:rPr>
          <w:rFonts w:ascii="仿宋_GB2312" w:hAnsi="宋体" w:cs="宋体" w:hint="eastAsia"/>
          <w:bCs/>
          <w:kern w:val="0"/>
          <w:szCs w:val="24"/>
        </w:rPr>
        <w:t>3</w:t>
      </w:r>
      <w:r>
        <w:rPr>
          <w:rFonts w:ascii="仿宋_GB2312" w:hAnsi="宋体" w:cs="宋体" w:hint="eastAsia"/>
          <w:bCs/>
          <w:kern w:val="0"/>
          <w:szCs w:val="24"/>
        </w:rPr>
        <w:t>）在开放日前一工作日内，本理财计划</w:t>
      </w:r>
      <w:r>
        <w:rPr>
          <w:rFonts w:ascii="仿宋_GB2312" w:hAnsi="宋体" w:cs="宋体" w:hint="eastAsia"/>
          <w:bCs/>
          <w:kern w:val="0"/>
          <w:szCs w:val="24"/>
        </w:rPr>
        <w:t>7</w:t>
      </w:r>
      <w:r>
        <w:rPr>
          <w:rFonts w:ascii="仿宋_GB2312" w:hAnsi="宋体" w:cs="宋体" w:hint="eastAsia"/>
          <w:bCs/>
          <w:kern w:val="0"/>
          <w:szCs w:val="24"/>
        </w:rPr>
        <w:t>个工作日可变现资产的可变现价值应当不低于该理财计划资产净值的</w:t>
      </w:r>
      <w:r>
        <w:rPr>
          <w:rFonts w:ascii="仿宋_GB2312" w:hAnsi="宋体" w:cs="宋体" w:hint="eastAsia"/>
          <w:bCs/>
          <w:kern w:val="0"/>
          <w:szCs w:val="24"/>
        </w:rPr>
        <w:t>10%</w:t>
      </w:r>
      <w:r>
        <w:rPr>
          <w:rFonts w:ascii="仿宋_GB2312" w:hAnsi="宋体" w:cs="宋体" w:hint="eastAsia"/>
          <w:bCs/>
          <w:kern w:val="0"/>
          <w:szCs w:val="24"/>
        </w:rPr>
        <w:t>。</w:t>
      </w:r>
    </w:p>
    <w:p w14:paraId="388ECC5F"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．其他投资限制</w:t>
      </w:r>
    </w:p>
    <w:p w14:paraId="4F4D7958"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本理财计划不得直接投资于信贷资产，不得直接或间接投资于浙商银行信贷资产，不得直接或间接投资于浙商银行或其他银行业金融机构发行的理财产品，不得直接或间接投资于浙商银行发行的次级档信贷资产支持证券，不得直接或间接投资于未上市公司股权及其受（</w:t>
      </w:r>
      <w:r>
        <w:rPr>
          <w:rFonts w:ascii="仿宋_GB2312" w:hAnsi="宋体" w:cs="宋体" w:hint="eastAsia"/>
          <w:bCs/>
          <w:kern w:val="0"/>
          <w:szCs w:val="24"/>
        </w:rPr>
        <w:t>收）益权。</w:t>
      </w:r>
    </w:p>
    <w:p w14:paraId="3C2E59D8"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u w:val="single"/>
        </w:rPr>
      </w:pPr>
      <w:r>
        <w:rPr>
          <w:rFonts w:ascii="仿宋_GB2312" w:hAnsi="宋体" w:cs="宋体" w:hint="eastAsia"/>
          <w:bCs/>
          <w:kern w:val="0"/>
          <w:szCs w:val="24"/>
        </w:rPr>
        <w:t>以上限制，如监管有最新规定的，将参照监管规定调整。</w:t>
      </w:r>
    </w:p>
    <w:p w14:paraId="0C7488FC" w14:textId="77777777" w:rsidR="00A2049A" w:rsidRDefault="0029186B">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本产品存续期内非</w:t>
      </w:r>
      <w:r>
        <w:rPr>
          <w:rFonts w:ascii="仿宋_GB2312" w:hAnsi="宋体" w:cs="宋体"/>
          <w:bCs/>
          <w:kern w:val="0"/>
          <w:szCs w:val="24"/>
        </w:rPr>
        <w:t>因</w:t>
      </w:r>
      <w:r>
        <w:rPr>
          <w:rFonts w:ascii="仿宋_GB2312" w:hAnsi="宋体" w:cs="宋体" w:hint="eastAsia"/>
          <w:bCs/>
          <w:kern w:val="0"/>
          <w:szCs w:val="24"/>
        </w:rPr>
        <w:t>产品</w:t>
      </w:r>
      <w:r>
        <w:rPr>
          <w:rFonts w:ascii="仿宋_GB2312" w:hAnsi="宋体" w:cs="宋体"/>
          <w:bCs/>
          <w:kern w:val="0"/>
          <w:szCs w:val="24"/>
        </w:rPr>
        <w:t>管理人主</w:t>
      </w:r>
      <w:r>
        <w:rPr>
          <w:rFonts w:ascii="仿宋_GB2312" w:hAnsi="宋体" w:cs="宋体" w:hint="eastAsia"/>
          <w:bCs/>
          <w:kern w:val="0"/>
          <w:szCs w:val="24"/>
        </w:rPr>
        <w:t>观</w:t>
      </w:r>
      <w:r>
        <w:rPr>
          <w:rFonts w:ascii="仿宋_GB2312" w:hAnsi="宋体" w:cs="宋体"/>
          <w:bCs/>
          <w:kern w:val="0"/>
          <w:szCs w:val="24"/>
        </w:rPr>
        <w:t>因素</w:t>
      </w:r>
      <w:r>
        <w:rPr>
          <w:rFonts w:ascii="仿宋_GB2312" w:hAnsi="宋体" w:cs="宋体" w:hint="eastAsia"/>
          <w:bCs/>
          <w:kern w:val="0"/>
          <w:szCs w:val="24"/>
        </w:rPr>
        <w:t>导致产品投资突破上述限制的，管理人将尽合理努力，在</w:t>
      </w:r>
      <w:r>
        <w:rPr>
          <w:rFonts w:ascii="仿宋_GB2312" w:hAnsi="宋体" w:cs="宋体" w:hint="eastAsia"/>
          <w:bCs/>
          <w:kern w:val="0"/>
          <w:szCs w:val="24"/>
        </w:rPr>
        <w:t>15</w:t>
      </w:r>
      <w:r>
        <w:rPr>
          <w:rFonts w:ascii="仿宋_GB2312" w:hAnsi="宋体" w:cs="宋体" w:hint="eastAsia"/>
          <w:bCs/>
          <w:kern w:val="0"/>
          <w:szCs w:val="24"/>
        </w:rPr>
        <w:t>个交易日内调整至符合要求。</w:t>
      </w:r>
    </w:p>
    <w:p w14:paraId="7A680D29" w14:textId="77777777" w:rsidR="00A2049A" w:rsidRDefault="0029186B">
      <w:pPr>
        <w:pStyle w:val="2"/>
        <w:ind w:firstLine="482"/>
      </w:pPr>
      <w:r>
        <w:rPr>
          <w:rFonts w:hint="eastAsia"/>
        </w:rPr>
        <w:t>投资范围调整</w:t>
      </w:r>
    </w:p>
    <w:p w14:paraId="0C2BD0F0" w14:textId="77777777" w:rsidR="00A2049A" w:rsidRDefault="0029186B">
      <w:pPr>
        <w:tabs>
          <w:tab w:val="left" w:pos="3119"/>
        </w:tabs>
        <w:autoSpaceDE w:val="0"/>
        <w:autoSpaceDN w:val="0"/>
        <w:adjustRightInd w:val="0"/>
        <w:snapToGrid w:val="0"/>
        <w:spacing w:line="360" w:lineRule="auto"/>
        <w:ind w:rightChars="15" w:right="36" w:firstLineChars="200" w:firstLine="482"/>
        <w:rPr>
          <w:rFonts w:ascii="仿宋_GB2312" w:hAnsi="宋体" w:cs="宋体"/>
          <w:b/>
          <w:bCs/>
          <w:kern w:val="0"/>
          <w:szCs w:val="24"/>
        </w:rPr>
      </w:pPr>
      <w:r>
        <w:rPr>
          <w:rFonts w:ascii="仿宋_GB2312" w:hAnsi="宋体" w:cs="宋体" w:hint="eastAsia"/>
          <w:b/>
          <w:bCs/>
          <w:kern w:val="0"/>
          <w:szCs w:val="24"/>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ascii="仿宋_GB2312" w:hAnsi="宋体" w:cs="宋体" w:hint="eastAsia"/>
          <w:kern w:val="0"/>
          <w:szCs w:val="24"/>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法规以及金融监督管理部门规定的程序。</w:t>
      </w:r>
    </w:p>
    <w:p w14:paraId="61500DDC" w14:textId="77777777" w:rsidR="00A2049A" w:rsidRDefault="0029186B">
      <w:pPr>
        <w:pStyle w:val="2"/>
        <w:ind w:firstLine="482"/>
      </w:pPr>
      <w:r>
        <w:rPr>
          <w:rFonts w:hint="eastAsia"/>
        </w:rPr>
        <w:t>投资策略</w:t>
      </w:r>
    </w:p>
    <w:p w14:paraId="6C4D19CA"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本系列产品本着稳健投资的理念，通过对宏观经济的研究，在较低风险资产间进行合理配置，在有效控制信用风险的基础上尽可能提高投资组合收益。理财产品主要</w:t>
      </w:r>
      <w:r>
        <w:rPr>
          <w:rFonts w:ascii="仿宋_GB2312" w:hAnsi="宋体" w:cs="宋体" w:hint="eastAsia"/>
          <w:bCs/>
          <w:kern w:val="0"/>
          <w:szCs w:val="24"/>
        </w:rPr>
        <w:t>投资于各类银行存款、同业存单、回购等货币市场工具以及债券、非标准化债权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p>
    <w:p w14:paraId="7E5A9171"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本产品可在符合监管规定的前提下适当运用杠杆原理，通过回购操作，增强投资组合的收益水平</w:t>
      </w:r>
      <w:r>
        <w:rPr>
          <w:rFonts w:ascii="仿宋_GB2312" w:hAnsi="宋体" w:cs="宋体" w:hint="eastAsia"/>
          <w:bCs/>
          <w:kern w:val="0"/>
          <w:szCs w:val="24"/>
        </w:rPr>
        <w:t>,</w:t>
      </w:r>
      <w:r>
        <w:rPr>
          <w:rFonts w:ascii="仿宋_GB2312" w:hAnsi="宋体" w:cs="宋体" w:hint="eastAsia"/>
          <w:bCs/>
          <w:kern w:val="0"/>
          <w:szCs w:val="24"/>
        </w:rPr>
        <w:t>但本理财产品总资产不超过净资产的</w:t>
      </w:r>
      <w:r>
        <w:rPr>
          <w:rFonts w:ascii="仿宋_GB2312" w:hAnsi="宋体" w:cs="宋体" w:hint="eastAsia"/>
          <w:bCs/>
          <w:kern w:val="0"/>
          <w:szCs w:val="24"/>
        </w:rPr>
        <w:t>200%</w:t>
      </w:r>
      <w:r>
        <w:rPr>
          <w:rFonts w:ascii="仿宋_GB2312" w:hAnsi="宋体" w:cs="宋体" w:hint="eastAsia"/>
          <w:bCs/>
          <w:kern w:val="0"/>
          <w:szCs w:val="24"/>
        </w:rPr>
        <w:t>。</w:t>
      </w:r>
    </w:p>
    <w:p w14:paraId="08CFBAA1" w14:textId="77777777" w:rsidR="00A2049A" w:rsidRDefault="0029186B">
      <w:pPr>
        <w:pStyle w:val="2"/>
        <w:ind w:firstLine="482"/>
      </w:pPr>
      <w:r>
        <w:rPr>
          <w:rFonts w:hint="eastAsia"/>
        </w:rPr>
        <w:t>投资</w:t>
      </w:r>
      <w:r>
        <w:t>合作机构</w:t>
      </w:r>
    </w:p>
    <w:p w14:paraId="1D6D336A"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投资合作机构包括但不限于理财产品所投资资产管理产品的发行机构、根据合同约定从事理</w:t>
      </w:r>
      <w:r>
        <w:rPr>
          <w:rFonts w:ascii="仿宋_GB2312" w:hAnsi="宋体" w:cs="宋体" w:hint="eastAsia"/>
          <w:bCs/>
          <w:kern w:val="0"/>
          <w:szCs w:val="24"/>
        </w:rPr>
        <w:t>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14:paraId="34F30318"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lastRenderedPageBreak/>
        <w:t>本理财产品的投资合作机构均为具有专业资质并受国家金融监督管理总局监管的金融机构或国务院银行业监督管理机构认可的其他机构。本理财产品成立时暂无特定投资合作机构，具体以后续信息披露为准。</w:t>
      </w:r>
    </w:p>
    <w:p w14:paraId="371BA52C" w14:textId="77777777" w:rsidR="00A2049A" w:rsidRDefault="00A2049A">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p>
    <w:p w14:paraId="7FD0A258" w14:textId="77777777" w:rsidR="00A2049A" w:rsidRDefault="0029186B">
      <w:pPr>
        <w:pStyle w:val="1"/>
        <w:numPr>
          <w:ilvl w:val="0"/>
          <w:numId w:val="0"/>
        </w:numPr>
        <w:jc w:val="both"/>
      </w:pPr>
      <w:r>
        <w:rPr>
          <w:rFonts w:ascii="仿宋_GB2312" w:eastAsia="仿宋_GB2312" w:hAnsi="宋体" w:cs="宋体" w:hint="eastAsia"/>
          <w:bCs/>
          <w:kern w:val="0"/>
          <w:sz w:val="24"/>
          <w:szCs w:val="24"/>
        </w:rPr>
        <w:br w:type="page"/>
      </w:r>
    </w:p>
    <w:p w14:paraId="5CA192C7" w14:textId="77777777" w:rsidR="00A2049A" w:rsidRDefault="0029186B">
      <w:pPr>
        <w:pStyle w:val="1"/>
        <w:tabs>
          <w:tab w:val="clear" w:pos="0"/>
          <w:tab w:val="left" w:pos="3119"/>
        </w:tabs>
        <w:autoSpaceDE w:val="0"/>
        <w:autoSpaceDN w:val="0"/>
        <w:adjustRightInd w:val="0"/>
        <w:spacing w:before="240"/>
        <w:ind w:rightChars="15" w:right="36" w:firstLine="560"/>
        <w:contextualSpacing/>
      </w:pPr>
      <w:r>
        <w:rPr>
          <w:rFonts w:hint="eastAsia"/>
        </w:rPr>
        <w:lastRenderedPageBreak/>
        <w:t>理财产品的托管</w:t>
      </w:r>
    </w:p>
    <w:p w14:paraId="789C7206"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本理财</w:t>
      </w:r>
      <w:r>
        <w:rPr>
          <w:rFonts w:ascii="仿宋_GB2312" w:hAnsi="宋体" w:cs="宋体" w:hint="eastAsia"/>
          <w:bCs/>
          <w:kern w:val="0"/>
          <w:szCs w:val="24"/>
        </w:rPr>
        <w:t>产品托管人为</w:t>
      </w:r>
      <w:r>
        <w:rPr>
          <w:rFonts w:ascii="仿宋_GB2312" w:hAnsi="宋体" w:cs="宋体" w:hint="eastAsia"/>
          <w:bCs/>
          <w:kern w:val="0"/>
          <w:szCs w:val="24"/>
        </w:rPr>
        <w:t>浙商银行股份有限公司</w:t>
      </w:r>
      <w:r>
        <w:rPr>
          <w:rFonts w:ascii="仿宋_GB2312" w:hAnsi="宋体" w:cs="宋体" w:hint="eastAsia"/>
          <w:bCs/>
          <w:kern w:val="0"/>
          <w:szCs w:val="24"/>
        </w:rPr>
        <w:t>。托管人【是】产品管理人的关联方。</w:t>
      </w:r>
    </w:p>
    <w:p w14:paraId="099F890B"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浙商银行</w:t>
      </w:r>
      <w:r>
        <w:rPr>
          <w:rFonts w:ascii="仿宋_GB2312" w:hAnsi="宋体" w:cs="宋体" w:hint="eastAsia"/>
          <w:bCs/>
          <w:kern w:val="0"/>
          <w:szCs w:val="24"/>
        </w:rPr>
        <w:t>具备监管机</w:t>
      </w:r>
      <w:r>
        <w:rPr>
          <w:rFonts w:ascii="仿宋_GB2312" w:hAnsi="宋体" w:cs="宋体" w:hint="eastAsia"/>
          <w:bCs/>
          <w:kern w:val="0"/>
          <w:szCs w:val="24"/>
        </w:rPr>
        <w:t>构认可的理财产品托管资格，主要履行职责包括：</w:t>
      </w:r>
    </w:p>
    <w:p w14:paraId="49344A3D"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（一）安全保管理财产品财产；</w:t>
      </w:r>
    </w:p>
    <w:p w14:paraId="031083AC"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（二）确保托管资金安全，保证其托管的理财产品财产与其自有资产相互独立；为每只理财产品开设独立的托管账户，不同托管账户中的资产应当相互独立；</w:t>
      </w:r>
    </w:p>
    <w:p w14:paraId="5A5FF2F5"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（三）按照托管协议约定和管理人的投资指令，及时办理清算、交割事宜；</w:t>
      </w:r>
    </w:p>
    <w:p w14:paraId="637E3E60"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（四）建立与管理人的对账机制，复核、审查理财产品资金头寸、资产账目、资产净值、认购和赎回价格等数据，及时核查认购、赎回以及投资资金的支付和到账情况；</w:t>
      </w:r>
    </w:p>
    <w:p w14:paraId="77DE1614"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（五）监督理财产品投资运作，发现理财产品违反法律、行政法规、规章规定或合同约定</w:t>
      </w:r>
      <w:r>
        <w:rPr>
          <w:rFonts w:ascii="仿宋_GB2312" w:hAnsi="宋体" w:cs="宋体" w:hint="eastAsia"/>
          <w:bCs/>
          <w:kern w:val="0"/>
          <w:szCs w:val="24"/>
        </w:rPr>
        <w:t>进行投资的，应当拒绝执行，及时通知管理人并报告银行业监督管理机构；</w:t>
      </w:r>
    </w:p>
    <w:p w14:paraId="49D217A1"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六）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C2F3AA8"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（七）理财托管业务活动的记录、账册、报表和其他相关资料保存</w:t>
      </w:r>
      <w:r>
        <w:rPr>
          <w:rFonts w:ascii="仿宋_GB2312" w:hAnsi="宋体" w:cs="宋体"/>
          <w:bCs/>
          <w:kern w:val="0"/>
          <w:szCs w:val="24"/>
        </w:rPr>
        <w:t>15</w:t>
      </w:r>
      <w:r>
        <w:rPr>
          <w:rFonts w:ascii="仿宋_GB2312" w:hAnsi="宋体" w:cs="宋体"/>
          <w:bCs/>
          <w:kern w:val="0"/>
          <w:szCs w:val="24"/>
        </w:rPr>
        <w:t>年以上；</w:t>
      </w:r>
    </w:p>
    <w:p w14:paraId="35ED3BD1"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（八）对理财产品投资信息和相关资料承担保密责任，除法律、行政法规、规章规定、审计要求或者合同约定外，不得向任何机构或者个人提供相关信息和资料；</w:t>
      </w:r>
    </w:p>
    <w:p w14:paraId="7EA893A4"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（九）托管人的董事、监事、高级</w:t>
      </w:r>
      <w:r>
        <w:rPr>
          <w:rFonts w:ascii="仿宋_GB2312" w:hAnsi="宋体" w:cs="宋体" w:hint="eastAsia"/>
          <w:bCs/>
          <w:kern w:val="0"/>
          <w:szCs w:val="24"/>
        </w:rPr>
        <w:t>管理人员和其他托管业务人员不得有《商业银行理财业务监督管理办法》第二十四条第二款所列行为；</w:t>
      </w:r>
    </w:p>
    <w:p w14:paraId="79E584B4"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（十</w:t>
      </w:r>
      <w:r>
        <w:rPr>
          <w:rFonts w:ascii="仿宋_GB2312" w:hAnsi="宋体" w:cs="宋体"/>
          <w:bCs/>
          <w:kern w:val="0"/>
          <w:szCs w:val="24"/>
        </w:rPr>
        <w:t>）</w:t>
      </w:r>
      <w:r>
        <w:rPr>
          <w:rFonts w:ascii="仿宋_GB2312" w:hAnsi="宋体" w:cs="宋体" w:hint="eastAsia"/>
          <w:bCs/>
          <w:kern w:val="0"/>
          <w:szCs w:val="24"/>
        </w:rPr>
        <w:t>配合提供托管人相应关联方信息；</w:t>
      </w:r>
    </w:p>
    <w:p w14:paraId="59CC56C4" w14:textId="77777777" w:rsidR="00A2049A" w:rsidRDefault="0029186B">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（十</w:t>
      </w:r>
      <w:r>
        <w:rPr>
          <w:rFonts w:ascii="仿宋_GB2312" w:hAnsi="宋体" w:cs="宋体"/>
          <w:bCs/>
          <w:kern w:val="0"/>
          <w:szCs w:val="24"/>
        </w:rPr>
        <w:t>一）</w:t>
      </w:r>
      <w:r>
        <w:rPr>
          <w:rFonts w:ascii="仿宋_GB2312" w:hAnsi="宋体" w:cs="宋体" w:hint="eastAsia"/>
          <w:bCs/>
          <w:kern w:val="0"/>
          <w:szCs w:val="24"/>
        </w:rPr>
        <w:t>国务院银行业监督管理机构规定的其他职责。</w:t>
      </w:r>
    </w:p>
    <w:p w14:paraId="087D32EF" w14:textId="77777777" w:rsidR="00A2049A" w:rsidRDefault="0029186B">
      <w:pPr>
        <w:widowControl/>
        <w:jc w:val="left"/>
        <w:rPr>
          <w:rFonts w:ascii="仿宋_GB2312" w:hAnsi="宋体" w:cs="宋体"/>
          <w:bCs/>
          <w:kern w:val="0"/>
          <w:szCs w:val="24"/>
        </w:rPr>
      </w:pPr>
      <w:r>
        <w:rPr>
          <w:rFonts w:ascii="仿宋_GB2312" w:hAnsi="宋体" w:cs="宋体"/>
          <w:bCs/>
          <w:kern w:val="0"/>
          <w:szCs w:val="24"/>
        </w:rPr>
        <w:br w:type="page"/>
      </w:r>
    </w:p>
    <w:p w14:paraId="5669617C" w14:textId="77777777" w:rsidR="00A2049A" w:rsidRDefault="0029186B">
      <w:pPr>
        <w:pStyle w:val="1"/>
      </w:pPr>
      <w:r>
        <w:rPr>
          <w:rFonts w:hint="eastAsia"/>
        </w:rPr>
        <w:lastRenderedPageBreak/>
        <w:t>理财产品资产估值</w:t>
      </w:r>
    </w:p>
    <w:p w14:paraId="29431D3E" w14:textId="77777777" w:rsidR="00A2049A" w:rsidRDefault="0029186B">
      <w:pPr>
        <w:pStyle w:val="2"/>
        <w:ind w:firstLine="482"/>
      </w:pPr>
      <w:r>
        <w:rPr>
          <w:rFonts w:hint="eastAsia"/>
        </w:rPr>
        <w:t>估值日</w:t>
      </w:r>
    </w:p>
    <w:p w14:paraId="1B8516D8" w14:textId="77777777" w:rsidR="00A2049A" w:rsidRDefault="0029186B">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本理财产品估值日为每个</w:t>
      </w:r>
      <w:r>
        <w:rPr>
          <w:rFonts w:ascii="仿宋_GB2312" w:hAnsi="宋体" w:cs="宋体" w:hint="eastAsia"/>
          <w:bCs/>
          <w:kern w:val="0"/>
          <w:szCs w:val="24"/>
        </w:rPr>
        <w:t>工作日</w:t>
      </w:r>
      <w:r>
        <w:rPr>
          <w:rFonts w:ascii="仿宋_GB2312" w:hAnsi="宋体" w:cs="宋体" w:hint="eastAsia"/>
          <w:bCs/>
          <w:spacing w:val="-4"/>
          <w:kern w:val="0"/>
          <w:szCs w:val="24"/>
        </w:rPr>
        <w:t>，产品到期日为最后一个估值日。</w:t>
      </w:r>
    </w:p>
    <w:p w14:paraId="6FBFFA9C" w14:textId="77777777" w:rsidR="00A2049A" w:rsidRDefault="0029186B">
      <w:pPr>
        <w:pStyle w:val="2"/>
        <w:ind w:firstLine="482"/>
      </w:pPr>
      <w:r>
        <w:rPr>
          <w:rFonts w:hint="eastAsia"/>
        </w:rPr>
        <w:t>估值对象</w:t>
      </w:r>
    </w:p>
    <w:p w14:paraId="52FB7246" w14:textId="77777777" w:rsidR="00A2049A" w:rsidRDefault="0029186B">
      <w:pPr>
        <w:autoSpaceDE w:val="0"/>
        <w:autoSpaceDN w:val="0"/>
        <w:adjustRightInd w:val="0"/>
        <w:snapToGrid w:val="0"/>
        <w:spacing w:line="360" w:lineRule="auto"/>
        <w:ind w:firstLineChars="200" w:firstLine="464"/>
        <w:jc w:val="left"/>
        <w:rPr>
          <w:rFonts w:ascii="仿宋_GB2312" w:hAnsi="宋体" w:cs="宋体"/>
          <w:bCs/>
          <w:spacing w:val="-4"/>
          <w:kern w:val="0"/>
          <w:szCs w:val="24"/>
        </w:rPr>
      </w:pPr>
      <w:r>
        <w:rPr>
          <w:rFonts w:ascii="仿宋_GB2312" w:hAnsi="宋体" w:cs="宋体" w:hint="eastAsia"/>
          <w:bCs/>
          <w:spacing w:val="-4"/>
          <w:kern w:val="0"/>
          <w:szCs w:val="24"/>
        </w:rPr>
        <w:t>本理财产品估值的对象为本理财产品所持有的一切资产和负债。</w:t>
      </w:r>
    </w:p>
    <w:p w14:paraId="1872C297" w14:textId="77777777" w:rsidR="00A2049A" w:rsidRDefault="0029186B">
      <w:pPr>
        <w:pStyle w:val="2"/>
        <w:ind w:firstLine="482"/>
      </w:pPr>
      <w:r>
        <w:rPr>
          <w:rFonts w:hint="eastAsia"/>
        </w:rPr>
        <w:t>估值方法</w:t>
      </w:r>
    </w:p>
    <w:p w14:paraId="29739FB7" w14:textId="77777777" w:rsidR="00A2049A" w:rsidRDefault="0029186B">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1.</w:t>
      </w:r>
      <w:r>
        <w:rPr>
          <w:rFonts w:ascii="仿宋_GB2312" w:hAnsi="宋体" w:cs="宋体" w:hint="eastAsia"/>
          <w:bCs/>
          <w:spacing w:val="-4"/>
          <w:kern w:val="0"/>
          <w:szCs w:val="24"/>
        </w:rPr>
        <w:t>货币市场工具类资产的估值</w:t>
      </w:r>
    </w:p>
    <w:p w14:paraId="398DF682" w14:textId="77777777" w:rsidR="00A2049A" w:rsidRDefault="0029186B">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w:t>
      </w:r>
      <w:r>
        <w:rPr>
          <w:rFonts w:ascii="仿宋_GB2312" w:hAnsi="宋体" w:cs="宋体" w:hint="eastAsia"/>
          <w:bCs/>
          <w:spacing w:val="-4"/>
          <w:kern w:val="0"/>
          <w:szCs w:val="24"/>
        </w:rPr>
        <w:t>1</w:t>
      </w:r>
      <w:r>
        <w:rPr>
          <w:rFonts w:ascii="仿宋_GB2312" w:hAnsi="宋体" w:cs="宋体" w:hint="eastAsia"/>
          <w:bCs/>
          <w:spacing w:val="-4"/>
          <w:kern w:val="0"/>
          <w:szCs w:val="24"/>
        </w:rPr>
        <w:t>）银行存款及回购按其商定利率或协议利率在实际持有期内逐日计提收益。</w:t>
      </w:r>
    </w:p>
    <w:p w14:paraId="6F23DC0F" w14:textId="77777777" w:rsidR="00A2049A" w:rsidRDefault="0029186B">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w:t>
      </w:r>
      <w:r>
        <w:rPr>
          <w:rFonts w:ascii="仿宋_GB2312" w:hAnsi="宋体" w:cs="宋体" w:hint="eastAsia"/>
          <w:bCs/>
          <w:spacing w:val="-4"/>
          <w:kern w:val="0"/>
          <w:szCs w:val="24"/>
        </w:rPr>
        <w:t>2</w:t>
      </w:r>
      <w:r>
        <w:rPr>
          <w:rFonts w:ascii="仿宋_GB2312" w:hAnsi="宋体" w:cs="宋体" w:hint="eastAsia"/>
          <w:bCs/>
          <w:spacing w:val="-4"/>
          <w:kern w:val="0"/>
          <w:szCs w:val="24"/>
        </w:rPr>
        <w:t>）货币基金按最近披露的基金份额净值进行估值，并依据该基金公布的前一日每万份收益计提收益。</w:t>
      </w:r>
    </w:p>
    <w:p w14:paraId="45382EAB"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w:t>
      </w:r>
      <w:r>
        <w:rPr>
          <w:rFonts w:ascii="仿宋_GB2312" w:hAnsi="宋体" w:cs="宋体" w:hint="eastAsia"/>
          <w:bCs/>
          <w:kern w:val="0"/>
          <w:szCs w:val="24"/>
        </w:rPr>
        <w:t>在证券交易所和银行间市场交易的债券及非标准化债权资产的估值，符合以下条件之一的，可采用摊余成本法进行计量：</w:t>
      </w:r>
    </w:p>
    <w:p w14:paraId="0EAD1C1D"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）以收取合同现金流量为目的并持有至到期。</w:t>
      </w:r>
    </w:p>
    <w:p w14:paraId="5D21FF1E"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）暂不具备活跃交易市场，或者在活跃市场中没有报价、也不能采用估值技术可靠计量其公允价值。</w:t>
      </w:r>
    </w:p>
    <w:p w14:paraId="582F3DE0"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hint="eastAsia"/>
          <w:bCs/>
          <w:kern w:val="0"/>
          <w:szCs w:val="24"/>
        </w:rPr>
        <w:t>.</w:t>
      </w:r>
      <w:r>
        <w:rPr>
          <w:rFonts w:ascii="仿宋_GB2312" w:hAnsi="宋体" w:cs="宋体" w:hint="eastAsia"/>
          <w:bCs/>
          <w:kern w:val="0"/>
          <w:szCs w:val="24"/>
        </w:rPr>
        <w:t>不符合上述条件的债券，按照第三方估值机构（中债、中证等）提供的估值数据对本理财产品所持有债券进行估值，具体的第三方估值机构由管理人与托管人协商确定。</w:t>
      </w:r>
    </w:p>
    <w:p w14:paraId="19D1BFED"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4</w:t>
      </w:r>
      <w:r>
        <w:rPr>
          <w:rFonts w:ascii="仿宋_GB2312" w:hAnsi="宋体" w:cs="宋体" w:hint="eastAsia"/>
          <w:bCs/>
          <w:kern w:val="0"/>
          <w:szCs w:val="24"/>
        </w:rPr>
        <w:t>.</w:t>
      </w:r>
      <w:r>
        <w:rPr>
          <w:rFonts w:ascii="仿宋_GB2312" w:hAnsi="宋体" w:cs="宋体" w:hint="eastAsia"/>
          <w:bCs/>
          <w:kern w:val="0"/>
          <w:szCs w:val="24"/>
        </w:rPr>
        <w:t>不符合上述条件的非标准化债权资产，理财产品管理人应当采用估值技术进行估值或管理人与托管人认可的，根据合理判断按反映产品公允价值的计量方案进行估值。</w:t>
      </w:r>
    </w:p>
    <w:p w14:paraId="08B7F68E"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5</w:t>
      </w:r>
      <w:r>
        <w:rPr>
          <w:rFonts w:ascii="仿宋_GB2312" w:hAnsi="宋体" w:cs="宋体" w:hint="eastAsia"/>
          <w:bCs/>
          <w:kern w:val="0"/>
          <w:szCs w:val="24"/>
        </w:rPr>
        <w:t>.</w:t>
      </w:r>
      <w:r>
        <w:rPr>
          <w:rFonts w:ascii="仿宋_GB2312" w:hAnsi="宋体" w:cs="宋体" w:hint="eastAsia"/>
          <w:bCs/>
          <w:kern w:val="0"/>
          <w:szCs w:val="24"/>
        </w:rPr>
        <w:t>对以摊余成本法计量的金融资产，理财产品管理人将按照新会计准则的规定采用合理的减值计量模型结果进行减值计提。计提的减值不等同于金融资产已发生实际损失，仅作为对未来风险的审慎预期。</w:t>
      </w:r>
    </w:p>
    <w:p w14:paraId="551124D7"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投资非货币证券投资基金的估值</w:t>
      </w:r>
    </w:p>
    <w:p w14:paraId="1A48E2F9"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）未上市非货币基金，按所投资基金管理人估值日披露的最新份额净值进行估值；</w:t>
      </w:r>
    </w:p>
    <w:p w14:paraId="1FAD280A"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）上市基金估值</w:t>
      </w:r>
    </w:p>
    <w:p w14:paraId="449E5909"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交易所上市流通的基金（含公募</w:t>
      </w:r>
      <w:r>
        <w:rPr>
          <w:rFonts w:ascii="仿宋_GB2312" w:hAnsi="宋体" w:cs="宋体" w:hint="eastAsia"/>
          <w:bCs/>
          <w:kern w:val="0"/>
          <w:szCs w:val="24"/>
        </w:rPr>
        <w:t>REITs</w:t>
      </w:r>
      <w:r>
        <w:rPr>
          <w:rFonts w:ascii="仿宋_GB2312" w:hAnsi="宋体" w:cs="宋体" w:hint="eastAsia"/>
          <w:bCs/>
          <w:kern w:val="0"/>
          <w:szCs w:val="24"/>
        </w:rPr>
        <w:t>），以估值</w:t>
      </w:r>
      <w:r>
        <w:rPr>
          <w:rFonts w:ascii="仿宋_GB2312" w:hAnsi="宋体" w:cs="宋体" w:hint="eastAsia"/>
          <w:bCs/>
          <w:kern w:val="0"/>
          <w:szCs w:val="24"/>
        </w:rPr>
        <w:t>日其所在证券交易所的收盘价估值；境内上市的开放式基金（</w:t>
      </w:r>
      <w:r>
        <w:rPr>
          <w:rFonts w:ascii="仿宋_GB2312" w:hAnsi="宋体" w:cs="宋体" w:hint="eastAsia"/>
          <w:bCs/>
          <w:kern w:val="0"/>
          <w:szCs w:val="24"/>
        </w:rPr>
        <w:t>LOF</w:t>
      </w:r>
      <w:r>
        <w:rPr>
          <w:rFonts w:ascii="仿宋_GB2312" w:hAnsi="宋体" w:cs="宋体" w:hint="eastAsia"/>
          <w:bCs/>
          <w:kern w:val="0"/>
          <w:szCs w:val="24"/>
        </w:rPr>
        <w:t>），以所投资基金披露的最新份额净值进行估值。</w:t>
      </w:r>
    </w:p>
    <w:p w14:paraId="2F29DE3A"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）如遇所投资基金不公布基金份额净值、进行折算或拆分、估值日无交易等特殊情况，则按以下原则进行估值：</w:t>
      </w:r>
    </w:p>
    <w:p w14:paraId="78985504"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①以所投资基金的基金份额净值估值的，若所投资基金管理人未公布估值日基金份额净值，则按</w:t>
      </w:r>
      <w:r>
        <w:rPr>
          <w:rFonts w:ascii="仿宋_GB2312" w:hAnsi="宋体" w:cs="宋体" w:hint="eastAsia"/>
          <w:bCs/>
          <w:kern w:val="0"/>
          <w:szCs w:val="24"/>
        </w:rPr>
        <w:lastRenderedPageBreak/>
        <w:t>最近公布的基金份额净值为基础估值。</w:t>
      </w:r>
    </w:p>
    <w:p w14:paraId="3101D856"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②以所投资基金的收盘价估值的，若估值日无交易，且最近交易日后市场环境未发生重大变化，按最近交易日的收盘价估值；如最近交易日后市场环境发生了重大变化的，可使用最新的基金份额净值为基础或</w:t>
      </w:r>
      <w:r>
        <w:rPr>
          <w:rFonts w:ascii="仿宋_GB2312" w:hAnsi="宋体" w:cs="宋体" w:hint="eastAsia"/>
          <w:bCs/>
          <w:kern w:val="0"/>
          <w:szCs w:val="24"/>
        </w:rPr>
        <w:t>参考类似投资品种的现行市场及重大变化因素调整最近交易市场，确定公允价值。</w:t>
      </w:r>
    </w:p>
    <w:p w14:paraId="58377A27"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③如果所投资基金前一估值日至估值日期间发生分红除权、折算或拆分，理财产品管理人应根据基金份额净值或收盘价、单位基金份额分红金额、折算拆分比例、持仓份额等因素合理确定公允价值。</w:t>
      </w:r>
    </w:p>
    <w:p w14:paraId="7016148C"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bCs/>
          <w:kern w:val="0"/>
          <w:szCs w:val="24"/>
        </w:rPr>
        <w:t>.</w:t>
      </w:r>
      <w:r>
        <w:rPr>
          <w:rFonts w:ascii="仿宋_GB2312" w:hAnsi="宋体" w:cs="宋体" w:hint="eastAsia"/>
          <w:bCs/>
          <w:kern w:val="0"/>
          <w:szCs w:val="24"/>
        </w:rPr>
        <w:t>投资符合投资范围内的其他各类资产管理产品的估值，以估值日截止时点获得的、由所投资资产管理人披露的最新份额净值或者投资收益情况进行估值；或由产品管理人和托管人根据合理判断按反映产品公允价值的估值方案进行估值。</w:t>
      </w:r>
    </w:p>
    <w:p w14:paraId="147573CD" w14:textId="77777777" w:rsidR="00A2049A" w:rsidRDefault="0029186B">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8.</w:t>
      </w:r>
      <w:r>
        <w:rPr>
          <w:rFonts w:ascii="仿宋_GB2312" w:hAnsi="宋体" w:cs="宋体" w:hint="eastAsia"/>
          <w:bCs/>
          <w:spacing w:val="-4"/>
          <w:kern w:val="0"/>
          <w:szCs w:val="24"/>
        </w:rPr>
        <w:t>优先股的估值</w:t>
      </w:r>
    </w:p>
    <w:p w14:paraId="4ABADC22" w14:textId="77777777" w:rsidR="00A2049A" w:rsidRDefault="0029186B">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优先股按第三方估值机构（中证、中债等）提供的估值数据进行估值；无第三方估值数据的，由管理人与托管人根据合理判断按反映产品公允价值的计量方案进行估值。</w:t>
      </w:r>
    </w:p>
    <w:p w14:paraId="5AABBD6E" w14:textId="77777777" w:rsidR="00A2049A" w:rsidRDefault="0029186B">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9.</w:t>
      </w:r>
      <w:r>
        <w:rPr>
          <w:rFonts w:ascii="仿宋_GB2312" w:hAnsi="宋体" w:cs="宋体" w:hint="eastAsia"/>
          <w:bCs/>
          <w:spacing w:val="-4"/>
          <w:kern w:val="0"/>
          <w:szCs w:val="24"/>
        </w:rPr>
        <w:t>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w:t>
      </w:r>
      <w:r>
        <w:rPr>
          <w:rFonts w:ascii="仿宋_GB2312" w:hAnsi="宋体" w:cs="宋体" w:hint="eastAsia"/>
          <w:bCs/>
          <w:spacing w:val="-4"/>
          <w:kern w:val="0"/>
          <w:szCs w:val="24"/>
        </w:rPr>
        <w:t>市价，确定公允价格。</w:t>
      </w:r>
    </w:p>
    <w:p w14:paraId="62777AAC" w14:textId="77777777" w:rsidR="00A2049A" w:rsidRDefault="0029186B">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10.</w:t>
      </w:r>
      <w:r>
        <w:rPr>
          <w:rFonts w:ascii="仿宋_GB2312" w:hAnsi="宋体" w:cs="宋体" w:hint="eastAsia"/>
          <w:bCs/>
          <w:spacing w:val="-4"/>
          <w:kern w:val="0"/>
          <w:szCs w:val="24"/>
        </w:rPr>
        <w:t>商品与金融衍生品类资产的估值</w:t>
      </w:r>
    </w:p>
    <w:p w14:paraId="15E6A950" w14:textId="77777777" w:rsidR="00A2049A" w:rsidRDefault="0029186B">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w:t>
      </w:r>
      <w:r>
        <w:rPr>
          <w:rFonts w:ascii="仿宋_GB2312" w:hAnsi="宋体" w:cs="宋体" w:hint="eastAsia"/>
          <w:bCs/>
          <w:spacing w:val="-4"/>
          <w:kern w:val="0"/>
          <w:szCs w:val="24"/>
        </w:rPr>
        <w:t>1</w:t>
      </w:r>
      <w:r>
        <w:rPr>
          <w:rFonts w:ascii="仿宋_GB2312" w:hAnsi="宋体" w:cs="宋体" w:hint="eastAsia"/>
          <w:bCs/>
          <w:spacing w:val="-4"/>
          <w:kern w:val="0"/>
          <w:szCs w:val="24"/>
        </w:rPr>
        <w:t>）场内交易的商品与金融衍生品类资产，以交易所最近交易日的结算价或者收盘价进行估值；</w:t>
      </w:r>
    </w:p>
    <w:p w14:paraId="1007EB54" w14:textId="77777777" w:rsidR="00A2049A" w:rsidRDefault="0029186B">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w:t>
      </w:r>
      <w:r>
        <w:rPr>
          <w:rFonts w:ascii="仿宋_GB2312" w:hAnsi="宋体" w:cs="宋体" w:hint="eastAsia"/>
          <w:bCs/>
          <w:spacing w:val="-4"/>
          <w:kern w:val="0"/>
          <w:szCs w:val="24"/>
        </w:rPr>
        <w:t>2</w:t>
      </w:r>
      <w:r>
        <w:rPr>
          <w:rFonts w:ascii="仿宋_GB2312" w:hAnsi="宋体" w:cs="宋体" w:hint="eastAsia"/>
          <w:bCs/>
          <w:spacing w:val="-4"/>
          <w:kern w:val="0"/>
          <w:szCs w:val="24"/>
        </w:rPr>
        <w:t>）场外交易的商品与金融衍生品类资产，采用估值技术确定其公允价值，按照外部机构提供的价格数据或管理人与托管人认可的估值方案进行估值。</w:t>
      </w:r>
    </w:p>
    <w:p w14:paraId="2904EFAC" w14:textId="77777777" w:rsidR="00A2049A" w:rsidRDefault="0029186B">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bCs/>
          <w:spacing w:val="-4"/>
          <w:kern w:val="0"/>
          <w:szCs w:val="24"/>
        </w:rPr>
        <w:t>11</w:t>
      </w:r>
      <w:r>
        <w:rPr>
          <w:rFonts w:ascii="仿宋_GB2312" w:hAnsi="宋体" w:cs="宋体" w:hint="eastAsia"/>
          <w:bCs/>
          <w:spacing w:val="-4"/>
          <w:kern w:val="0"/>
          <w:szCs w:val="24"/>
        </w:rPr>
        <w:t>.</w:t>
      </w:r>
      <w:r>
        <w:rPr>
          <w:rFonts w:ascii="仿宋_GB2312" w:hAnsi="宋体" w:cs="宋体" w:hint="eastAsia"/>
          <w:bCs/>
          <w:spacing w:val="-4"/>
          <w:kern w:val="0"/>
          <w:szCs w:val="24"/>
        </w:rPr>
        <w:t>若理财产品存续期间持有其他投资品种，以理财产品管理人与托管人共同认可的估值方法估值。</w:t>
      </w:r>
    </w:p>
    <w:p w14:paraId="231FCD8B" w14:textId="77777777" w:rsidR="00A2049A" w:rsidRDefault="0029186B">
      <w:pPr>
        <w:tabs>
          <w:tab w:val="left" w:pos="3119"/>
        </w:tabs>
        <w:autoSpaceDE w:val="0"/>
        <w:autoSpaceDN w:val="0"/>
        <w:snapToGrid w:val="0"/>
        <w:spacing w:line="360" w:lineRule="auto"/>
        <w:ind w:firstLineChars="200" w:firstLine="464"/>
        <w:rPr>
          <w:rFonts w:ascii="仿宋_GB2312" w:hAnsi="宋体" w:cs="宋体"/>
          <w:bCs/>
          <w:spacing w:val="-4"/>
          <w:kern w:val="0"/>
          <w:szCs w:val="24"/>
        </w:rPr>
      </w:pPr>
      <w:r>
        <w:rPr>
          <w:rFonts w:ascii="仿宋_GB2312" w:hAnsi="宋体" w:cs="宋体" w:hint="eastAsia"/>
          <w:bCs/>
          <w:spacing w:val="-4"/>
          <w:kern w:val="0"/>
          <w:szCs w:val="24"/>
        </w:rPr>
        <w:t>1</w:t>
      </w:r>
      <w:r>
        <w:rPr>
          <w:rFonts w:ascii="仿宋_GB2312" w:hAnsi="宋体" w:cs="宋体"/>
          <w:bCs/>
          <w:spacing w:val="-4"/>
          <w:kern w:val="0"/>
          <w:szCs w:val="24"/>
        </w:rPr>
        <w:t>2.</w:t>
      </w:r>
      <w:r>
        <w:rPr>
          <w:rFonts w:ascii="仿宋_GB2312" w:hAnsi="宋体" w:cs="宋体" w:hint="eastAsia"/>
          <w:bCs/>
          <w:spacing w:val="-4"/>
          <w:kern w:val="0"/>
          <w:szCs w:val="24"/>
        </w:rPr>
        <w:t>在任何情况下，如采用以上规定的方法对资产进行估值，均应被认为采用了适当的估值方法。如管理人有证据表明上述规定不能客观反映理财产品资产</w:t>
      </w:r>
      <w:r>
        <w:rPr>
          <w:rFonts w:ascii="仿宋_GB2312" w:hAnsi="宋体" w:cs="宋体" w:hint="eastAsia"/>
          <w:bCs/>
          <w:spacing w:val="-4"/>
          <w:kern w:val="0"/>
          <w:szCs w:val="24"/>
        </w:rPr>
        <w:t>公允价值的，管理人可根据具体情况，在综合考虑市场成交价、市场报价、流动性、收益率曲线与标的信用风险等多种因素基础上，按最能反映理财产品资产公允价值的方法进行估值。</w:t>
      </w:r>
    </w:p>
    <w:p w14:paraId="7A969573" w14:textId="77777777" w:rsidR="00A2049A" w:rsidRDefault="0029186B">
      <w:pPr>
        <w:pStyle w:val="2"/>
        <w:ind w:firstLine="482"/>
      </w:pPr>
      <w:r>
        <w:rPr>
          <w:rFonts w:hint="eastAsia"/>
        </w:rPr>
        <w:t>估值错误处理</w:t>
      </w:r>
    </w:p>
    <w:p w14:paraId="1C9A0587"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理财</w:t>
      </w:r>
      <w:r>
        <w:rPr>
          <w:rFonts w:ascii="仿宋_GB2312" w:hAnsi="宋体" w:cs="宋体"/>
          <w:bCs/>
          <w:kern w:val="0"/>
          <w:szCs w:val="24"/>
        </w:rPr>
        <w:t>产品</w:t>
      </w:r>
      <w:r>
        <w:rPr>
          <w:rFonts w:ascii="仿宋_GB2312" w:hAnsi="宋体" w:cs="宋体" w:hint="eastAsia"/>
          <w:bCs/>
          <w:kern w:val="0"/>
          <w:szCs w:val="24"/>
        </w:rPr>
        <w:t>管理人和</w:t>
      </w:r>
      <w:r>
        <w:rPr>
          <w:rFonts w:ascii="仿宋_GB2312" w:hAnsi="宋体" w:cs="宋体"/>
          <w:bCs/>
          <w:kern w:val="0"/>
          <w:szCs w:val="24"/>
        </w:rPr>
        <w:t>理财产品托管人</w:t>
      </w:r>
      <w:r>
        <w:rPr>
          <w:rFonts w:ascii="仿宋_GB2312" w:hAnsi="宋体" w:cs="宋体" w:hint="eastAsia"/>
          <w:bCs/>
          <w:kern w:val="0"/>
          <w:szCs w:val="24"/>
        </w:rPr>
        <w:t>将采取必要、适当、合理的措施确保产品资产估值的准确性、及时性。</w:t>
      </w:r>
    </w:p>
    <w:p w14:paraId="3D177215"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估值错误处理原则</w:t>
      </w:r>
    </w:p>
    <w:p w14:paraId="58F64A5D"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）由于理财产品管理人或理财产品托管人自身过错造成的估值错误，导致投资者遭受损失的，</w:t>
      </w:r>
      <w:r>
        <w:rPr>
          <w:rFonts w:ascii="仿宋_GB2312" w:hAnsi="宋体" w:cs="宋体" w:hint="eastAsia"/>
          <w:bCs/>
          <w:kern w:val="0"/>
          <w:szCs w:val="24"/>
        </w:rPr>
        <w:lastRenderedPageBreak/>
        <w:t>由估值错误责任方按照各自过错程度对该估值错误导致投资者遭受的直接损失给予赔偿，承担赔偿责任。</w:t>
      </w:r>
    </w:p>
    <w:p w14:paraId="686878B0"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但因该差错取得不当得利的投资者仍应负有返还不当得利的义务。</w:t>
      </w:r>
    </w:p>
    <w:p w14:paraId="6753C318"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）若因理财产品托管人估值错误造成财产损失，理财</w:t>
      </w:r>
      <w:r>
        <w:rPr>
          <w:rFonts w:ascii="仿宋_GB2312" w:hAnsi="宋体" w:cs="宋体" w:hint="eastAsia"/>
          <w:bCs/>
          <w:kern w:val="0"/>
          <w:szCs w:val="24"/>
        </w:rPr>
        <w:t>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14:paraId="32B0FEC3"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4</w:t>
      </w:r>
      <w:r>
        <w:rPr>
          <w:rFonts w:ascii="仿宋_GB2312" w:hAnsi="宋体" w:cs="宋体" w:hint="eastAsia"/>
          <w:bCs/>
          <w:kern w:val="0"/>
          <w:szCs w:val="24"/>
        </w:rPr>
        <w:t>）因估值错误而获得不当得利的投资者负有及时返还不当得利的义务。</w:t>
      </w:r>
    </w:p>
    <w:p w14:paraId="6EF61C2E"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5</w:t>
      </w:r>
      <w:r>
        <w:rPr>
          <w:rFonts w:ascii="仿宋_GB2312" w:hAnsi="宋体" w:cs="宋体" w:hint="eastAsia"/>
          <w:bCs/>
          <w:kern w:val="0"/>
          <w:szCs w:val="24"/>
        </w:rPr>
        <w:t>）按法律法规规定的其他原则处理估值错误。</w:t>
      </w:r>
    </w:p>
    <w:p w14:paraId="63F9D290"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估值错误处理程序</w:t>
      </w:r>
    </w:p>
    <w:p w14:paraId="53E773DF"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估值错误被发现后，理财产品管理人与理财产品托管人应当及时进行处理，处理的程序如下：</w:t>
      </w:r>
    </w:p>
    <w:p w14:paraId="12F360F3"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）查明估值差错发生的原因，根据估值错误发生的原因确定估值错误的责任方；</w:t>
      </w:r>
    </w:p>
    <w:p w14:paraId="13259D6D"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）根据估值错误处理原则对因估值错误造成的损失进行评估；</w:t>
      </w:r>
    </w:p>
    <w:p w14:paraId="7DDB7DBF" w14:textId="77777777" w:rsidR="00A2049A" w:rsidRDefault="0029186B">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）根据估值错误处理原则或理财产品管理人与托管人协商的方法，由理财产品管理人与托管人共同进行更正，由估值错误的责任方进行赔偿损失。</w:t>
      </w:r>
    </w:p>
    <w:p w14:paraId="23FCEF83" w14:textId="77777777" w:rsidR="00A2049A" w:rsidRDefault="0029186B">
      <w:pPr>
        <w:pStyle w:val="2"/>
        <w:ind w:firstLine="482"/>
      </w:pPr>
      <w:r>
        <w:rPr>
          <w:rFonts w:hint="eastAsia"/>
        </w:rPr>
        <w:t>暂停估值的情形</w:t>
      </w:r>
    </w:p>
    <w:p w14:paraId="4F2DF78F"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当资产估值因不可抗力或其他情形致使本产品管理人和托管人无法准确评估资产价值时；</w:t>
      </w:r>
    </w:p>
    <w:p w14:paraId="48B50745"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．理财产品投资所涉及的交易市场遇法定节假日或因其他原因暂停营业时；</w:t>
      </w:r>
    </w:p>
    <w:p w14:paraId="20E17CAF"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理财产品投资的其他资产产品合同约定暂停估值或无法估值的情形发生，导致理财产品无法估值时；</w:t>
      </w:r>
    </w:p>
    <w:p w14:paraId="226EA9EB"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4</w:t>
      </w:r>
      <w:r>
        <w:rPr>
          <w:rFonts w:ascii="仿宋_GB2312" w:hAnsi="宋体" w:cs="宋体"/>
          <w:bCs/>
          <w:kern w:val="0"/>
          <w:szCs w:val="24"/>
        </w:rPr>
        <w:t>.</w:t>
      </w:r>
      <w:r>
        <w:rPr>
          <w:rFonts w:ascii="仿宋_GB2312" w:hAnsi="宋体" w:cs="宋体" w:hint="eastAsia"/>
          <w:bCs/>
          <w:kern w:val="0"/>
          <w:szCs w:val="24"/>
        </w:rPr>
        <w:t>当前一估值日理财产品资产净值</w:t>
      </w:r>
      <w:r>
        <w:rPr>
          <w:rFonts w:ascii="仿宋_GB2312" w:hAnsi="宋体" w:cs="宋体" w:hint="eastAsia"/>
          <w:bCs/>
          <w:kern w:val="0"/>
          <w:szCs w:val="24"/>
        </w:rPr>
        <w:t>5</w:t>
      </w:r>
      <w:r>
        <w:rPr>
          <w:rFonts w:ascii="仿宋_GB2312" w:hAnsi="宋体" w:cs="宋体"/>
          <w:bCs/>
          <w:kern w:val="0"/>
          <w:szCs w:val="24"/>
        </w:rPr>
        <w:t>0</w:t>
      </w:r>
      <w:r>
        <w:rPr>
          <w:rFonts w:ascii="仿宋_GB2312" w:hAnsi="宋体" w:cs="宋体" w:hint="eastAsia"/>
          <w:bCs/>
          <w:kern w:val="0"/>
          <w:szCs w:val="24"/>
        </w:rPr>
        <w:t>%</w:t>
      </w:r>
      <w:r>
        <w:rPr>
          <w:rFonts w:ascii="仿宋_GB2312" w:hAnsi="宋体" w:cs="宋体" w:hint="eastAsia"/>
          <w:bCs/>
          <w:kern w:val="0"/>
          <w:szCs w:val="24"/>
        </w:rPr>
        <w:t>以上的资产不具备活跃市场或在活跃市场中无报价，且采用估值技术不能可靠计量公允价值时；</w:t>
      </w:r>
    </w:p>
    <w:p w14:paraId="61B4B216"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5</w:t>
      </w:r>
      <w:r>
        <w:rPr>
          <w:rFonts w:ascii="仿宋_GB2312" w:hAnsi="宋体" w:cs="宋体" w:hint="eastAsia"/>
          <w:bCs/>
          <w:kern w:val="0"/>
          <w:szCs w:val="24"/>
        </w:rPr>
        <w:t>.</w:t>
      </w:r>
      <w:r>
        <w:rPr>
          <w:rFonts w:ascii="仿宋_GB2312" w:hAnsi="宋体" w:cs="宋体" w:hint="eastAsia"/>
          <w:bCs/>
          <w:kern w:val="0"/>
          <w:szCs w:val="24"/>
        </w:rPr>
        <w:t>国家金融监督管理总局认定的其他情形或理财产品管理人、托管人有合理理由认为将影响本理财产品估值的其他情形。</w:t>
      </w:r>
    </w:p>
    <w:p w14:paraId="006DA534" w14:textId="77777777" w:rsidR="00A2049A" w:rsidRDefault="0029186B">
      <w:pPr>
        <w:jc w:val="left"/>
        <w:rPr>
          <w:rFonts w:ascii="仿宋_GB2312" w:hAnsi="宋体" w:cs="宋体"/>
          <w:bCs/>
          <w:kern w:val="0"/>
          <w:szCs w:val="24"/>
        </w:rPr>
      </w:pPr>
      <w:r>
        <w:rPr>
          <w:rFonts w:ascii="仿宋_GB2312" w:hAnsi="宋体" w:cs="宋体" w:hint="eastAsia"/>
          <w:bCs/>
          <w:kern w:val="0"/>
          <w:szCs w:val="24"/>
        </w:rPr>
        <w:br w:type="page"/>
      </w:r>
    </w:p>
    <w:p w14:paraId="0279846A" w14:textId="77777777" w:rsidR="00A2049A" w:rsidRDefault="0029186B">
      <w:pPr>
        <w:pStyle w:val="1"/>
      </w:pPr>
      <w:r>
        <w:rPr>
          <w:rFonts w:hint="eastAsia"/>
        </w:rPr>
        <w:lastRenderedPageBreak/>
        <w:t>理财产品的利益分配</w:t>
      </w:r>
    </w:p>
    <w:p w14:paraId="1D4F3075" w14:textId="77777777" w:rsidR="00A2049A" w:rsidRDefault="0029186B">
      <w:pPr>
        <w:pStyle w:val="2"/>
        <w:ind w:firstLine="482"/>
      </w:pPr>
      <w:r>
        <w:rPr>
          <w:rFonts w:hint="eastAsia"/>
        </w:rPr>
        <w:t>理财产品的收益构成</w:t>
      </w:r>
    </w:p>
    <w:p w14:paraId="20C19BBE" w14:textId="77777777" w:rsidR="00A2049A" w:rsidRDefault="0029186B">
      <w:pPr>
        <w:pStyle w:val="2"/>
        <w:numPr>
          <w:ilvl w:val="0"/>
          <w:numId w:val="0"/>
        </w:numPr>
        <w:ind w:firstLineChars="200" w:firstLine="482"/>
      </w:pPr>
      <w:r>
        <w:rPr>
          <w:rFonts w:hint="eastAsia"/>
        </w:rPr>
        <w:t>本理财产品的收益包括：投资债券、货币市场工具等监管机构认可的资产或资产管理产品所产生的利息收入、买卖证券差价收入、银行存款利息以及其他合法收入。该收益构成不代表投资者一定可以获得的收益。</w:t>
      </w:r>
    </w:p>
    <w:p w14:paraId="2C38CFEE" w14:textId="77777777" w:rsidR="00A2049A" w:rsidRDefault="0029186B">
      <w:pPr>
        <w:pStyle w:val="2"/>
        <w:ind w:firstLine="482"/>
      </w:pPr>
      <w:r>
        <w:rPr>
          <w:rFonts w:hint="eastAsia"/>
        </w:rPr>
        <w:t>理财利益的分配类型</w:t>
      </w:r>
    </w:p>
    <w:p w14:paraId="5773EDCF"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依据分配时点，理财利益的分配可分为“期间分配”与“终止分配</w:t>
      </w:r>
      <w:r>
        <w:rPr>
          <w:rFonts w:ascii="仿宋_GB2312" w:hAnsi="宋体" w:cs="宋体" w:hint="eastAsia"/>
          <w:bCs/>
          <w:kern w:val="0"/>
          <w:szCs w:val="24"/>
        </w:rPr>
        <w:t>”。</w:t>
      </w:r>
    </w:p>
    <w:p w14:paraId="2C7BF877"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依据分配方式，理财利益的分配可分为“现金分配”与“非现金分配”。</w:t>
      </w:r>
    </w:p>
    <w:p w14:paraId="34D28306" w14:textId="77777777" w:rsidR="00A2049A" w:rsidRDefault="0029186B">
      <w:pPr>
        <w:pStyle w:val="2"/>
        <w:ind w:firstLine="482"/>
      </w:pPr>
      <w:r>
        <w:rPr>
          <w:rFonts w:hint="eastAsia"/>
        </w:rPr>
        <w:t>理财利益的分配原则</w:t>
      </w:r>
    </w:p>
    <w:p w14:paraId="1EBF4F76"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本产品利益分配应遵循下列原则：</w:t>
      </w:r>
    </w:p>
    <w:p w14:paraId="6F7F3991"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）每一产品份额享有同等分配权。</w:t>
      </w:r>
    </w:p>
    <w:p w14:paraId="2CA97C47"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）在不</w:t>
      </w:r>
      <w:r>
        <w:rPr>
          <w:rFonts w:ascii="仿宋_GB2312" w:hAnsi="宋体" w:cs="宋体"/>
          <w:bCs/>
          <w:kern w:val="0"/>
          <w:szCs w:val="24"/>
        </w:rPr>
        <w:t>违反法律法规、理财产品销售文件约定以及对份额持有人权益无实质性不利影响的情况下，产品管理人可</w:t>
      </w:r>
      <w:r>
        <w:rPr>
          <w:rFonts w:ascii="仿宋_GB2312" w:hAnsi="宋体" w:cs="宋体" w:hint="eastAsia"/>
          <w:bCs/>
          <w:kern w:val="0"/>
          <w:szCs w:val="24"/>
        </w:rPr>
        <w:t>调整</w:t>
      </w:r>
      <w:r>
        <w:rPr>
          <w:rFonts w:ascii="仿宋_GB2312" w:hAnsi="宋体" w:cs="宋体"/>
          <w:bCs/>
          <w:kern w:val="0"/>
          <w:szCs w:val="24"/>
        </w:rPr>
        <w:t>本理财产品利益的分配原则与支付方式。法律</w:t>
      </w:r>
      <w:r>
        <w:rPr>
          <w:rFonts w:ascii="仿宋_GB2312" w:hAnsi="宋体" w:cs="宋体" w:hint="eastAsia"/>
          <w:bCs/>
          <w:kern w:val="0"/>
          <w:szCs w:val="24"/>
        </w:rPr>
        <w:t>法规</w:t>
      </w:r>
      <w:r>
        <w:rPr>
          <w:rFonts w:ascii="仿宋_GB2312" w:hAnsi="宋体" w:cs="宋体"/>
          <w:bCs/>
          <w:kern w:val="0"/>
          <w:szCs w:val="24"/>
        </w:rPr>
        <w:t>或监管机构另有规定的从其规定。</w:t>
      </w:r>
    </w:p>
    <w:p w14:paraId="68AFFA22" w14:textId="77777777" w:rsidR="00A2049A" w:rsidRDefault="0029186B">
      <w:pPr>
        <w:pStyle w:val="2"/>
        <w:ind w:firstLine="482"/>
      </w:pPr>
      <w:r>
        <w:rPr>
          <w:rFonts w:hint="eastAsia"/>
        </w:rPr>
        <w:t>理财</w:t>
      </w:r>
      <w:r>
        <w:t>利益的分配方案</w:t>
      </w:r>
    </w:p>
    <w:p w14:paraId="5778C498"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1.</w:t>
      </w:r>
      <w:r>
        <w:rPr>
          <w:rFonts w:ascii="仿宋_GB2312" w:hAnsi="宋体" w:cs="宋体" w:hint="eastAsia"/>
          <w:bCs/>
          <w:kern w:val="0"/>
          <w:szCs w:val="24"/>
        </w:rPr>
        <w:t>分配方案要点：</w:t>
      </w:r>
    </w:p>
    <w:p w14:paraId="431302E0"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bCs/>
          <w:kern w:val="0"/>
          <w:szCs w:val="24"/>
        </w:rPr>
        <w:t>1</w:t>
      </w:r>
      <w:r>
        <w:rPr>
          <w:rFonts w:ascii="仿宋_GB2312" w:hAnsi="宋体" w:cs="宋体"/>
          <w:bCs/>
          <w:kern w:val="0"/>
          <w:szCs w:val="24"/>
        </w:rPr>
        <w:t>）</w:t>
      </w:r>
      <w:r>
        <w:rPr>
          <w:rFonts w:ascii="仿宋_GB2312" w:hAnsi="宋体" w:cs="宋体" w:hint="eastAsia"/>
          <w:bCs/>
          <w:kern w:val="0"/>
          <w:szCs w:val="24"/>
        </w:rPr>
        <w:t>本</w:t>
      </w:r>
      <w:r>
        <w:rPr>
          <w:rFonts w:ascii="仿宋_GB2312" w:hAnsi="宋体" w:cs="宋体"/>
          <w:bCs/>
          <w:kern w:val="0"/>
          <w:szCs w:val="24"/>
        </w:rPr>
        <w:t>理财产品的分配时点包括</w:t>
      </w:r>
      <w:r>
        <w:rPr>
          <w:rFonts w:ascii="仿宋_GB2312" w:hAnsi="宋体" w:cs="宋体" w:hint="eastAsia"/>
          <w:bCs/>
          <w:kern w:val="0"/>
          <w:szCs w:val="24"/>
        </w:rPr>
        <w:t>【“终止分配”】。</w:t>
      </w:r>
    </w:p>
    <w:p w14:paraId="092286B0"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bCs/>
          <w:kern w:val="0"/>
          <w:szCs w:val="24"/>
        </w:rPr>
        <w:t>）</w:t>
      </w:r>
      <w:r>
        <w:rPr>
          <w:rFonts w:ascii="仿宋_GB2312" w:hAnsi="宋体" w:cs="宋体" w:hint="eastAsia"/>
          <w:bCs/>
          <w:kern w:val="0"/>
          <w:szCs w:val="24"/>
        </w:rPr>
        <w:t>本</w:t>
      </w:r>
      <w:r>
        <w:rPr>
          <w:rFonts w:ascii="仿宋_GB2312" w:hAnsi="宋体" w:cs="宋体"/>
          <w:bCs/>
          <w:kern w:val="0"/>
          <w:szCs w:val="24"/>
        </w:rPr>
        <w:t>理财产品的分配</w:t>
      </w:r>
      <w:r>
        <w:rPr>
          <w:rFonts w:ascii="仿宋_GB2312" w:hAnsi="宋体" w:cs="宋体" w:hint="eastAsia"/>
          <w:bCs/>
          <w:kern w:val="0"/>
          <w:szCs w:val="24"/>
        </w:rPr>
        <w:t>方式</w:t>
      </w:r>
      <w:r>
        <w:rPr>
          <w:rFonts w:ascii="仿宋_GB2312" w:hAnsi="宋体" w:cs="宋体"/>
          <w:bCs/>
          <w:kern w:val="0"/>
          <w:szCs w:val="24"/>
        </w:rPr>
        <w:t>采取</w:t>
      </w:r>
      <w:r>
        <w:rPr>
          <w:rFonts w:ascii="仿宋_GB2312" w:hAnsi="宋体" w:cs="宋体" w:hint="eastAsia"/>
          <w:bCs/>
          <w:kern w:val="0"/>
          <w:szCs w:val="24"/>
        </w:rPr>
        <w:t>【“现金分配”】。</w:t>
      </w:r>
    </w:p>
    <w:p w14:paraId="245CE9B4"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具体</w:t>
      </w:r>
      <w:r>
        <w:rPr>
          <w:rFonts w:ascii="仿宋_GB2312" w:hAnsi="宋体" w:cs="宋体"/>
          <w:bCs/>
          <w:kern w:val="0"/>
          <w:szCs w:val="24"/>
        </w:rPr>
        <w:t>理财产品利益分配方案由产品管理人拟定，并由产品托管人复核后确定。</w:t>
      </w:r>
    </w:p>
    <w:p w14:paraId="663BFF6A"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理财</w:t>
      </w:r>
      <w:r>
        <w:rPr>
          <w:rFonts w:ascii="仿宋_GB2312" w:hAnsi="宋体" w:cs="宋体"/>
          <w:bCs/>
          <w:kern w:val="0"/>
          <w:szCs w:val="24"/>
        </w:rPr>
        <w:t>产品存续期间，产品管理人有权</w:t>
      </w:r>
      <w:r>
        <w:rPr>
          <w:rFonts w:ascii="仿宋_GB2312" w:hAnsi="宋体" w:cs="宋体" w:hint="eastAsia"/>
          <w:bCs/>
          <w:kern w:val="0"/>
          <w:szCs w:val="24"/>
        </w:rPr>
        <w:t>视</w:t>
      </w:r>
      <w:r>
        <w:rPr>
          <w:rFonts w:ascii="仿宋_GB2312" w:hAnsi="宋体" w:cs="宋体"/>
          <w:bCs/>
          <w:kern w:val="0"/>
          <w:szCs w:val="24"/>
        </w:rPr>
        <w:t>理财产品收益情况进行主动分配，相应分配基准日、分配方案由产品管理人及时披露。</w:t>
      </w:r>
    </w:p>
    <w:p w14:paraId="0D5EF009" w14:textId="77777777" w:rsidR="00A2049A" w:rsidRDefault="0029186B">
      <w:pPr>
        <w:pStyle w:val="2"/>
        <w:ind w:firstLine="482"/>
      </w:pPr>
      <w:r>
        <w:rPr>
          <w:rFonts w:hint="eastAsia"/>
        </w:rPr>
        <w:t>理财利益的分配</w:t>
      </w:r>
    </w:p>
    <w:p w14:paraId="6B00F80A"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理财</w:t>
      </w:r>
      <w:r>
        <w:rPr>
          <w:rFonts w:ascii="仿宋_GB2312" w:hAnsi="宋体" w:cs="宋体"/>
          <w:bCs/>
          <w:kern w:val="0"/>
          <w:szCs w:val="24"/>
        </w:rPr>
        <w:t>利益的分配日</w:t>
      </w:r>
    </w:p>
    <w:p w14:paraId="68CF197D"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bCs/>
          <w:kern w:val="0"/>
          <w:szCs w:val="24"/>
        </w:rPr>
        <w:t>）</w:t>
      </w:r>
      <w:r>
        <w:rPr>
          <w:rFonts w:ascii="仿宋_GB2312" w:hAnsi="宋体" w:cs="宋体" w:hint="eastAsia"/>
          <w:bCs/>
          <w:kern w:val="0"/>
          <w:szCs w:val="24"/>
        </w:rPr>
        <w:t>若</w:t>
      </w:r>
      <w:r>
        <w:rPr>
          <w:rFonts w:ascii="仿宋_GB2312" w:hAnsi="宋体" w:cs="宋体"/>
          <w:bCs/>
          <w:kern w:val="0"/>
          <w:szCs w:val="24"/>
        </w:rPr>
        <w:t>为期间分配的，原则上产品管理人应于分配基准日后</w:t>
      </w:r>
      <w:r>
        <w:rPr>
          <w:rFonts w:ascii="仿宋_GB2312" w:hAnsi="宋体" w:cs="宋体" w:hint="eastAsia"/>
          <w:bCs/>
          <w:kern w:val="0"/>
          <w:szCs w:val="24"/>
        </w:rPr>
        <w:t>【</w:t>
      </w:r>
      <w:r>
        <w:rPr>
          <w:rFonts w:ascii="仿宋_GB2312" w:hAnsi="宋体" w:cs="宋体" w:hint="eastAsia"/>
          <w:bCs/>
          <w:kern w:val="0"/>
          <w:szCs w:val="24"/>
        </w:rPr>
        <w:t>5</w:t>
      </w:r>
      <w:r>
        <w:rPr>
          <w:rFonts w:ascii="仿宋_GB2312" w:hAnsi="宋体" w:cs="宋体" w:hint="eastAsia"/>
          <w:bCs/>
          <w:kern w:val="0"/>
          <w:szCs w:val="24"/>
        </w:rPr>
        <w:t>】个</w:t>
      </w:r>
      <w:r>
        <w:rPr>
          <w:rFonts w:ascii="仿宋_GB2312" w:hAnsi="宋体" w:cs="宋体"/>
          <w:bCs/>
          <w:kern w:val="0"/>
          <w:szCs w:val="24"/>
        </w:rPr>
        <w:t>工作日内分配理财</w:t>
      </w:r>
      <w:r>
        <w:rPr>
          <w:rFonts w:ascii="仿宋_GB2312" w:hAnsi="宋体" w:cs="宋体" w:hint="eastAsia"/>
          <w:bCs/>
          <w:kern w:val="0"/>
          <w:szCs w:val="24"/>
        </w:rPr>
        <w:t>利益</w:t>
      </w:r>
      <w:r>
        <w:rPr>
          <w:rFonts w:ascii="仿宋_GB2312" w:hAnsi="宋体" w:cs="宋体"/>
          <w:bCs/>
          <w:kern w:val="0"/>
          <w:szCs w:val="24"/>
        </w:rPr>
        <w:t>（</w:t>
      </w:r>
      <w:r>
        <w:rPr>
          <w:rFonts w:ascii="仿宋_GB2312" w:hAnsi="宋体" w:cs="宋体" w:hint="eastAsia"/>
          <w:bCs/>
          <w:kern w:val="0"/>
          <w:szCs w:val="24"/>
        </w:rPr>
        <w:t>如有</w:t>
      </w:r>
      <w:r>
        <w:rPr>
          <w:rFonts w:ascii="仿宋_GB2312" w:hAnsi="宋体" w:cs="宋体"/>
          <w:bCs/>
          <w:kern w:val="0"/>
          <w:szCs w:val="24"/>
        </w:rPr>
        <w:t>）</w:t>
      </w:r>
      <w:r>
        <w:rPr>
          <w:rFonts w:ascii="仿宋_GB2312" w:hAnsi="宋体" w:cs="宋体" w:hint="eastAsia"/>
          <w:bCs/>
          <w:kern w:val="0"/>
          <w:szCs w:val="24"/>
        </w:rPr>
        <w:t>。</w:t>
      </w:r>
    </w:p>
    <w:p w14:paraId="4051E380"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bCs/>
          <w:kern w:val="0"/>
          <w:szCs w:val="24"/>
        </w:rPr>
        <w:t>）</w:t>
      </w:r>
      <w:r>
        <w:rPr>
          <w:rFonts w:ascii="仿宋_GB2312" w:hAnsi="宋体" w:cs="宋体" w:hint="eastAsia"/>
          <w:bCs/>
          <w:kern w:val="0"/>
          <w:szCs w:val="24"/>
        </w:rPr>
        <w:t>若为</w:t>
      </w:r>
      <w:r>
        <w:rPr>
          <w:rFonts w:ascii="仿宋_GB2312" w:hAnsi="宋体" w:cs="宋体"/>
          <w:bCs/>
          <w:kern w:val="0"/>
          <w:szCs w:val="24"/>
        </w:rPr>
        <w:t>终止分配的，</w:t>
      </w:r>
      <w:r>
        <w:rPr>
          <w:rFonts w:ascii="仿宋_GB2312" w:hAnsi="宋体" w:cs="宋体" w:hint="eastAsia"/>
          <w:bCs/>
          <w:kern w:val="0"/>
          <w:szCs w:val="24"/>
        </w:rPr>
        <w:t>产品</w:t>
      </w:r>
      <w:r>
        <w:rPr>
          <w:rFonts w:ascii="仿宋_GB2312" w:hAnsi="宋体" w:cs="宋体"/>
          <w:bCs/>
          <w:kern w:val="0"/>
          <w:szCs w:val="24"/>
        </w:rPr>
        <w:t>管理人应按</w:t>
      </w:r>
      <w:r>
        <w:rPr>
          <w:rFonts w:ascii="仿宋_GB2312" w:hAnsi="宋体" w:cs="宋体"/>
          <w:bCs/>
          <w:kern w:val="0"/>
          <w:szCs w:val="24"/>
        </w:rPr>
        <w:t>“</w:t>
      </w:r>
      <w:r>
        <w:rPr>
          <w:rFonts w:ascii="仿宋_GB2312" w:hAnsi="宋体" w:cs="宋体" w:hint="eastAsia"/>
          <w:bCs/>
          <w:kern w:val="0"/>
          <w:szCs w:val="24"/>
        </w:rPr>
        <w:t>第十节</w:t>
      </w:r>
      <w:r>
        <w:rPr>
          <w:rFonts w:ascii="仿宋_GB2312" w:hAnsi="宋体" w:cs="宋体" w:hint="eastAsia"/>
          <w:bCs/>
          <w:kern w:val="0"/>
          <w:szCs w:val="24"/>
        </w:rPr>
        <w:t xml:space="preserve"> </w:t>
      </w:r>
      <w:r>
        <w:rPr>
          <w:rFonts w:ascii="仿宋_GB2312" w:hAnsi="宋体" w:cs="宋体" w:hint="eastAsia"/>
          <w:bCs/>
          <w:kern w:val="0"/>
          <w:szCs w:val="24"/>
        </w:rPr>
        <w:t>理财</w:t>
      </w:r>
      <w:r>
        <w:rPr>
          <w:rFonts w:ascii="仿宋_GB2312" w:hAnsi="宋体" w:cs="宋体"/>
          <w:bCs/>
          <w:kern w:val="0"/>
          <w:szCs w:val="24"/>
        </w:rPr>
        <w:t>产品终止与清算</w:t>
      </w:r>
      <w:r>
        <w:rPr>
          <w:rFonts w:ascii="仿宋_GB2312" w:hAnsi="宋体" w:cs="宋体"/>
          <w:bCs/>
          <w:kern w:val="0"/>
          <w:szCs w:val="24"/>
        </w:rPr>
        <w:t>”</w:t>
      </w:r>
      <w:r>
        <w:rPr>
          <w:rFonts w:ascii="仿宋_GB2312" w:hAnsi="宋体" w:cs="宋体" w:hint="eastAsia"/>
          <w:bCs/>
          <w:kern w:val="0"/>
          <w:szCs w:val="24"/>
        </w:rPr>
        <w:t>中</w:t>
      </w:r>
      <w:r>
        <w:rPr>
          <w:rFonts w:ascii="仿宋_GB2312" w:hAnsi="宋体" w:cs="宋体"/>
          <w:bCs/>
          <w:kern w:val="0"/>
          <w:szCs w:val="24"/>
        </w:rPr>
        <w:t>产品清算期的相关约定向投资者分配</w:t>
      </w:r>
      <w:r>
        <w:rPr>
          <w:rFonts w:ascii="仿宋_GB2312" w:hAnsi="宋体" w:cs="宋体" w:hint="eastAsia"/>
          <w:bCs/>
          <w:kern w:val="0"/>
          <w:szCs w:val="24"/>
        </w:rPr>
        <w:t>理财</w:t>
      </w:r>
      <w:r>
        <w:rPr>
          <w:rFonts w:ascii="仿宋_GB2312" w:hAnsi="宋体" w:cs="宋体"/>
          <w:bCs/>
          <w:kern w:val="0"/>
          <w:szCs w:val="24"/>
        </w:rPr>
        <w:t>利益（</w:t>
      </w:r>
      <w:r>
        <w:rPr>
          <w:rFonts w:ascii="仿宋_GB2312" w:hAnsi="宋体" w:cs="宋体" w:hint="eastAsia"/>
          <w:bCs/>
          <w:kern w:val="0"/>
          <w:szCs w:val="24"/>
        </w:rPr>
        <w:t>如有</w:t>
      </w:r>
      <w:r>
        <w:rPr>
          <w:rFonts w:ascii="仿宋_GB2312" w:hAnsi="宋体" w:cs="宋体"/>
          <w:bCs/>
          <w:kern w:val="0"/>
          <w:szCs w:val="24"/>
        </w:rPr>
        <w:t>）</w:t>
      </w:r>
      <w:r>
        <w:rPr>
          <w:rFonts w:ascii="仿宋_GB2312" w:hAnsi="宋体" w:cs="宋体" w:hint="eastAsia"/>
          <w:bCs/>
          <w:kern w:val="0"/>
          <w:szCs w:val="24"/>
        </w:rPr>
        <w:t>。</w:t>
      </w:r>
    </w:p>
    <w:p w14:paraId="4D60AF26" w14:textId="77777777" w:rsidR="00A2049A" w:rsidRDefault="0029186B">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具体</w:t>
      </w:r>
      <w:r>
        <w:rPr>
          <w:rFonts w:ascii="仿宋_GB2312" w:hAnsi="宋体" w:cs="宋体"/>
          <w:bCs/>
          <w:kern w:val="0"/>
          <w:szCs w:val="24"/>
        </w:rPr>
        <w:t>的理财产品分配</w:t>
      </w:r>
      <w:r>
        <w:rPr>
          <w:rFonts w:ascii="仿宋_GB2312" w:hAnsi="宋体" w:cs="宋体" w:hint="eastAsia"/>
          <w:bCs/>
          <w:kern w:val="0"/>
          <w:szCs w:val="24"/>
        </w:rPr>
        <w:t>以</w:t>
      </w:r>
      <w:r>
        <w:rPr>
          <w:rFonts w:ascii="仿宋_GB2312" w:hAnsi="宋体" w:cs="宋体"/>
          <w:bCs/>
          <w:kern w:val="0"/>
          <w:szCs w:val="24"/>
        </w:rPr>
        <w:t>管理人实际分配的为准。</w:t>
      </w:r>
    </w:p>
    <w:p w14:paraId="3AD0EB74" w14:textId="77777777" w:rsidR="00A2049A" w:rsidRDefault="0029186B">
      <w:pPr>
        <w:widowControl/>
        <w:jc w:val="left"/>
        <w:rPr>
          <w:rFonts w:ascii="仿宋_GB2312" w:eastAsia="宋体" w:hAnsi="宋体" w:cs="宋体"/>
          <w:bCs/>
          <w:kern w:val="0"/>
          <w:szCs w:val="24"/>
        </w:rPr>
      </w:pPr>
      <w:r>
        <w:rPr>
          <w:rFonts w:ascii="仿宋_GB2312" w:hAnsi="宋体"/>
          <w:bCs/>
        </w:rPr>
        <w:br w:type="page"/>
      </w:r>
    </w:p>
    <w:p w14:paraId="19401251" w14:textId="77777777" w:rsidR="00A2049A" w:rsidRDefault="0029186B">
      <w:pPr>
        <w:pStyle w:val="1"/>
      </w:pPr>
      <w:r>
        <w:rPr>
          <w:rFonts w:hint="eastAsia"/>
        </w:rPr>
        <w:lastRenderedPageBreak/>
        <w:t>理财产品的费用与税收</w:t>
      </w:r>
    </w:p>
    <w:p w14:paraId="3CF5A597" w14:textId="77777777" w:rsidR="00A2049A" w:rsidRDefault="0029186B">
      <w:pPr>
        <w:pStyle w:val="2"/>
        <w:ind w:firstLine="482"/>
      </w:pPr>
      <w:r>
        <w:rPr>
          <w:rFonts w:hint="eastAsia"/>
        </w:rPr>
        <w:t>理财费用</w:t>
      </w:r>
    </w:p>
    <w:p w14:paraId="4E738212"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w:t>
      </w:r>
      <w:r>
        <w:rPr>
          <w:rFonts w:ascii="仿宋_GB2312" w:hAnsi="宋体" w:cs="宋体"/>
          <w:bCs/>
          <w:kern w:val="0"/>
          <w:szCs w:val="24"/>
        </w:rPr>
        <w:t>理财产品费用的种类</w:t>
      </w:r>
    </w:p>
    <w:p w14:paraId="3C4E5B97"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1</w:t>
      </w:r>
      <w:r>
        <w:rPr>
          <w:rFonts w:ascii="仿宋_GB2312" w:hAnsi="宋体" w:cs="宋体"/>
          <w:bCs/>
          <w:kern w:val="0"/>
          <w:szCs w:val="24"/>
        </w:rPr>
        <w:t>）理财产品的认购费、申购费、赎回费；</w:t>
      </w:r>
    </w:p>
    <w:p w14:paraId="31C231CC"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2</w:t>
      </w:r>
      <w:r>
        <w:rPr>
          <w:rFonts w:ascii="仿宋_GB2312" w:hAnsi="宋体" w:cs="宋体"/>
          <w:bCs/>
          <w:kern w:val="0"/>
          <w:szCs w:val="24"/>
        </w:rPr>
        <w:t>）理财产品的销售服务费；</w:t>
      </w:r>
    </w:p>
    <w:p w14:paraId="30D750B4"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3</w:t>
      </w:r>
      <w:r>
        <w:rPr>
          <w:rFonts w:ascii="仿宋_GB2312" w:hAnsi="宋体" w:cs="宋体"/>
          <w:bCs/>
          <w:kern w:val="0"/>
          <w:szCs w:val="24"/>
        </w:rPr>
        <w:t>）理财产品的</w:t>
      </w:r>
      <w:r>
        <w:rPr>
          <w:rFonts w:ascii="仿宋_GB2312" w:hAnsi="宋体" w:cs="宋体" w:hint="eastAsia"/>
          <w:bCs/>
          <w:kern w:val="0"/>
          <w:szCs w:val="24"/>
        </w:rPr>
        <w:t>投资管理费</w:t>
      </w:r>
      <w:r>
        <w:rPr>
          <w:rFonts w:ascii="仿宋_GB2312" w:hAnsi="宋体" w:cs="宋体"/>
          <w:bCs/>
          <w:kern w:val="0"/>
          <w:szCs w:val="24"/>
        </w:rPr>
        <w:t>及业绩报酬；</w:t>
      </w:r>
    </w:p>
    <w:p w14:paraId="34877E56"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4</w:t>
      </w:r>
      <w:r>
        <w:rPr>
          <w:rFonts w:ascii="仿宋_GB2312" w:hAnsi="宋体" w:cs="宋体"/>
          <w:bCs/>
          <w:kern w:val="0"/>
          <w:szCs w:val="24"/>
        </w:rPr>
        <w:t>）理财产品的产品托管费；</w:t>
      </w:r>
    </w:p>
    <w:p w14:paraId="53DC3F27"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5</w:t>
      </w:r>
      <w:r>
        <w:rPr>
          <w:rFonts w:ascii="仿宋_GB2312" w:hAnsi="宋体" w:cs="宋体"/>
          <w:bCs/>
          <w:kern w:val="0"/>
          <w:szCs w:val="24"/>
        </w:rPr>
        <w:t>）</w:t>
      </w:r>
      <w:r>
        <w:rPr>
          <w:rFonts w:ascii="仿宋_GB2312" w:hAnsi="宋体" w:cs="宋体" w:hint="eastAsia"/>
          <w:bCs/>
          <w:kern w:val="0"/>
          <w:szCs w:val="24"/>
        </w:rPr>
        <w:t>其他费用，包括但不限于：与</w:t>
      </w:r>
      <w:r>
        <w:rPr>
          <w:rFonts w:ascii="仿宋_GB2312" w:hAnsi="宋体" w:cs="宋体"/>
          <w:bCs/>
          <w:kern w:val="0"/>
          <w:szCs w:val="24"/>
        </w:rPr>
        <w:t>理财产品相关的</w:t>
      </w:r>
      <w:r>
        <w:rPr>
          <w:rFonts w:ascii="仿宋_GB2312" w:hAnsi="宋体" w:cs="宋体" w:hint="eastAsia"/>
          <w:bCs/>
          <w:kern w:val="0"/>
          <w:szCs w:val="24"/>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798220BC"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宋体" w:hAnsi="宋体" w:cs="宋体" w:hint="eastAsia"/>
          <w:kern w:val="0"/>
          <w:szCs w:val="24"/>
        </w:rPr>
        <w:t>本产</w:t>
      </w:r>
      <w:r>
        <w:rPr>
          <w:rFonts w:ascii="宋体" w:hAnsi="宋体" w:cs="宋体" w:hint="eastAsia"/>
          <w:kern w:val="0"/>
          <w:szCs w:val="24"/>
        </w:rPr>
        <w:t>品可能根据投资者购买理财产品的</w:t>
      </w:r>
      <w:r>
        <w:rPr>
          <w:rFonts w:ascii="仿宋_GB2312" w:hAnsi="宋体" w:cs="宋体" w:hint="eastAsia"/>
          <w:bCs/>
          <w:kern w:val="0"/>
          <w:szCs w:val="24"/>
        </w:rPr>
        <w:t>金额、销售渠道、客户类型</w:t>
      </w:r>
      <w:r>
        <w:rPr>
          <w:rFonts w:ascii="宋体" w:hAnsi="宋体" w:cs="宋体" w:hint="eastAsia"/>
          <w:kern w:val="0"/>
          <w:szCs w:val="24"/>
        </w:rPr>
        <w:t>等因素设置不同产品份额</w:t>
      </w:r>
      <w:r>
        <w:rPr>
          <w:rFonts w:ascii="仿宋_GB2312" w:hAnsi="宋体" w:cs="宋体" w:hint="eastAsia"/>
          <w:bCs/>
          <w:kern w:val="0"/>
          <w:szCs w:val="24"/>
        </w:rPr>
        <w:t>类别</w:t>
      </w:r>
      <w:r>
        <w:rPr>
          <w:rFonts w:ascii="宋体" w:hAnsi="宋体" w:cs="宋体" w:hint="eastAsia"/>
          <w:kern w:val="0"/>
          <w:szCs w:val="24"/>
        </w:rPr>
        <w:t>，各类产品份额</w:t>
      </w:r>
      <w:r>
        <w:rPr>
          <w:rFonts w:ascii="仿宋_GB2312" w:hAnsi="宋体" w:cs="宋体" w:hint="eastAsia"/>
          <w:bCs/>
          <w:kern w:val="0"/>
          <w:szCs w:val="24"/>
        </w:rPr>
        <w:t>可能分别设置不同的</w:t>
      </w:r>
      <w:r>
        <w:rPr>
          <w:rFonts w:ascii="仿宋_GB2312" w:hAnsi="宋体" w:cs="宋体"/>
          <w:bCs/>
          <w:kern w:val="0"/>
          <w:szCs w:val="24"/>
        </w:rPr>
        <w:t>销售服务</w:t>
      </w:r>
      <w:r>
        <w:rPr>
          <w:rFonts w:ascii="宋体" w:hAnsi="宋体" w:cs="宋体"/>
          <w:kern w:val="0"/>
          <w:szCs w:val="24"/>
        </w:rPr>
        <w:t>费率</w:t>
      </w:r>
      <w:r>
        <w:rPr>
          <w:rFonts w:ascii="宋体" w:hAnsi="宋体" w:cs="宋体" w:hint="eastAsia"/>
          <w:kern w:val="0"/>
          <w:szCs w:val="24"/>
        </w:rPr>
        <w:t>、托管费率</w:t>
      </w:r>
      <w:r>
        <w:rPr>
          <w:rFonts w:ascii="宋体" w:hAnsi="宋体" w:cs="宋体"/>
          <w:kern w:val="0"/>
          <w:szCs w:val="24"/>
        </w:rPr>
        <w:t>，</w:t>
      </w:r>
      <w:r>
        <w:rPr>
          <w:rFonts w:ascii="仿宋_GB2312" w:hAnsi="宋体" w:cs="宋体"/>
          <w:bCs/>
          <w:kern w:val="0"/>
          <w:szCs w:val="24"/>
        </w:rPr>
        <w:t>费率具体数值以《产品说明书》</w:t>
      </w:r>
      <w:r>
        <w:rPr>
          <w:rFonts w:ascii="仿宋_GB2312" w:hAnsi="宋体" w:cs="宋体"/>
          <w:bCs/>
          <w:kern w:val="0"/>
          <w:szCs w:val="24"/>
        </w:rPr>
        <w:t>“</w:t>
      </w:r>
      <w:r>
        <w:rPr>
          <w:rFonts w:ascii="仿宋_GB2312" w:hAnsi="宋体" w:cs="宋体" w:hint="eastAsia"/>
          <w:bCs/>
          <w:kern w:val="0"/>
          <w:szCs w:val="24"/>
        </w:rPr>
        <w:t>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r>
        <w:rPr>
          <w:rFonts w:ascii="仿宋_GB2312" w:hAnsi="宋体" w:cs="宋体"/>
          <w:bCs/>
          <w:kern w:val="0"/>
          <w:szCs w:val="24"/>
        </w:rPr>
        <w:t>”</w:t>
      </w:r>
      <w:r>
        <w:rPr>
          <w:rFonts w:ascii="仿宋_GB2312" w:hAnsi="宋体" w:cs="宋体"/>
          <w:bCs/>
          <w:kern w:val="0"/>
          <w:szCs w:val="24"/>
        </w:rPr>
        <w:t>为准。</w:t>
      </w:r>
    </w:p>
    <w:p w14:paraId="036A7DB6"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w:t>
      </w:r>
      <w:r>
        <w:rPr>
          <w:rFonts w:ascii="仿宋_GB2312" w:hAnsi="宋体" w:cs="宋体"/>
          <w:bCs/>
          <w:kern w:val="0"/>
          <w:szCs w:val="24"/>
        </w:rPr>
        <w:t>理财产品费用计提方法、计提标准和支付方式</w:t>
      </w:r>
    </w:p>
    <w:p w14:paraId="78A071F2"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1</w:t>
      </w:r>
      <w:r>
        <w:rPr>
          <w:rFonts w:ascii="仿宋_GB2312" w:hAnsi="宋体" w:cs="宋体"/>
          <w:bCs/>
          <w:kern w:val="0"/>
          <w:szCs w:val="24"/>
        </w:rPr>
        <w:t>）理财产品的认购费、申购费、赎回费</w:t>
      </w:r>
    </w:p>
    <w:p w14:paraId="27B79F7F"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w:t>
      </w:r>
      <w:r>
        <w:rPr>
          <w:rFonts w:ascii="仿宋_GB2312" w:hAnsi="宋体" w:cs="宋体"/>
          <w:bCs/>
          <w:kern w:val="0"/>
          <w:szCs w:val="24"/>
        </w:rPr>
        <w:t>）认购费：费率具体数值以《产品说明书》</w:t>
      </w:r>
      <w:r>
        <w:rPr>
          <w:rFonts w:ascii="仿宋_GB2312" w:hAnsi="宋体" w:cs="宋体"/>
          <w:bCs/>
          <w:kern w:val="0"/>
          <w:szCs w:val="24"/>
        </w:rPr>
        <w:t>“</w:t>
      </w:r>
      <w:r>
        <w:rPr>
          <w:rFonts w:ascii="仿宋_GB2312" w:hAnsi="宋体" w:cs="宋体" w:hint="eastAsia"/>
          <w:bCs/>
          <w:kern w:val="0"/>
          <w:szCs w:val="24"/>
        </w:rPr>
        <w:t>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r>
        <w:rPr>
          <w:rFonts w:ascii="仿宋_GB2312" w:hAnsi="宋体" w:cs="宋体"/>
          <w:bCs/>
          <w:kern w:val="0"/>
          <w:szCs w:val="24"/>
        </w:rPr>
        <w:t>”</w:t>
      </w:r>
      <w:r>
        <w:rPr>
          <w:rFonts w:ascii="仿宋_GB2312" w:hAnsi="宋体" w:cs="宋体"/>
          <w:bCs/>
          <w:kern w:val="0"/>
          <w:szCs w:val="24"/>
        </w:rPr>
        <w:t>为准。</w:t>
      </w:r>
    </w:p>
    <w:p w14:paraId="2D494FC4"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w:t>
      </w:r>
      <w:r>
        <w:rPr>
          <w:rFonts w:ascii="仿宋_GB2312" w:hAnsi="宋体" w:cs="宋体"/>
          <w:bCs/>
          <w:kern w:val="0"/>
          <w:szCs w:val="24"/>
        </w:rPr>
        <w:t>）申购费：费率具体数值以《产品说明书》</w:t>
      </w:r>
      <w:r>
        <w:rPr>
          <w:rFonts w:ascii="仿宋_GB2312" w:hAnsi="宋体" w:cs="宋体"/>
          <w:bCs/>
          <w:kern w:val="0"/>
          <w:szCs w:val="24"/>
        </w:rPr>
        <w:t>“</w:t>
      </w:r>
      <w:r>
        <w:rPr>
          <w:rFonts w:ascii="仿宋_GB2312" w:hAnsi="宋体" w:cs="宋体" w:hint="eastAsia"/>
          <w:bCs/>
          <w:kern w:val="0"/>
          <w:szCs w:val="24"/>
        </w:rPr>
        <w:t>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r>
        <w:rPr>
          <w:rFonts w:ascii="仿宋_GB2312" w:hAnsi="宋体" w:cs="宋体"/>
          <w:bCs/>
          <w:kern w:val="0"/>
          <w:szCs w:val="24"/>
        </w:rPr>
        <w:t>”</w:t>
      </w:r>
      <w:r>
        <w:rPr>
          <w:rFonts w:ascii="仿宋_GB2312" w:hAnsi="宋体" w:cs="宋体"/>
          <w:bCs/>
          <w:kern w:val="0"/>
          <w:szCs w:val="24"/>
        </w:rPr>
        <w:t>为准。</w:t>
      </w:r>
    </w:p>
    <w:p w14:paraId="76D2153F"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bCs/>
          <w:kern w:val="0"/>
          <w:szCs w:val="24"/>
        </w:rPr>
        <w:t>）赎回费：费率具体数值以《产品说明书》</w:t>
      </w:r>
      <w:r>
        <w:rPr>
          <w:rFonts w:ascii="仿宋_GB2312" w:hAnsi="宋体" w:cs="宋体"/>
          <w:bCs/>
          <w:kern w:val="0"/>
          <w:szCs w:val="24"/>
        </w:rPr>
        <w:t>“</w:t>
      </w:r>
      <w:r>
        <w:rPr>
          <w:rFonts w:ascii="仿宋_GB2312" w:hAnsi="宋体" w:cs="宋体" w:hint="eastAsia"/>
          <w:bCs/>
          <w:kern w:val="0"/>
          <w:szCs w:val="24"/>
        </w:rPr>
        <w:t>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理财产品基本情况”为准。</w:t>
      </w:r>
    </w:p>
    <w:p w14:paraId="5F54C4B6"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）理财产品的销售服务费</w:t>
      </w:r>
    </w:p>
    <w:p w14:paraId="5A70937F" w14:textId="77777777" w:rsidR="00A2049A" w:rsidRDefault="0029186B">
      <w:pPr>
        <w:tabs>
          <w:tab w:val="left" w:pos="3119"/>
        </w:tabs>
        <w:autoSpaceDE w:val="0"/>
        <w:autoSpaceDN w:val="0"/>
        <w:snapToGrid w:val="0"/>
        <w:spacing w:line="360" w:lineRule="auto"/>
        <w:ind w:firstLineChars="200" w:firstLine="480"/>
        <w:rPr>
          <w:rFonts w:ascii="仿宋_GB2312" w:hAnsi="宋体" w:cs="宋体"/>
          <w:bCs/>
          <w:spacing w:val="-4"/>
          <w:kern w:val="0"/>
          <w:szCs w:val="24"/>
        </w:rPr>
      </w:pPr>
      <w:r>
        <w:rPr>
          <w:rFonts w:ascii="仿宋_GB2312" w:hAnsi="宋体" w:cs="宋体" w:hint="eastAsia"/>
          <w:bCs/>
          <w:kern w:val="0"/>
          <w:szCs w:val="24"/>
        </w:rPr>
        <w:t>本产品的销售服务费按前一日理财资产净值与销售服务费费率每日计提。</w:t>
      </w:r>
      <w:r>
        <w:rPr>
          <w:rFonts w:ascii="仿宋_GB2312" w:hAnsi="宋体" w:cs="宋体" w:hint="eastAsia"/>
          <w:bCs/>
          <w:spacing w:val="-4"/>
          <w:kern w:val="0"/>
          <w:szCs w:val="24"/>
        </w:rPr>
        <w:t>管理人可按季或产品开放周期（如有）收取，或与后续季度、开放周期（如有）合并收取</w:t>
      </w:r>
      <w:r>
        <w:rPr>
          <w:rFonts w:ascii="仿宋_GB2312" w:hAnsi="宋体" w:cs="宋体" w:hint="eastAsia"/>
          <w:bCs/>
          <w:kern w:val="0"/>
          <w:szCs w:val="24"/>
        </w:rPr>
        <w:t>。销售服务费</w:t>
      </w:r>
      <w:r>
        <w:rPr>
          <w:rFonts w:ascii="仿宋_GB2312" w:hAnsi="宋体" w:cs="宋体" w:hint="eastAsia"/>
          <w:bCs/>
          <w:spacing w:val="-4"/>
          <w:kern w:val="0"/>
          <w:szCs w:val="24"/>
        </w:rPr>
        <w:t>精确到小数点后</w:t>
      </w:r>
      <w:r>
        <w:rPr>
          <w:rFonts w:ascii="仿宋_GB2312" w:hAnsi="宋体" w:cs="宋体" w:hint="eastAsia"/>
          <w:bCs/>
          <w:spacing w:val="-4"/>
          <w:kern w:val="0"/>
          <w:szCs w:val="24"/>
        </w:rPr>
        <w:t>2</w:t>
      </w:r>
      <w:r>
        <w:rPr>
          <w:rFonts w:ascii="仿宋_GB2312" w:hAnsi="宋体" w:cs="宋体" w:hint="eastAsia"/>
          <w:bCs/>
          <w:spacing w:val="-4"/>
          <w:kern w:val="0"/>
          <w:szCs w:val="24"/>
        </w:rPr>
        <w:t>位，小数点</w:t>
      </w:r>
      <w:r>
        <w:rPr>
          <w:rFonts w:ascii="仿宋_GB2312" w:hAnsi="宋体" w:cs="宋体" w:hint="eastAsia"/>
          <w:bCs/>
          <w:spacing w:val="-4"/>
          <w:kern w:val="0"/>
          <w:szCs w:val="24"/>
        </w:rPr>
        <w:t>2</w:t>
      </w:r>
      <w:r>
        <w:rPr>
          <w:rFonts w:ascii="仿宋_GB2312" w:hAnsi="宋体" w:cs="宋体" w:hint="eastAsia"/>
          <w:bCs/>
          <w:spacing w:val="-4"/>
          <w:kern w:val="0"/>
          <w:szCs w:val="24"/>
        </w:rPr>
        <w:t>位以后四舍五入。</w:t>
      </w:r>
    </w:p>
    <w:p w14:paraId="398C1638"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销售服务费的计算方法如下：</w:t>
      </w:r>
    </w:p>
    <w:p w14:paraId="624A62DE"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w:t>
      </w:r>
      <w:r>
        <w:rPr>
          <w:rFonts w:ascii="仿宋_GB2312" w:hAnsi="宋体" w:cs="宋体" w:hint="eastAsia"/>
          <w:bCs/>
          <w:kern w:val="0"/>
          <w:szCs w:val="24"/>
        </w:rPr>
        <w:t>E</w:t>
      </w:r>
      <w:r>
        <w:rPr>
          <w:rFonts w:ascii="仿宋_GB2312" w:hAnsi="宋体" w:cs="宋体" w:hint="eastAsia"/>
          <w:bCs/>
          <w:kern w:val="0"/>
          <w:szCs w:val="24"/>
        </w:rPr>
        <w:t>×销售服务费年费率÷</w:t>
      </w:r>
      <w:r>
        <w:rPr>
          <w:rFonts w:ascii="仿宋_GB2312" w:hAnsi="宋体" w:cs="宋体" w:hint="eastAsia"/>
          <w:bCs/>
          <w:kern w:val="0"/>
          <w:szCs w:val="24"/>
        </w:rPr>
        <w:t>365</w:t>
      </w:r>
    </w:p>
    <w:p w14:paraId="29937AA8"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为每日应计提的销售服务费</w:t>
      </w:r>
    </w:p>
    <w:p w14:paraId="5F49A9C9"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w:t>
      </w:r>
      <w:r>
        <w:rPr>
          <w:rFonts w:ascii="仿宋_GB2312" w:hAnsi="宋体" w:cs="宋体" w:hint="eastAsia"/>
          <w:bCs/>
          <w:kern w:val="0"/>
          <w:szCs w:val="24"/>
        </w:rPr>
        <w:t>为前一日的理财资产净值</w:t>
      </w:r>
    </w:p>
    <w:p w14:paraId="208A464E"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销售服务费依照上述约定，从理财财产中支付。费率具体数值以《产品说明书》“第二节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理财产品基本情况”为准。</w:t>
      </w:r>
    </w:p>
    <w:p w14:paraId="3F00D666"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）理财产品的投资管理费</w:t>
      </w:r>
    </w:p>
    <w:p w14:paraId="0B639318"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本产品的投资管理费按前一日理财资产净值与投资管理费费率每日计提，</w:t>
      </w:r>
      <w:r>
        <w:rPr>
          <w:rFonts w:ascii="仿宋_GB2312" w:hAnsi="宋体" w:cs="宋体" w:hint="eastAsia"/>
          <w:bCs/>
          <w:spacing w:val="-4"/>
          <w:kern w:val="0"/>
          <w:szCs w:val="24"/>
        </w:rPr>
        <w:t>管理人可按季或产品开放周期（如有）收取，或与后续季度、开放周期（如有）合并收取。</w:t>
      </w:r>
      <w:r>
        <w:rPr>
          <w:rFonts w:ascii="仿宋_GB2312" w:hAnsi="宋体" w:cs="宋体" w:hint="eastAsia"/>
          <w:bCs/>
          <w:kern w:val="0"/>
          <w:szCs w:val="24"/>
        </w:rPr>
        <w:t>投资管理费</w:t>
      </w:r>
      <w:r>
        <w:rPr>
          <w:rFonts w:ascii="仿宋_GB2312" w:hAnsi="宋体" w:cs="宋体" w:hint="eastAsia"/>
          <w:bCs/>
          <w:spacing w:val="-4"/>
          <w:kern w:val="0"/>
          <w:szCs w:val="24"/>
        </w:rPr>
        <w:t>精确到小数点后</w:t>
      </w:r>
      <w:r>
        <w:rPr>
          <w:rFonts w:ascii="仿宋_GB2312" w:hAnsi="宋体" w:cs="宋体" w:hint="eastAsia"/>
          <w:bCs/>
          <w:spacing w:val="-4"/>
          <w:kern w:val="0"/>
          <w:szCs w:val="24"/>
        </w:rPr>
        <w:t>2</w:t>
      </w:r>
      <w:r>
        <w:rPr>
          <w:rFonts w:ascii="仿宋_GB2312" w:hAnsi="宋体" w:cs="宋体" w:hint="eastAsia"/>
          <w:bCs/>
          <w:spacing w:val="-4"/>
          <w:kern w:val="0"/>
          <w:szCs w:val="24"/>
        </w:rPr>
        <w:t>位，小数点</w:t>
      </w:r>
      <w:r>
        <w:rPr>
          <w:rFonts w:ascii="仿宋_GB2312" w:hAnsi="宋体" w:cs="宋体" w:hint="eastAsia"/>
          <w:bCs/>
          <w:spacing w:val="-4"/>
          <w:kern w:val="0"/>
          <w:szCs w:val="24"/>
        </w:rPr>
        <w:t>2</w:t>
      </w:r>
      <w:r>
        <w:rPr>
          <w:rFonts w:ascii="仿宋_GB2312" w:hAnsi="宋体" w:cs="宋体" w:hint="eastAsia"/>
          <w:bCs/>
          <w:spacing w:val="-4"/>
          <w:kern w:val="0"/>
          <w:szCs w:val="24"/>
        </w:rPr>
        <w:t>位以后四舍五入</w:t>
      </w:r>
      <w:r>
        <w:rPr>
          <w:rFonts w:ascii="仿宋_GB2312" w:hAnsi="宋体" w:cs="宋体" w:hint="eastAsia"/>
          <w:bCs/>
          <w:kern w:val="0"/>
          <w:szCs w:val="24"/>
        </w:rPr>
        <w:t>。</w:t>
      </w:r>
    </w:p>
    <w:p w14:paraId="560B8125"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投资管理费的计算方法如下：</w:t>
      </w:r>
    </w:p>
    <w:p w14:paraId="5EEFB4BA"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w:t>
      </w:r>
      <w:r>
        <w:rPr>
          <w:rFonts w:ascii="仿宋_GB2312" w:hAnsi="宋体" w:cs="宋体" w:hint="eastAsia"/>
          <w:bCs/>
          <w:kern w:val="0"/>
          <w:szCs w:val="24"/>
        </w:rPr>
        <w:t>E</w:t>
      </w:r>
      <w:r>
        <w:rPr>
          <w:rFonts w:ascii="仿宋_GB2312" w:hAnsi="宋体" w:cs="宋体" w:hint="eastAsia"/>
          <w:bCs/>
          <w:kern w:val="0"/>
          <w:szCs w:val="24"/>
        </w:rPr>
        <w:t>×投资管理费年费率÷</w:t>
      </w:r>
      <w:r>
        <w:rPr>
          <w:rFonts w:ascii="仿宋_GB2312" w:hAnsi="宋体" w:cs="宋体" w:hint="eastAsia"/>
          <w:bCs/>
          <w:kern w:val="0"/>
          <w:szCs w:val="24"/>
        </w:rPr>
        <w:t>365</w:t>
      </w:r>
    </w:p>
    <w:p w14:paraId="2D2F0D8E"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为每日应计提的产品投资管理费</w:t>
      </w:r>
    </w:p>
    <w:p w14:paraId="29534E18"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w:t>
      </w:r>
      <w:r>
        <w:rPr>
          <w:rFonts w:ascii="仿宋_GB2312" w:hAnsi="宋体" w:cs="宋体" w:hint="eastAsia"/>
          <w:bCs/>
          <w:kern w:val="0"/>
          <w:szCs w:val="24"/>
        </w:rPr>
        <w:t>为前一日的理财资产净值</w:t>
      </w:r>
    </w:p>
    <w:p w14:paraId="668C110D"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投资管理费依照上述约定，从理财财产中支付。费率具体数值以《产品说明书》“第二节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理财产品基本情况”为准。</w:t>
      </w:r>
    </w:p>
    <w:p w14:paraId="236B863C"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bCs/>
          <w:kern w:val="0"/>
          <w:szCs w:val="24"/>
        </w:rPr>
        <w:t>4</w:t>
      </w:r>
      <w:r>
        <w:rPr>
          <w:rFonts w:ascii="仿宋_GB2312" w:hAnsi="宋体" w:cs="宋体"/>
          <w:bCs/>
          <w:kern w:val="0"/>
          <w:szCs w:val="24"/>
        </w:rPr>
        <w:t>）业绩报酬</w:t>
      </w:r>
    </w:p>
    <w:p w14:paraId="4C3874BB" w14:textId="77777777" w:rsidR="00A2049A" w:rsidRDefault="0029186B">
      <w:pPr>
        <w:pStyle w:val="af"/>
        <w:widowControl/>
        <w:snapToGrid w:val="0"/>
        <w:spacing w:line="360" w:lineRule="auto"/>
        <w:ind w:left="420" w:firstLineChars="0" w:firstLine="0"/>
        <w:rPr>
          <w:rFonts w:ascii="仿宋_GB2312" w:hAnsi="宋体" w:cs="宋体"/>
          <w:bCs/>
          <w:kern w:val="0"/>
          <w:szCs w:val="24"/>
        </w:rPr>
      </w:pPr>
      <w:r>
        <w:rPr>
          <w:rFonts w:ascii="仿宋_GB2312" w:hAnsi="宋体" w:cs="宋体" w:hint="eastAsia"/>
          <w:bCs/>
          <w:kern w:val="0"/>
          <w:szCs w:val="24"/>
        </w:rPr>
        <w:t>【□本产品</w:t>
      </w:r>
      <w:r>
        <w:rPr>
          <w:rFonts w:ascii="仿宋_GB2312" w:hAnsi="宋体" w:cs="宋体"/>
          <w:bCs/>
          <w:kern w:val="0"/>
          <w:szCs w:val="24"/>
        </w:rPr>
        <w:t>无业绩报酬。</w:t>
      </w:r>
      <w:r>
        <w:rPr>
          <w:rFonts w:ascii="仿宋_GB2312" w:hAnsi="宋体" w:cs="宋体" w:hint="eastAsia"/>
          <w:bCs/>
          <w:kern w:val="0"/>
          <w:szCs w:val="24"/>
        </w:rPr>
        <w:t>】</w:t>
      </w:r>
    </w:p>
    <w:p w14:paraId="16E5E171" w14:textId="77777777" w:rsidR="00A2049A" w:rsidRDefault="0029186B">
      <w:pPr>
        <w:widowControl/>
        <w:tabs>
          <w:tab w:val="left" w:pos="709"/>
        </w:tabs>
        <w:snapToGrid w:val="0"/>
        <w:spacing w:line="360" w:lineRule="auto"/>
        <w:ind w:firstLineChars="200" w:firstLine="480"/>
      </w:pPr>
      <w:r>
        <w:rPr>
          <w:rFonts w:ascii="仿宋_GB2312" w:hAnsi="宋体" w:cs="宋体" w:hint="eastAsia"/>
          <w:bCs/>
          <w:kern w:val="0"/>
          <w:szCs w:val="24"/>
        </w:rPr>
        <w:t>【</w:t>
      </w:r>
      <w:r>
        <w:rPr>
          <w:rFonts w:ascii="Wingdings 2" w:hAnsi="Wingdings 2" w:cs="宋体"/>
          <w:bCs/>
          <w:kern w:val="0"/>
          <w:szCs w:val="24"/>
        </w:rPr>
        <w:t></w:t>
      </w:r>
      <w:r>
        <w:rPr>
          <w:rFonts w:ascii="仿宋_GB2312" w:hAnsi="宋体" w:cs="宋体" w:hint="eastAsia"/>
          <w:bCs/>
          <w:kern w:val="0"/>
          <w:szCs w:val="24"/>
        </w:rPr>
        <w:t>理财产品管理人收取理财产品业绩报酬。业绩报酬每日计提，在产品到期日收取（如有）。在理财产品到期日时</w:t>
      </w:r>
      <w:r>
        <w:rPr>
          <w:rFonts w:hint="eastAsia"/>
        </w:rPr>
        <w:t>，若理财资产扣除销售服务费、产品托管费和投资管理费等相关费用和税收后，产品年化收益率超过业绩报酬计提基准，则产品管理人收取超出部分的一定比例作为业绩报酬。</w:t>
      </w:r>
    </w:p>
    <w:p w14:paraId="0BB440F6"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业绩报酬计提基准的设置、</w:t>
      </w:r>
      <w:r>
        <w:rPr>
          <w:rFonts w:hint="eastAsia"/>
        </w:rPr>
        <w:t>业绩报酬</w:t>
      </w:r>
      <w:r>
        <w:rPr>
          <w:rFonts w:ascii="仿宋_GB2312" w:hAnsi="宋体" w:cs="宋体" w:hint="eastAsia"/>
          <w:bCs/>
          <w:kern w:val="0"/>
          <w:szCs w:val="24"/>
        </w:rPr>
        <w:t>的具体比例数值以《产品说明书》“第二节</w:t>
      </w:r>
      <w:r>
        <w:rPr>
          <w:rFonts w:ascii="仿宋_GB2312" w:hAnsi="宋体" w:cs="宋体"/>
          <w:bCs/>
          <w:kern w:val="0"/>
          <w:szCs w:val="24"/>
        </w:rPr>
        <w:t xml:space="preserve"> </w:t>
      </w:r>
      <w:r>
        <w:rPr>
          <w:rFonts w:ascii="仿宋_GB2312" w:hAnsi="宋体" w:cs="宋体" w:hint="eastAsia"/>
          <w:bCs/>
          <w:kern w:val="0"/>
          <w:szCs w:val="24"/>
        </w:rPr>
        <w:t>理财产品基本情况”为准。</w:t>
      </w:r>
    </w:p>
    <w:p w14:paraId="1DC4272F"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hint="eastAsia"/>
        </w:rPr>
        <w:t>业绩报酬</w:t>
      </w:r>
      <w:r>
        <w:rPr>
          <w:rFonts w:ascii="仿宋_GB2312" w:hAnsi="宋体" w:cs="宋体" w:hint="eastAsia"/>
          <w:bCs/>
          <w:kern w:val="0"/>
          <w:szCs w:val="24"/>
        </w:rPr>
        <w:t>的计提</w:t>
      </w:r>
      <w:r>
        <w:rPr>
          <w:rFonts w:ascii="仿宋_GB2312" w:hAnsi="宋体" w:cs="宋体" w:hint="eastAsia"/>
          <w:bCs/>
          <w:kern w:val="0"/>
          <w:szCs w:val="24"/>
        </w:rPr>
        <w:t>/</w:t>
      </w:r>
      <w:r>
        <w:rPr>
          <w:rFonts w:ascii="仿宋_GB2312" w:hAnsi="宋体" w:cs="宋体" w:hint="eastAsia"/>
          <w:bCs/>
          <w:kern w:val="0"/>
          <w:szCs w:val="24"/>
        </w:rPr>
        <w:t>收取如下：</w:t>
      </w:r>
      <w:r>
        <w:rPr>
          <w:rFonts w:ascii="仿宋_GB2312" w:hAnsi="宋体" w:cs="宋体" w:hint="eastAsia"/>
          <w:bCs/>
          <w:kern w:val="0"/>
          <w:szCs w:val="24"/>
        </w:rPr>
        <w:t xml:space="preserve"> </w:t>
      </w:r>
    </w:p>
    <w:p w14:paraId="66C2805B"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产品年化收益率</w:t>
      </w:r>
      <w:r>
        <w:rPr>
          <w:rFonts w:ascii="仿宋_GB2312" w:hAnsi="宋体" w:cs="宋体"/>
          <w:bCs/>
          <w:kern w:val="0"/>
          <w:szCs w:val="24"/>
        </w:rPr>
        <w:t>R</w:t>
      </w:r>
      <w:r>
        <w:rPr>
          <w:rFonts w:ascii="仿宋_GB2312" w:hAnsi="宋体" w:cs="宋体" w:hint="eastAsia"/>
          <w:bCs/>
          <w:kern w:val="0"/>
          <w:szCs w:val="24"/>
        </w:rPr>
        <w:t>的计算公式，</w:t>
      </w:r>
      <w:r>
        <w:rPr>
          <w:rFonts w:ascii="仿宋_GB2312" w:hAnsi="宋体" w:cs="宋体" w:hint="eastAsia"/>
          <w:bCs/>
          <w:kern w:val="0"/>
          <w:szCs w:val="24"/>
        </w:rPr>
        <w:t>R=</w:t>
      </w:r>
      <w:r>
        <w:rPr>
          <w:rFonts w:ascii="仿宋_GB2312" w:hAnsi="宋体" w:cs="宋体" w:hint="eastAsia"/>
          <w:bCs/>
          <w:kern w:val="0"/>
          <w:szCs w:val="24"/>
        </w:rPr>
        <w:t>（</w:t>
      </w:r>
      <w:r>
        <w:rPr>
          <w:rFonts w:ascii="仿宋_GB2312" w:hAnsi="宋体" w:cs="宋体"/>
          <w:bCs/>
          <w:kern w:val="0"/>
          <w:szCs w:val="24"/>
        </w:rPr>
        <w:t>V</w:t>
      </w:r>
      <w:r>
        <w:rPr>
          <w:rFonts w:ascii="仿宋_GB2312" w:hAnsi="宋体" w:cs="宋体" w:hint="eastAsia"/>
          <w:bCs/>
          <w:kern w:val="0"/>
          <w:sz w:val="13"/>
          <w:szCs w:val="24"/>
        </w:rPr>
        <w:t>计提</w:t>
      </w:r>
      <w:r>
        <w:rPr>
          <w:rFonts w:ascii="仿宋_GB2312" w:hAnsi="宋体" w:cs="宋体" w:hint="eastAsia"/>
          <w:bCs/>
          <w:kern w:val="0"/>
          <w:sz w:val="13"/>
          <w:szCs w:val="24"/>
        </w:rPr>
        <w:t>/</w:t>
      </w:r>
      <w:r>
        <w:rPr>
          <w:rFonts w:ascii="仿宋_GB2312" w:hAnsi="宋体" w:cs="宋体" w:hint="eastAsia"/>
          <w:bCs/>
          <w:kern w:val="0"/>
          <w:sz w:val="13"/>
          <w:szCs w:val="24"/>
        </w:rPr>
        <w:t>到期日产品份额累计净值</w:t>
      </w:r>
      <w:r>
        <w:rPr>
          <w:rFonts w:ascii="仿宋_GB2312" w:hAnsi="宋体" w:cs="宋体" w:hint="eastAsia"/>
          <w:bCs/>
          <w:kern w:val="0"/>
          <w:szCs w:val="24"/>
        </w:rPr>
        <w:t>-V</w:t>
      </w:r>
      <w:r>
        <w:rPr>
          <w:rFonts w:ascii="仿宋_GB2312" w:hAnsi="宋体" w:cs="宋体" w:hint="eastAsia"/>
          <w:bCs/>
          <w:kern w:val="0"/>
          <w:sz w:val="13"/>
          <w:szCs w:val="24"/>
        </w:rPr>
        <w:t>期初份额净值</w:t>
      </w:r>
      <w:r>
        <w:rPr>
          <w:rFonts w:ascii="仿宋_GB2312" w:hAnsi="宋体" w:cs="宋体" w:hint="eastAsia"/>
          <w:bCs/>
          <w:kern w:val="0"/>
          <w:szCs w:val="24"/>
        </w:rPr>
        <w:t>）</w:t>
      </w:r>
      <w:r>
        <w:rPr>
          <w:rFonts w:ascii="仿宋_GB2312" w:hAnsi="宋体" w:cs="宋体" w:hint="eastAsia"/>
          <w:bCs/>
          <w:kern w:val="0"/>
          <w:szCs w:val="24"/>
        </w:rPr>
        <w:t>/V</w:t>
      </w:r>
      <w:r>
        <w:rPr>
          <w:rFonts w:ascii="仿宋_GB2312" w:hAnsi="宋体" w:cs="宋体" w:hint="eastAsia"/>
          <w:bCs/>
          <w:kern w:val="0"/>
          <w:sz w:val="13"/>
          <w:szCs w:val="24"/>
        </w:rPr>
        <w:t>期初份额净值</w:t>
      </w:r>
      <w:r>
        <w:rPr>
          <w:rFonts w:ascii="仿宋_GB2312" w:hAnsi="宋体" w:cs="宋体" w:hint="eastAsia"/>
          <w:bCs/>
          <w:kern w:val="0"/>
          <w:szCs w:val="24"/>
        </w:rPr>
        <w:t>/</w:t>
      </w:r>
      <w:r>
        <w:rPr>
          <w:rFonts w:ascii="仿宋_GB2312" w:hAnsi="宋体" w:cs="宋体" w:hint="eastAsia"/>
          <w:bCs/>
          <w:kern w:val="0"/>
          <w:szCs w:val="24"/>
        </w:rPr>
        <w:t>（</w:t>
      </w:r>
      <w:r>
        <w:rPr>
          <w:rFonts w:ascii="仿宋_GB2312" w:hAnsi="宋体" w:cs="宋体"/>
          <w:bCs/>
          <w:kern w:val="0"/>
          <w:szCs w:val="24"/>
        </w:rPr>
        <w:t>D+1</w:t>
      </w:r>
      <w:r>
        <w:rPr>
          <w:rFonts w:ascii="仿宋_GB2312" w:hAnsi="宋体" w:cs="宋体" w:hint="eastAsia"/>
          <w:bCs/>
          <w:kern w:val="0"/>
          <w:szCs w:val="24"/>
        </w:rPr>
        <w:t>）</w:t>
      </w:r>
      <w:r>
        <w:rPr>
          <w:rFonts w:ascii="仿宋_GB2312" w:hAnsi="宋体" w:cs="宋体"/>
          <w:bCs/>
          <w:kern w:val="0"/>
          <w:szCs w:val="24"/>
        </w:rPr>
        <w:t>*365*100</w:t>
      </w:r>
      <w:r>
        <w:rPr>
          <w:rFonts w:ascii="仿宋_GB2312" w:hAnsi="宋体" w:cs="宋体" w:hint="eastAsia"/>
          <w:bCs/>
          <w:kern w:val="0"/>
          <w:szCs w:val="24"/>
        </w:rPr>
        <w:t>%</w:t>
      </w:r>
    </w:p>
    <w:p w14:paraId="69060460"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产品管理人对产品年化收益率</w:t>
      </w:r>
      <w:r>
        <w:rPr>
          <w:rFonts w:ascii="仿宋_GB2312" w:hAnsi="宋体" w:cs="宋体"/>
          <w:bCs/>
          <w:kern w:val="0"/>
          <w:szCs w:val="24"/>
        </w:rPr>
        <w:t>超过</w:t>
      </w:r>
      <w:r>
        <w:rPr>
          <w:rFonts w:ascii="仿宋_GB2312" w:hAnsi="宋体" w:cs="宋体" w:hint="eastAsia"/>
          <w:bCs/>
          <w:kern w:val="0"/>
          <w:szCs w:val="24"/>
        </w:rPr>
        <w:t>业绩报酬计提基准的部分，按业绩报酬分成比例</w:t>
      </w:r>
      <w:r>
        <w:rPr>
          <w:rFonts w:ascii="仿宋_GB2312" w:hAnsi="宋体" w:cs="宋体"/>
          <w:bCs/>
          <w:kern w:val="0"/>
          <w:szCs w:val="24"/>
        </w:rPr>
        <w:t>以及产品份额持有天数</w:t>
      </w:r>
      <w:r>
        <w:rPr>
          <w:rFonts w:ascii="仿宋_GB2312" w:hAnsi="宋体" w:cs="宋体" w:hint="eastAsia"/>
          <w:bCs/>
          <w:kern w:val="0"/>
          <w:szCs w:val="24"/>
        </w:rPr>
        <w:t>计提</w:t>
      </w:r>
      <w:r>
        <w:rPr>
          <w:rFonts w:ascii="仿宋_GB2312" w:hAnsi="宋体" w:cs="宋体" w:hint="eastAsia"/>
          <w:bCs/>
          <w:kern w:val="0"/>
          <w:szCs w:val="24"/>
        </w:rPr>
        <w:t>/</w:t>
      </w:r>
      <w:r>
        <w:rPr>
          <w:rFonts w:ascii="仿宋_GB2312" w:hAnsi="宋体" w:cs="宋体" w:hint="eastAsia"/>
          <w:bCs/>
          <w:kern w:val="0"/>
          <w:szCs w:val="24"/>
        </w:rPr>
        <w:t>收取</w:t>
      </w:r>
      <w:r>
        <w:rPr>
          <w:rFonts w:hint="eastAsia"/>
        </w:rPr>
        <w:t>业绩报酬</w:t>
      </w:r>
      <w:r>
        <w:rPr>
          <w:rFonts w:ascii="仿宋_GB2312" w:hAnsi="宋体" w:cs="宋体" w:hint="eastAsia"/>
          <w:bCs/>
          <w:kern w:val="0"/>
          <w:szCs w:val="24"/>
        </w:rPr>
        <w:t>，计算方法如下：</w:t>
      </w:r>
    </w:p>
    <w:p w14:paraId="47999AA3"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当</w:t>
      </w:r>
      <w:r>
        <w:rPr>
          <w:rFonts w:ascii="仿宋_GB2312" w:hAnsi="宋体" w:cs="宋体"/>
          <w:bCs/>
          <w:kern w:val="0"/>
          <w:szCs w:val="24"/>
        </w:rPr>
        <w:t>R</w:t>
      </w:r>
      <w:r>
        <w:rPr>
          <w:rFonts w:ascii="仿宋_GB2312" w:hAnsi="宋体" w:cs="宋体"/>
          <w:bCs/>
          <w:kern w:val="0"/>
          <w:szCs w:val="24"/>
        </w:rPr>
        <w:t>≤</w:t>
      </w:r>
      <w:r>
        <w:rPr>
          <w:rFonts w:ascii="仿宋_GB2312" w:hAnsi="宋体" w:cs="宋体" w:hint="eastAsia"/>
          <w:bCs/>
          <w:kern w:val="0"/>
          <w:szCs w:val="24"/>
        </w:rPr>
        <w:t>业绩报酬计提基准，可计提</w:t>
      </w:r>
      <w:r>
        <w:rPr>
          <w:rFonts w:ascii="仿宋_GB2312" w:hAnsi="宋体" w:cs="宋体" w:hint="eastAsia"/>
          <w:bCs/>
          <w:kern w:val="0"/>
          <w:szCs w:val="24"/>
        </w:rPr>
        <w:t>/</w:t>
      </w:r>
      <w:r>
        <w:rPr>
          <w:rFonts w:ascii="仿宋_GB2312" w:hAnsi="宋体" w:cs="宋体" w:hint="eastAsia"/>
          <w:bCs/>
          <w:kern w:val="0"/>
          <w:szCs w:val="24"/>
        </w:rPr>
        <w:t>收取</w:t>
      </w:r>
      <w:r>
        <w:rPr>
          <w:rFonts w:hint="eastAsia"/>
        </w:rPr>
        <w:t>业绩报酬</w:t>
      </w:r>
      <w:r>
        <w:rPr>
          <w:rFonts w:ascii="仿宋_GB2312" w:hAnsi="宋体" w:cs="宋体"/>
          <w:bCs/>
          <w:kern w:val="0"/>
          <w:szCs w:val="24"/>
        </w:rPr>
        <w:t>=0</w:t>
      </w:r>
      <w:r>
        <w:rPr>
          <w:rFonts w:ascii="仿宋_GB2312" w:hAnsi="宋体" w:cs="宋体"/>
          <w:bCs/>
          <w:kern w:val="0"/>
          <w:szCs w:val="24"/>
        </w:rPr>
        <w:t>；</w:t>
      </w:r>
    </w:p>
    <w:p w14:paraId="672F1C4B"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当</w:t>
      </w:r>
      <w:r>
        <w:rPr>
          <w:rFonts w:ascii="仿宋_GB2312" w:hAnsi="宋体" w:cs="宋体"/>
          <w:bCs/>
          <w:kern w:val="0"/>
          <w:szCs w:val="24"/>
        </w:rPr>
        <w:t>R</w:t>
      </w:r>
      <w:r>
        <w:rPr>
          <w:rFonts w:ascii="仿宋_GB2312" w:hAnsi="宋体" w:cs="宋体"/>
          <w:bCs/>
          <w:kern w:val="0"/>
          <w:szCs w:val="24"/>
        </w:rPr>
        <w:t>＞</w:t>
      </w:r>
      <w:r>
        <w:rPr>
          <w:rFonts w:ascii="仿宋_GB2312" w:hAnsi="宋体" w:cs="宋体" w:hint="eastAsia"/>
          <w:bCs/>
          <w:kern w:val="0"/>
          <w:szCs w:val="24"/>
        </w:rPr>
        <w:t>业绩报酬计提基准，可计提</w:t>
      </w:r>
      <w:r>
        <w:rPr>
          <w:rFonts w:ascii="仿宋_GB2312" w:hAnsi="宋体" w:cs="宋体" w:hint="eastAsia"/>
          <w:bCs/>
          <w:kern w:val="0"/>
          <w:szCs w:val="24"/>
        </w:rPr>
        <w:t>/</w:t>
      </w:r>
      <w:r>
        <w:rPr>
          <w:rFonts w:ascii="仿宋_GB2312" w:hAnsi="宋体" w:cs="宋体" w:hint="eastAsia"/>
          <w:bCs/>
          <w:kern w:val="0"/>
          <w:szCs w:val="24"/>
        </w:rPr>
        <w:t>收取</w:t>
      </w:r>
      <w:r>
        <w:rPr>
          <w:rFonts w:hint="eastAsia"/>
        </w:rPr>
        <w:t>业绩报酬</w:t>
      </w:r>
      <w:r>
        <w:rPr>
          <w:rFonts w:ascii="仿宋_GB2312" w:hAnsi="宋体" w:cs="宋体"/>
          <w:bCs/>
          <w:kern w:val="0"/>
          <w:szCs w:val="24"/>
        </w:rPr>
        <w:t>=</w:t>
      </w:r>
      <w:r>
        <w:rPr>
          <w:rFonts w:ascii="仿宋_GB2312" w:hAnsi="宋体" w:cs="宋体" w:hint="eastAsia"/>
          <w:bCs/>
          <w:kern w:val="0"/>
          <w:szCs w:val="24"/>
        </w:rPr>
        <w:t>产品计提</w:t>
      </w:r>
      <w:r>
        <w:rPr>
          <w:rFonts w:ascii="仿宋_GB2312" w:hAnsi="宋体" w:cs="宋体" w:hint="eastAsia"/>
          <w:bCs/>
          <w:kern w:val="0"/>
          <w:szCs w:val="24"/>
        </w:rPr>
        <w:t>/</w:t>
      </w:r>
      <w:r>
        <w:rPr>
          <w:rFonts w:ascii="仿宋_GB2312" w:hAnsi="宋体" w:cs="宋体" w:hint="eastAsia"/>
          <w:bCs/>
          <w:kern w:val="0"/>
          <w:szCs w:val="24"/>
        </w:rPr>
        <w:t>到期日投资者持有的产品份额×</w:t>
      </w:r>
      <w:r>
        <w:rPr>
          <w:rFonts w:ascii="仿宋_GB2312" w:hAnsi="宋体" w:cs="宋体" w:hint="eastAsia"/>
          <w:bCs/>
          <w:kern w:val="0"/>
          <w:szCs w:val="24"/>
        </w:rPr>
        <w:t>V</w:t>
      </w:r>
      <w:r>
        <w:rPr>
          <w:rFonts w:ascii="仿宋_GB2312" w:hAnsi="宋体" w:cs="宋体" w:hint="eastAsia"/>
          <w:bCs/>
          <w:kern w:val="0"/>
          <w:sz w:val="13"/>
          <w:szCs w:val="24"/>
        </w:rPr>
        <w:t>期初份额净值</w:t>
      </w:r>
      <w:r>
        <w:rPr>
          <w:rFonts w:ascii="仿宋_GB2312" w:hAnsi="宋体" w:cs="宋体" w:hint="eastAsia"/>
          <w:bCs/>
          <w:kern w:val="0"/>
          <w:szCs w:val="24"/>
        </w:rPr>
        <w:t>×（</w:t>
      </w:r>
      <w:r>
        <w:rPr>
          <w:rFonts w:ascii="仿宋_GB2312" w:hAnsi="宋体" w:cs="宋体"/>
          <w:bCs/>
          <w:kern w:val="0"/>
          <w:szCs w:val="24"/>
        </w:rPr>
        <w:t>R-</w:t>
      </w:r>
      <w:r>
        <w:rPr>
          <w:rFonts w:ascii="仿宋_GB2312" w:hAnsi="宋体" w:cs="宋体" w:hint="eastAsia"/>
          <w:bCs/>
          <w:kern w:val="0"/>
          <w:szCs w:val="24"/>
        </w:rPr>
        <w:t>业绩报酬计提基准）×</w:t>
      </w:r>
      <w:r>
        <w:rPr>
          <w:rFonts w:ascii="仿宋_GB2312" w:hAnsi="宋体" w:cs="宋体"/>
          <w:bCs/>
          <w:kern w:val="0"/>
          <w:szCs w:val="24"/>
        </w:rPr>
        <w:t>N</w:t>
      </w:r>
      <w:r>
        <w:rPr>
          <w:rFonts w:ascii="仿宋_GB2312" w:hAnsi="宋体" w:cs="宋体"/>
          <w:bCs/>
          <w:kern w:val="0"/>
          <w:szCs w:val="24"/>
        </w:rPr>
        <w:t>×</w:t>
      </w:r>
      <w:r>
        <w:rPr>
          <w:rFonts w:ascii="仿宋_GB2312" w:hAnsi="宋体" w:cs="宋体" w:hint="eastAsia"/>
          <w:bCs/>
          <w:kern w:val="0"/>
          <w:szCs w:val="24"/>
        </w:rPr>
        <w:t>（</w:t>
      </w:r>
      <w:r>
        <w:rPr>
          <w:rFonts w:ascii="仿宋_GB2312" w:hAnsi="宋体" w:cs="宋体" w:hint="eastAsia"/>
          <w:bCs/>
          <w:kern w:val="0"/>
          <w:szCs w:val="24"/>
        </w:rPr>
        <w:t>D</w:t>
      </w:r>
      <w:r>
        <w:rPr>
          <w:rFonts w:ascii="仿宋_GB2312" w:hAnsi="宋体" w:cs="宋体"/>
          <w:bCs/>
          <w:kern w:val="0"/>
          <w:szCs w:val="24"/>
        </w:rPr>
        <w:t>+1</w:t>
      </w:r>
      <w:r>
        <w:rPr>
          <w:rFonts w:ascii="仿宋_GB2312" w:hAnsi="宋体" w:cs="宋体" w:hint="eastAsia"/>
          <w:bCs/>
          <w:kern w:val="0"/>
          <w:szCs w:val="24"/>
        </w:rPr>
        <w:t>）</w:t>
      </w:r>
      <w:r>
        <w:rPr>
          <w:rFonts w:ascii="仿宋_GB2312" w:hAnsi="宋体" w:cs="宋体"/>
          <w:bCs/>
          <w:kern w:val="0"/>
          <w:szCs w:val="24"/>
        </w:rPr>
        <w:t>/365</w:t>
      </w:r>
      <w:r>
        <w:rPr>
          <w:rFonts w:ascii="仿宋_GB2312" w:hAnsi="宋体" w:cs="宋体"/>
          <w:bCs/>
          <w:kern w:val="0"/>
          <w:szCs w:val="24"/>
        </w:rPr>
        <w:t>。</w:t>
      </w:r>
    </w:p>
    <w:p w14:paraId="04294E7E"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其中，</w:t>
      </w:r>
      <w:r>
        <w:rPr>
          <w:rFonts w:ascii="仿宋_GB2312" w:hAnsi="宋体" w:cs="宋体"/>
          <w:bCs/>
          <w:kern w:val="0"/>
          <w:szCs w:val="24"/>
        </w:rPr>
        <w:t>V</w:t>
      </w:r>
      <w:r>
        <w:rPr>
          <w:rFonts w:ascii="仿宋_GB2312" w:hAnsi="宋体" w:cs="宋体" w:hint="eastAsia"/>
          <w:bCs/>
          <w:kern w:val="0"/>
          <w:sz w:val="13"/>
          <w:szCs w:val="24"/>
        </w:rPr>
        <w:t>计提</w:t>
      </w:r>
      <w:r>
        <w:rPr>
          <w:rFonts w:ascii="仿宋_GB2312" w:hAnsi="宋体" w:cs="宋体" w:hint="eastAsia"/>
          <w:bCs/>
          <w:kern w:val="0"/>
          <w:sz w:val="13"/>
          <w:szCs w:val="24"/>
        </w:rPr>
        <w:t>/</w:t>
      </w:r>
      <w:r>
        <w:rPr>
          <w:rFonts w:ascii="仿宋_GB2312" w:hAnsi="宋体" w:cs="宋体" w:hint="eastAsia"/>
          <w:bCs/>
          <w:kern w:val="0"/>
          <w:sz w:val="13"/>
          <w:szCs w:val="24"/>
        </w:rPr>
        <w:t>到期日产品份额累计净值</w:t>
      </w:r>
      <w:r>
        <w:rPr>
          <w:rFonts w:ascii="仿宋_GB2312" w:hAnsi="宋体" w:cs="宋体" w:hint="eastAsia"/>
          <w:bCs/>
          <w:kern w:val="0"/>
          <w:szCs w:val="24"/>
        </w:rPr>
        <w:t>表示产品计提</w:t>
      </w:r>
      <w:r>
        <w:rPr>
          <w:rFonts w:ascii="仿宋_GB2312" w:hAnsi="宋体" w:cs="宋体" w:hint="eastAsia"/>
          <w:bCs/>
          <w:kern w:val="0"/>
          <w:szCs w:val="24"/>
        </w:rPr>
        <w:t>/</w:t>
      </w:r>
      <w:r>
        <w:rPr>
          <w:rFonts w:ascii="仿宋_GB2312" w:hAnsi="宋体" w:cs="宋体" w:hint="eastAsia"/>
          <w:bCs/>
          <w:kern w:val="0"/>
          <w:szCs w:val="24"/>
        </w:rPr>
        <w:t>到期日的产品份额累计净值（未扣除业绩报酬），</w:t>
      </w:r>
      <w:r>
        <w:rPr>
          <w:rFonts w:ascii="仿宋_GB2312" w:hAnsi="宋体" w:cs="宋体" w:hint="eastAsia"/>
          <w:bCs/>
          <w:kern w:val="0"/>
          <w:szCs w:val="24"/>
        </w:rPr>
        <w:t>V</w:t>
      </w:r>
      <w:r>
        <w:rPr>
          <w:rFonts w:ascii="仿宋_GB2312" w:hAnsi="宋体" w:cs="宋体" w:hint="eastAsia"/>
          <w:bCs/>
          <w:kern w:val="0"/>
          <w:sz w:val="13"/>
          <w:szCs w:val="24"/>
        </w:rPr>
        <w:t>期初份额净值</w:t>
      </w:r>
      <w:r>
        <w:rPr>
          <w:rFonts w:ascii="仿宋_GB2312" w:hAnsi="宋体" w:cs="宋体" w:hint="eastAsia"/>
          <w:bCs/>
          <w:kern w:val="0"/>
          <w:szCs w:val="24"/>
        </w:rPr>
        <w:t>表示产品成立日的产品份额净值，</w:t>
      </w:r>
      <w:r>
        <w:rPr>
          <w:rFonts w:ascii="仿宋_GB2312" w:hAnsi="宋体" w:cs="宋体" w:hint="eastAsia"/>
          <w:bCs/>
          <w:kern w:val="0"/>
          <w:szCs w:val="24"/>
        </w:rPr>
        <w:t>D</w:t>
      </w:r>
      <w:r>
        <w:rPr>
          <w:rFonts w:ascii="仿宋_GB2312" w:hAnsi="宋体" w:cs="宋体" w:hint="eastAsia"/>
          <w:bCs/>
          <w:kern w:val="0"/>
          <w:szCs w:val="24"/>
        </w:rPr>
        <w:t>表示产品到期日</w:t>
      </w:r>
      <w:r>
        <w:rPr>
          <w:rFonts w:ascii="仿宋_GB2312" w:hAnsi="宋体" w:cs="宋体" w:hint="eastAsia"/>
          <w:bCs/>
          <w:kern w:val="0"/>
          <w:szCs w:val="24"/>
        </w:rPr>
        <w:t>-</w:t>
      </w:r>
      <w:r>
        <w:rPr>
          <w:rFonts w:ascii="仿宋_GB2312" w:hAnsi="宋体" w:cs="宋体" w:hint="eastAsia"/>
          <w:bCs/>
          <w:kern w:val="0"/>
          <w:szCs w:val="24"/>
        </w:rPr>
        <w:t>产品成立日，</w:t>
      </w:r>
      <w:r>
        <w:rPr>
          <w:rFonts w:ascii="仿宋_GB2312" w:hAnsi="宋体" w:cs="宋体" w:hint="eastAsia"/>
          <w:bCs/>
          <w:kern w:val="0"/>
          <w:szCs w:val="24"/>
        </w:rPr>
        <w:t>N</w:t>
      </w:r>
      <w:r>
        <w:rPr>
          <w:rFonts w:ascii="仿宋_GB2312" w:hAnsi="宋体" w:cs="宋体" w:hint="eastAsia"/>
          <w:bCs/>
          <w:kern w:val="0"/>
          <w:szCs w:val="24"/>
        </w:rPr>
        <w:t>表示业绩报酬分成比例。</w:t>
      </w:r>
      <w:r>
        <w:rPr>
          <w:rFonts w:ascii="仿宋_GB2312" w:hAnsi="宋体" w:cs="宋体" w:hint="eastAsia"/>
          <w:bCs/>
          <w:kern w:val="0"/>
          <w:szCs w:val="24"/>
        </w:rPr>
        <w:t>】</w:t>
      </w:r>
    </w:p>
    <w:p w14:paraId="1369FD4C"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5</w:t>
      </w:r>
      <w:r>
        <w:rPr>
          <w:rFonts w:ascii="仿宋_GB2312" w:hAnsi="宋体" w:cs="宋体" w:hint="eastAsia"/>
          <w:bCs/>
          <w:kern w:val="0"/>
          <w:szCs w:val="24"/>
        </w:rPr>
        <w:t>）理财产品的产品托管费</w:t>
      </w:r>
    </w:p>
    <w:p w14:paraId="56B5068F"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本产品的产品托管费按前一日理财资产净值与产品托管费费率每日计提，</w:t>
      </w:r>
      <w:r>
        <w:rPr>
          <w:rFonts w:ascii="仿宋_GB2312" w:hAnsi="宋体" w:cs="宋体" w:hint="eastAsia"/>
          <w:bCs/>
          <w:spacing w:val="-4"/>
          <w:kern w:val="0"/>
          <w:szCs w:val="24"/>
        </w:rPr>
        <w:t>管理人可按季或产品开放周期（如有）收取，或与后续季度、开放周期（如有）合并收取。</w:t>
      </w:r>
      <w:r>
        <w:rPr>
          <w:rFonts w:ascii="仿宋_GB2312" w:hAnsi="宋体" w:cs="宋体" w:hint="eastAsia"/>
          <w:bCs/>
          <w:kern w:val="0"/>
          <w:szCs w:val="24"/>
        </w:rPr>
        <w:t>产品托管费</w:t>
      </w:r>
      <w:r>
        <w:rPr>
          <w:rFonts w:ascii="仿宋_GB2312" w:hAnsi="宋体" w:cs="宋体" w:hint="eastAsia"/>
          <w:bCs/>
          <w:spacing w:val="-4"/>
          <w:kern w:val="0"/>
          <w:szCs w:val="24"/>
        </w:rPr>
        <w:t>精确到小数点后</w:t>
      </w:r>
      <w:r>
        <w:rPr>
          <w:rFonts w:ascii="仿宋_GB2312" w:hAnsi="宋体" w:cs="宋体" w:hint="eastAsia"/>
          <w:bCs/>
          <w:spacing w:val="-4"/>
          <w:kern w:val="0"/>
          <w:szCs w:val="24"/>
        </w:rPr>
        <w:t>2</w:t>
      </w:r>
      <w:r>
        <w:rPr>
          <w:rFonts w:ascii="仿宋_GB2312" w:hAnsi="宋体" w:cs="宋体" w:hint="eastAsia"/>
          <w:bCs/>
          <w:spacing w:val="-4"/>
          <w:kern w:val="0"/>
          <w:szCs w:val="24"/>
        </w:rPr>
        <w:t>位，小数点</w:t>
      </w:r>
      <w:r>
        <w:rPr>
          <w:rFonts w:ascii="仿宋_GB2312" w:hAnsi="宋体" w:cs="宋体" w:hint="eastAsia"/>
          <w:bCs/>
          <w:spacing w:val="-4"/>
          <w:kern w:val="0"/>
          <w:szCs w:val="24"/>
        </w:rPr>
        <w:t>2</w:t>
      </w:r>
      <w:r>
        <w:rPr>
          <w:rFonts w:ascii="仿宋_GB2312" w:hAnsi="宋体" w:cs="宋体" w:hint="eastAsia"/>
          <w:bCs/>
          <w:spacing w:val="-4"/>
          <w:kern w:val="0"/>
          <w:szCs w:val="24"/>
        </w:rPr>
        <w:t>位以后四舍五入</w:t>
      </w:r>
      <w:r>
        <w:rPr>
          <w:rFonts w:ascii="仿宋_GB2312" w:hAnsi="宋体" w:cs="宋体" w:hint="eastAsia"/>
          <w:bCs/>
          <w:kern w:val="0"/>
          <w:szCs w:val="24"/>
        </w:rPr>
        <w:t>。</w:t>
      </w:r>
    </w:p>
    <w:p w14:paraId="3EBDF9C0"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产品托管费的计算方法如下：</w:t>
      </w:r>
    </w:p>
    <w:p w14:paraId="004565A7"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w:t>
      </w:r>
      <w:r>
        <w:rPr>
          <w:rFonts w:ascii="仿宋_GB2312" w:hAnsi="宋体" w:cs="宋体" w:hint="eastAsia"/>
          <w:bCs/>
          <w:kern w:val="0"/>
          <w:szCs w:val="24"/>
        </w:rPr>
        <w:t>E</w:t>
      </w:r>
      <w:r>
        <w:rPr>
          <w:rFonts w:ascii="仿宋_GB2312" w:hAnsi="宋体" w:cs="宋体" w:hint="eastAsia"/>
          <w:bCs/>
          <w:kern w:val="0"/>
          <w:szCs w:val="24"/>
        </w:rPr>
        <w:t>×产品托管费年费率÷</w:t>
      </w:r>
      <w:r>
        <w:rPr>
          <w:rFonts w:ascii="仿宋_GB2312" w:hAnsi="宋体" w:cs="宋体" w:hint="eastAsia"/>
          <w:bCs/>
          <w:kern w:val="0"/>
          <w:szCs w:val="24"/>
        </w:rPr>
        <w:t>365</w:t>
      </w:r>
    </w:p>
    <w:p w14:paraId="380A081C"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H</w:t>
      </w:r>
      <w:r>
        <w:rPr>
          <w:rFonts w:ascii="仿宋_GB2312" w:hAnsi="宋体" w:cs="宋体" w:hint="eastAsia"/>
          <w:bCs/>
          <w:kern w:val="0"/>
          <w:szCs w:val="24"/>
        </w:rPr>
        <w:t>为每日应计提的产品托管费</w:t>
      </w:r>
    </w:p>
    <w:p w14:paraId="0B99C256"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w:t>
      </w:r>
      <w:r>
        <w:rPr>
          <w:rFonts w:ascii="仿宋_GB2312" w:hAnsi="宋体" w:cs="宋体" w:hint="eastAsia"/>
          <w:bCs/>
          <w:kern w:val="0"/>
          <w:szCs w:val="24"/>
        </w:rPr>
        <w:t>为前一日的理财资产净值</w:t>
      </w:r>
    </w:p>
    <w:p w14:paraId="7F473CBE"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产品托管费依照上述约定，从理财财产中支付。费率具体数值以《产品说明书》“第二节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理财产品基本情况”为准。</w:t>
      </w:r>
    </w:p>
    <w:p w14:paraId="103B605D"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6</w:t>
      </w:r>
      <w:r>
        <w:rPr>
          <w:rFonts w:ascii="仿宋_GB2312" w:hAnsi="宋体" w:cs="宋体" w:hint="eastAsia"/>
          <w:bCs/>
          <w:kern w:val="0"/>
          <w:szCs w:val="24"/>
        </w:rPr>
        <w:t>）其他费用</w:t>
      </w:r>
    </w:p>
    <w:p w14:paraId="3F404038"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与理财产品相关的其他费用，按照实际发生金额从产品资产中列支。若产品管理人先行垫付其他费用的，管理人有权从理财产品资产中优先受偿。</w:t>
      </w:r>
    </w:p>
    <w:p w14:paraId="5972BFA4" w14:textId="77777777" w:rsidR="00A2049A" w:rsidRDefault="0029186B">
      <w:pPr>
        <w:pStyle w:val="2"/>
        <w:ind w:firstLine="482"/>
      </w:pPr>
      <w:r>
        <w:rPr>
          <w:rFonts w:hint="eastAsia"/>
        </w:rPr>
        <w:t>费用调整</w:t>
      </w:r>
    </w:p>
    <w:p w14:paraId="35215C5C"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14:paraId="3EF0D0A3" w14:textId="77777777" w:rsidR="00A2049A" w:rsidRDefault="0029186B">
      <w:pPr>
        <w:pStyle w:val="2"/>
        <w:tabs>
          <w:tab w:val="clear" w:pos="0"/>
        </w:tabs>
        <w:ind w:firstLineChars="200" w:firstLine="482"/>
      </w:pPr>
      <w:r>
        <w:rPr>
          <w:rFonts w:hint="eastAsia"/>
        </w:rPr>
        <w:t>税收说明</w:t>
      </w:r>
    </w:p>
    <w:p w14:paraId="0BC0CCB6" w14:textId="77777777" w:rsidR="00A2049A" w:rsidRDefault="0029186B">
      <w:pPr>
        <w:tabs>
          <w:tab w:val="left" w:pos="709"/>
        </w:tabs>
        <w:snapToGrid w:val="0"/>
        <w:spacing w:line="360" w:lineRule="auto"/>
        <w:ind w:firstLineChars="200" w:firstLine="480"/>
      </w:pPr>
      <w:r>
        <w:rPr>
          <w:rFonts w:ascii="仿宋_GB2312" w:hAnsi="宋体" w:cs="宋体" w:hint="eastAsia"/>
          <w:bCs/>
          <w:kern w:val="0"/>
          <w:szCs w:val="24"/>
        </w:rPr>
        <w:t>本理财产品运作过程中涉及的各纳税主体的纳税义务按国家税收法律、法规执行。除法律法规特</w:t>
      </w:r>
      <w:r>
        <w:rPr>
          <w:rFonts w:ascii="仿宋_GB2312" w:hAnsi="宋体" w:cs="宋体" w:hint="eastAsia"/>
          <w:bCs/>
          <w:kern w:val="0"/>
          <w:szCs w:val="24"/>
        </w:rPr>
        <w:t>别要求外，理财产品运营过程中发生的增值税应税行为，由理财产品承担增值税及附加税费，并由理财产品管理人进行计算、申报和缴纳，该等税费将直接从理财产品财产中支付。后续国家法律法规如对相关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14:paraId="2726771C" w14:textId="77777777" w:rsidR="00A2049A" w:rsidRDefault="0029186B">
      <w:pPr>
        <w:jc w:val="left"/>
        <w:rPr>
          <w:rFonts w:ascii="仿宋_GB2312" w:hAnsi="宋体" w:cs="宋体"/>
          <w:bCs/>
          <w:kern w:val="0"/>
          <w:szCs w:val="24"/>
        </w:rPr>
      </w:pPr>
      <w:r>
        <w:rPr>
          <w:rFonts w:ascii="仿宋_GB2312" w:hAnsi="宋体" w:cs="宋体" w:hint="eastAsia"/>
          <w:bCs/>
          <w:kern w:val="0"/>
          <w:szCs w:val="24"/>
        </w:rPr>
        <w:br w:type="page"/>
      </w:r>
    </w:p>
    <w:p w14:paraId="50B1121D" w14:textId="77777777" w:rsidR="00A2049A" w:rsidRDefault="0029186B">
      <w:pPr>
        <w:pStyle w:val="1"/>
      </w:pPr>
      <w:r>
        <w:rPr>
          <w:rFonts w:hint="eastAsia"/>
        </w:rPr>
        <w:lastRenderedPageBreak/>
        <w:t>理财产品的终止与清算</w:t>
      </w:r>
    </w:p>
    <w:p w14:paraId="6F7C7EC1" w14:textId="77777777" w:rsidR="00A2049A" w:rsidRDefault="0029186B">
      <w:pPr>
        <w:pStyle w:val="2"/>
        <w:ind w:firstLine="482"/>
      </w:pPr>
      <w:r>
        <w:rPr>
          <w:rFonts w:hint="eastAsia"/>
        </w:rPr>
        <w:t>理财产品到期</w:t>
      </w:r>
    </w:p>
    <w:p w14:paraId="49D60AB9" w14:textId="77777777" w:rsidR="00A2049A" w:rsidRDefault="0029186B">
      <w:pPr>
        <w:widowControl/>
        <w:tabs>
          <w:tab w:val="left" w:pos="709"/>
        </w:tabs>
        <w:adjustRightInd w:val="0"/>
        <w:snapToGrid w:val="0"/>
        <w:spacing w:line="360" w:lineRule="auto"/>
        <w:ind w:firstLineChars="200" w:firstLine="482"/>
        <w:rPr>
          <w:rFonts w:ascii="仿宋_GB2312" w:hAnsi="宋体" w:cs="宋体"/>
          <w:bCs/>
          <w:kern w:val="0"/>
          <w:szCs w:val="24"/>
        </w:rPr>
      </w:pPr>
      <w:r>
        <w:rPr>
          <w:rFonts w:ascii="仿宋_GB2312" w:hAnsi="宋体" w:cs="宋体" w:hint="eastAsia"/>
          <w:b/>
          <w:bCs/>
          <w:kern w:val="0"/>
          <w:szCs w:val="24"/>
        </w:rPr>
        <w:t>本理财产品到期日【</w:t>
      </w:r>
      <w:r>
        <w:rPr>
          <w:rFonts w:ascii="仿宋_GB2312" w:hAnsi="宋体" w:cs="宋体" w:hint="eastAsia"/>
          <w:b/>
          <w:bCs/>
          <w:kern w:val="0"/>
          <w:szCs w:val="24"/>
        </w:rPr>
        <w:t>2027</w:t>
      </w:r>
      <w:r>
        <w:rPr>
          <w:rFonts w:ascii="仿宋_GB2312" w:hAnsi="宋体" w:cs="宋体" w:hint="eastAsia"/>
          <w:b/>
          <w:bCs/>
          <w:kern w:val="0"/>
          <w:szCs w:val="24"/>
        </w:rPr>
        <w:t>】年【</w:t>
      </w:r>
      <w:r>
        <w:rPr>
          <w:rFonts w:ascii="仿宋_GB2312" w:hAnsi="宋体" w:cs="宋体" w:hint="eastAsia"/>
          <w:b/>
          <w:bCs/>
          <w:kern w:val="0"/>
          <w:szCs w:val="24"/>
        </w:rPr>
        <w:t>9</w:t>
      </w:r>
      <w:r>
        <w:rPr>
          <w:rFonts w:ascii="仿宋_GB2312" w:hAnsi="宋体" w:cs="宋体" w:hint="eastAsia"/>
          <w:b/>
          <w:bCs/>
          <w:kern w:val="0"/>
          <w:szCs w:val="24"/>
        </w:rPr>
        <w:t>】</w:t>
      </w:r>
      <w:r>
        <w:rPr>
          <w:rFonts w:ascii="仿宋_GB2312" w:hAnsi="宋体" w:cs="宋体"/>
          <w:b/>
          <w:bCs/>
          <w:kern w:val="0"/>
          <w:szCs w:val="24"/>
        </w:rPr>
        <w:t>月</w:t>
      </w:r>
      <w:r>
        <w:rPr>
          <w:rFonts w:ascii="仿宋_GB2312" w:hAnsi="宋体" w:cs="宋体" w:hint="eastAsia"/>
          <w:b/>
          <w:bCs/>
          <w:kern w:val="0"/>
          <w:szCs w:val="24"/>
        </w:rPr>
        <w:t>【</w:t>
      </w:r>
      <w:r>
        <w:rPr>
          <w:rFonts w:ascii="仿宋_GB2312" w:hAnsi="宋体" w:cs="宋体" w:hint="eastAsia"/>
          <w:b/>
          <w:bCs/>
          <w:kern w:val="0"/>
          <w:szCs w:val="24"/>
        </w:rPr>
        <w:t>16</w:t>
      </w:r>
      <w:r>
        <w:rPr>
          <w:rFonts w:ascii="仿宋_GB2312" w:hAnsi="宋体" w:cs="宋体" w:hint="eastAsia"/>
          <w:b/>
          <w:bCs/>
          <w:kern w:val="0"/>
          <w:szCs w:val="24"/>
        </w:rPr>
        <w:t>】</w:t>
      </w:r>
      <w:r>
        <w:rPr>
          <w:rFonts w:ascii="仿宋_GB2312" w:hAnsi="宋体" w:cs="宋体"/>
          <w:b/>
          <w:bCs/>
          <w:kern w:val="0"/>
          <w:szCs w:val="24"/>
        </w:rPr>
        <w:t>日</w:t>
      </w:r>
      <w:r>
        <w:rPr>
          <w:rFonts w:ascii="仿宋_GB2312" w:hAnsi="宋体" w:cs="宋体" w:hint="eastAsia"/>
          <w:bCs/>
          <w:kern w:val="0"/>
          <w:szCs w:val="24"/>
        </w:rPr>
        <w:t>，</w:t>
      </w:r>
      <w:r>
        <w:rPr>
          <w:rFonts w:ascii="宋体" w:hAnsi="宋体" w:hint="eastAsia"/>
          <w:szCs w:val="24"/>
        </w:rPr>
        <w:t>如产品提前终止或延期终止，除有特别约定外，实际终止日为到期日。</w:t>
      </w:r>
      <w:r>
        <w:rPr>
          <w:rFonts w:ascii="仿宋_GB2312" w:hAnsi="宋体" w:cs="宋体" w:hint="eastAsia"/>
          <w:bCs/>
          <w:kern w:val="0"/>
          <w:szCs w:val="24"/>
        </w:rPr>
        <w:t xml:space="preserve"> </w:t>
      </w:r>
    </w:p>
    <w:p w14:paraId="098595E0" w14:textId="77777777" w:rsidR="00A2049A" w:rsidRDefault="0029186B">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14:paraId="25FBD842" w14:textId="77777777" w:rsidR="00A2049A" w:rsidRDefault="0029186B">
      <w:pPr>
        <w:pStyle w:val="2"/>
        <w:ind w:firstLine="482"/>
      </w:pPr>
      <w:r>
        <w:rPr>
          <w:rFonts w:hint="eastAsia"/>
        </w:rPr>
        <w:t>理财产品提前终止</w:t>
      </w:r>
    </w:p>
    <w:p w14:paraId="0D7ECD71" w14:textId="77777777" w:rsidR="00A2049A" w:rsidRDefault="0029186B">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本理财产品存续期间，投资者无提前终止权。如出现以下情形，管理人有权但无义务提前终止本产品：</w:t>
      </w:r>
      <w:r>
        <w:rPr>
          <w:rFonts w:ascii="仿宋_GB2312" w:hAnsi="宋体" w:cs="宋体"/>
          <w:b/>
          <w:bCs/>
          <w:kern w:val="0"/>
          <w:szCs w:val="24"/>
        </w:rPr>
        <w:t xml:space="preserve"> </w:t>
      </w:r>
    </w:p>
    <w:p w14:paraId="6DA3FEF4"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自然灾害、疫情、金融市场危机、战争等不可抗力因素及</w:t>
      </w:r>
      <w:r>
        <w:rPr>
          <w:rFonts w:ascii="仿宋_GB2312" w:hAnsi="宋体" w:cs="宋体" w:hint="eastAsia"/>
          <w:bCs/>
          <w:kern w:val="0"/>
          <w:szCs w:val="24"/>
        </w:rPr>
        <w:t>/</w:t>
      </w:r>
      <w:r>
        <w:rPr>
          <w:rFonts w:ascii="仿宋_GB2312" w:hAnsi="宋体" w:cs="宋体" w:hint="eastAsia"/>
          <w:bCs/>
          <w:kern w:val="0"/>
          <w:szCs w:val="24"/>
        </w:rPr>
        <w:t>或意外事件导致理财产品无法继续运作。</w:t>
      </w:r>
    </w:p>
    <w:p w14:paraId="4CD7B557"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遇有市场出现剧烈波动、异常风险事件等情形导致理财产品收益出现大幅波动或严重影响理财产品的资产安全。</w:t>
      </w:r>
    </w:p>
    <w:p w14:paraId="07E71C99"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因投资者理财资金被有权机关扣划等原因导致理财产品剩余资产无法满足相关法律法规规定、所投资市场要求或协议等相</w:t>
      </w:r>
      <w:r>
        <w:rPr>
          <w:rFonts w:ascii="仿宋_GB2312" w:hAnsi="宋体" w:cs="宋体" w:hint="eastAsia"/>
          <w:bCs/>
          <w:kern w:val="0"/>
          <w:szCs w:val="24"/>
        </w:rPr>
        <w:tab/>
      </w:r>
      <w:r>
        <w:rPr>
          <w:rFonts w:ascii="仿宋_GB2312" w:hAnsi="宋体" w:cs="宋体" w:hint="eastAsia"/>
          <w:bCs/>
          <w:kern w:val="0"/>
          <w:szCs w:val="24"/>
        </w:rPr>
        <w:t>关法律文件约定，或者继续存续无法实现投资目标。</w:t>
      </w:r>
    </w:p>
    <w:p w14:paraId="59170567"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因相关投资管理机构解散、破产、撤销、被取消业务资格等原因无法继续履行相应职责导致产品无法继续运作。</w:t>
      </w:r>
    </w:p>
    <w:p w14:paraId="0C5C84A0"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相关投资管理机构或运用理财资金的第三方主体实施符合法律法规规定或协议等相关文件约定的行为导致理财产品被动提前终止。</w:t>
      </w:r>
    </w:p>
    <w:p w14:paraId="16177237"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因法律法规变化或国</w:t>
      </w:r>
      <w:r>
        <w:rPr>
          <w:rFonts w:ascii="仿宋_GB2312" w:hAnsi="宋体" w:cs="宋体" w:hint="eastAsia"/>
          <w:bCs/>
          <w:kern w:val="0"/>
          <w:szCs w:val="24"/>
        </w:rPr>
        <w:t>家金融政策调整、紧急措施出台影响产品继续正常运作。</w:t>
      </w:r>
    </w:p>
    <w:p w14:paraId="34670D80"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提前终止产品比维持产品运作更有利于保护产品持有人的权益。</w:t>
      </w:r>
    </w:p>
    <w:p w14:paraId="647BF8B6"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遇国家政策出现重大调整并影响到本产品的正常运行。</w:t>
      </w:r>
    </w:p>
    <w:p w14:paraId="651246AB" w14:textId="77777777" w:rsidR="00A2049A" w:rsidRDefault="0029186B">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w:t>
      </w:r>
      <w:r>
        <w:rPr>
          <w:rFonts w:ascii="仿宋_GB2312" w:hAnsi="宋体" w:cs="宋体" w:hint="eastAsia"/>
          <w:bCs/>
          <w:kern w:val="0"/>
          <w:szCs w:val="24"/>
        </w:rPr>
        <w:t>因本产品投资的资产部分或全部提前终止或发生其他影响本产品正常投资运作的重大事件。</w:t>
      </w:r>
    </w:p>
    <w:p w14:paraId="229D60BD"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10.</w:t>
      </w:r>
      <w:r>
        <w:rPr>
          <w:rFonts w:ascii="仿宋_GB2312" w:hAnsi="宋体" w:cs="宋体" w:hint="eastAsia"/>
          <w:bCs/>
          <w:kern w:val="0"/>
          <w:szCs w:val="24"/>
        </w:rPr>
        <w:t>本产品存续期内，所投资资产种类已全部调整为现金资产且无其他投资安排。</w:t>
      </w:r>
    </w:p>
    <w:p w14:paraId="5E33ADF3"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11.</w:t>
      </w:r>
      <w:r>
        <w:rPr>
          <w:rFonts w:ascii="仿宋_GB2312" w:hAnsi="宋体" w:cs="宋体" w:hint="eastAsia"/>
          <w:bCs/>
          <w:kern w:val="0"/>
          <w:szCs w:val="24"/>
        </w:rPr>
        <w:t>管理人认为有必要提前终止本产品的其他情形。</w:t>
      </w:r>
    </w:p>
    <w:p w14:paraId="26B20EB9"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管理人将于提前终止日前</w:t>
      </w:r>
      <w:r>
        <w:rPr>
          <w:rFonts w:ascii="仿宋_GB2312" w:hAnsi="宋体" w:cs="宋体" w:hint="eastAsia"/>
          <w:bCs/>
          <w:kern w:val="0"/>
          <w:szCs w:val="24"/>
        </w:rPr>
        <w:t>2</w:t>
      </w:r>
      <w:r>
        <w:rPr>
          <w:rFonts w:ascii="仿宋_GB2312" w:hAnsi="宋体" w:cs="宋体" w:hint="eastAsia"/>
          <w:bCs/>
          <w:kern w:val="0"/>
          <w:szCs w:val="24"/>
        </w:rPr>
        <w:t>个</w:t>
      </w:r>
      <w:r>
        <w:rPr>
          <w:rFonts w:ascii="宋体" w:hAnsi="宋体" w:hint="eastAsia"/>
          <w:b/>
          <w:szCs w:val="24"/>
        </w:rPr>
        <w:t>工作日</w:t>
      </w:r>
      <w:r>
        <w:rPr>
          <w:rFonts w:ascii="仿宋_GB2312" w:hAnsi="宋体" w:cs="宋体" w:hint="eastAsia"/>
          <w:bCs/>
          <w:kern w:val="0"/>
          <w:szCs w:val="24"/>
        </w:rPr>
        <w:t>通过本产品说明书约定</w:t>
      </w:r>
      <w:r>
        <w:rPr>
          <w:rFonts w:ascii="仿宋_GB2312" w:hAnsi="宋体" w:cs="宋体"/>
          <w:bCs/>
          <w:kern w:val="0"/>
          <w:szCs w:val="24"/>
        </w:rPr>
        <w:t>方式</w:t>
      </w:r>
      <w:r>
        <w:rPr>
          <w:rFonts w:ascii="仿宋_GB2312" w:hAnsi="宋体" w:cs="宋体" w:hint="eastAsia"/>
          <w:bCs/>
          <w:kern w:val="0"/>
          <w:szCs w:val="24"/>
        </w:rPr>
        <w:t>发布本产品提前终止公告，并于提前终止日后</w:t>
      </w:r>
      <w:r>
        <w:rPr>
          <w:rFonts w:ascii="仿宋_GB2312" w:hAnsi="宋体" w:cs="宋体" w:hint="eastAsia"/>
          <w:bCs/>
          <w:kern w:val="0"/>
          <w:szCs w:val="24"/>
        </w:rPr>
        <w:t>5</w:t>
      </w:r>
      <w:r>
        <w:rPr>
          <w:rFonts w:ascii="仿宋_GB2312" w:hAnsi="宋体" w:cs="宋体" w:hint="eastAsia"/>
          <w:bCs/>
          <w:kern w:val="0"/>
          <w:szCs w:val="24"/>
        </w:rPr>
        <w:t>个</w:t>
      </w:r>
      <w:r>
        <w:rPr>
          <w:rFonts w:ascii="宋体" w:hAnsi="宋体" w:hint="eastAsia"/>
          <w:b/>
          <w:szCs w:val="24"/>
        </w:rPr>
        <w:t>工作日</w:t>
      </w:r>
      <w:r>
        <w:rPr>
          <w:rFonts w:ascii="仿宋_GB2312" w:hAnsi="宋体" w:cs="宋体" w:hint="eastAsia"/>
          <w:bCs/>
          <w:kern w:val="0"/>
          <w:szCs w:val="24"/>
        </w:rPr>
        <w:t>内将兑付理财资金划至投资者指定账户。</w:t>
      </w:r>
    </w:p>
    <w:p w14:paraId="29462EB7" w14:textId="77777777" w:rsidR="00A2049A" w:rsidRDefault="0029186B">
      <w:pPr>
        <w:pStyle w:val="2"/>
        <w:ind w:firstLine="482"/>
      </w:pPr>
      <w:r>
        <w:rPr>
          <w:rFonts w:ascii="楷体_GB2312" w:eastAsia="楷体_GB2312" w:hAnsi="宋体" w:cs="宋体" w:hint="eastAsia"/>
          <w:bCs/>
          <w:kern w:val="0"/>
          <w:szCs w:val="24"/>
        </w:rPr>
        <w:t>理财产品到期清算</w:t>
      </w:r>
    </w:p>
    <w:p w14:paraId="36F9DB01"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清算程序</w:t>
      </w:r>
    </w:p>
    <w:p w14:paraId="5B0EA636"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产品到期（含提前终止）后，理财产品终止运作，本理财产品</w:t>
      </w:r>
      <w:r>
        <w:t>管</w:t>
      </w:r>
      <w:r>
        <w:rPr>
          <w:rFonts w:ascii="仿宋_GB2312" w:hAnsi="宋体" w:cs="宋体" w:hint="eastAsia"/>
          <w:bCs/>
          <w:kern w:val="0"/>
          <w:szCs w:val="24"/>
        </w:rPr>
        <w:t>理人启动产品清算，理财资产清</w:t>
      </w:r>
      <w:r>
        <w:rPr>
          <w:rFonts w:ascii="仿宋_GB2312" w:hAnsi="宋体" w:cs="宋体"/>
          <w:bCs/>
          <w:kern w:val="0"/>
          <w:szCs w:val="24"/>
        </w:rPr>
        <w:t>算后扣除理财相关费用、缴纳所欠税款并清偿理财产品负债后，</w:t>
      </w:r>
      <w:r>
        <w:rPr>
          <w:rFonts w:hint="eastAsia"/>
        </w:rPr>
        <w:t>管</w:t>
      </w:r>
      <w:r>
        <w:rPr>
          <w:rFonts w:ascii="仿宋_GB2312" w:hAnsi="宋体" w:cs="宋体" w:hint="eastAsia"/>
          <w:bCs/>
          <w:kern w:val="0"/>
          <w:szCs w:val="24"/>
        </w:rPr>
        <w:t>理人通过销售机构将投资者应得资金（如有，下同）划至投资者指定账户。本产品到期时，如本产品项下财产全部变现，管理人将在产品到期后</w:t>
      </w:r>
      <w:r>
        <w:rPr>
          <w:rFonts w:ascii="仿宋_GB2312" w:hAnsi="宋体" w:cs="宋体" w:hint="eastAsia"/>
          <w:bCs/>
          <w:kern w:val="0"/>
          <w:szCs w:val="24"/>
        </w:rPr>
        <w:t>5</w:t>
      </w:r>
      <w:r>
        <w:rPr>
          <w:rFonts w:ascii="仿宋_GB2312" w:hAnsi="宋体" w:cs="宋体" w:hint="eastAsia"/>
          <w:bCs/>
          <w:kern w:val="0"/>
          <w:szCs w:val="24"/>
        </w:rPr>
        <w:t>个</w:t>
      </w:r>
      <w:r>
        <w:rPr>
          <w:rFonts w:ascii="宋体" w:hAnsi="宋体" w:hint="eastAsia"/>
          <w:b/>
          <w:szCs w:val="24"/>
        </w:rPr>
        <w:t>工作日</w:t>
      </w:r>
      <w:r>
        <w:rPr>
          <w:rFonts w:ascii="仿宋_GB2312" w:hAnsi="宋体" w:cs="宋体" w:hint="eastAsia"/>
          <w:bCs/>
          <w:kern w:val="0"/>
          <w:szCs w:val="24"/>
        </w:rPr>
        <w:t>内向投资者完成</w:t>
      </w:r>
      <w:r>
        <w:rPr>
          <w:rFonts w:ascii="仿宋_GB2312" w:hAnsi="宋体" w:cs="宋体"/>
          <w:bCs/>
          <w:kern w:val="0"/>
          <w:szCs w:val="24"/>
        </w:rPr>
        <w:t>分配</w:t>
      </w:r>
      <w:r>
        <w:rPr>
          <w:rFonts w:ascii="仿宋_GB2312" w:hAnsi="宋体" w:cs="宋体" w:hint="eastAsia"/>
          <w:bCs/>
          <w:kern w:val="0"/>
          <w:szCs w:val="24"/>
        </w:rPr>
        <w:t>。</w:t>
      </w:r>
      <w:r>
        <w:rPr>
          <w:rFonts w:ascii="仿宋_GB2312" w:hAnsi="宋体" w:cs="宋体" w:hint="eastAsia"/>
          <w:b/>
          <w:bCs/>
          <w:kern w:val="0"/>
          <w:szCs w:val="24"/>
        </w:rPr>
        <w:t>产品到期日</w:t>
      </w:r>
      <w:r>
        <w:rPr>
          <w:rFonts w:ascii="仿宋_GB2312" w:hAnsi="宋体" w:cs="宋体" w:hint="eastAsia"/>
          <w:b/>
          <w:bCs/>
          <w:kern w:val="0"/>
          <w:szCs w:val="24"/>
        </w:rPr>
        <w:t>/</w:t>
      </w:r>
      <w:r>
        <w:rPr>
          <w:rFonts w:ascii="仿宋_GB2312" w:hAnsi="宋体" w:cs="宋体" w:hint="eastAsia"/>
          <w:b/>
          <w:bCs/>
          <w:kern w:val="0"/>
          <w:szCs w:val="24"/>
        </w:rPr>
        <w:t>终止日至资金</w:t>
      </w:r>
      <w:r>
        <w:rPr>
          <w:rFonts w:ascii="仿宋_GB2312" w:hAnsi="宋体" w:cs="宋体"/>
          <w:b/>
          <w:bCs/>
          <w:kern w:val="0"/>
          <w:szCs w:val="24"/>
        </w:rPr>
        <w:t>到账</w:t>
      </w:r>
      <w:r>
        <w:rPr>
          <w:rFonts w:ascii="仿宋_GB2312" w:hAnsi="宋体" w:cs="宋体" w:hint="eastAsia"/>
          <w:b/>
          <w:bCs/>
          <w:kern w:val="0"/>
          <w:szCs w:val="24"/>
        </w:rPr>
        <w:t>日期间，投资者理财资金如因清算安排实际产生利息的，相关利息归投资者所有。</w:t>
      </w:r>
    </w:p>
    <w:p w14:paraId="409355BD"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如因清算需要，本产品无法在到期后</w:t>
      </w:r>
      <w:r>
        <w:rPr>
          <w:rFonts w:ascii="仿宋_GB2312" w:hAnsi="宋体" w:cs="宋体" w:hint="eastAsia"/>
          <w:bCs/>
          <w:kern w:val="0"/>
          <w:szCs w:val="24"/>
        </w:rPr>
        <w:t>5</w:t>
      </w:r>
      <w:r>
        <w:rPr>
          <w:rFonts w:ascii="仿宋_GB2312" w:hAnsi="宋体" w:cs="宋体" w:hint="eastAsia"/>
          <w:bCs/>
          <w:kern w:val="0"/>
          <w:szCs w:val="24"/>
        </w:rPr>
        <w:t>个</w:t>
      </w:r>
      <w:r>
        <w:rPr>
          <w:rFonts w:ascii="宋体" w:hAnsi="宋体" w:hint="eastAsia"/>
          <w:b/>
          <w:szCs w:val="24"/>
        </w:rPr>
        <w:t>工作日</w:t>
      </w:r>
      <w:r>
        <w:rPr>
          <w:rFonts w:ascii="仿宋_GB2312" w:hAnsi="宋体" w:cs="宋体" w:hint="eastAsia"/>
          <w:bCs/>
          <w:kern w:val="0"/>
          <w:szCs w:val="24"/>
        </w:rPr>
        <w:t>内向投资者完成</w:t>
      </w:r>
      <w:r>
        <w:rPr>
          <w:rFonts w:ascii="仿宋_GB2312" w:hAnsi="宋体" w:cs="宋体"/>
          <w:bCs/>
          <w:kern w:val="0"/>
          <w:szCs w:val="24"/>
        </w:rPr>
        <w:t>分配</w:t>
      </w:r>
      <w:r>
        <w:rPr>
          <w:rFonts w:ascii="仿宋_GB2312" w:hAnsi="宋体" w:cs="宋体" w:hint="eastAsia"/>
          <w:bCs/>
          <w:kern w:val="0"/>
          <w:szCs w:val="24"/>
        </w:rPr>
        <w:t>的，管理人有权延后产品可得资金分配并于产品到期日前公告。</w:t>
      </w:r>
    </w:p>
    <w:p w14:paraId="274F2883"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清算费用分别按照实际发生费用从产品资产中列支。</w:t>
      </w:r>
    </w:p>
    <w:p w14:paraId="108C8DA3"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bCs/>
          <w:kern w:val="0"/>
          <w:szCs w:val="24"/>
        </w:rPr>
        <w:t>产品资产清算剩余资产的分配</w:t>
      </w:r>
    </w:p>
    <w:p w14:paraId="38D0834A"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产品资产按下列顺序清偿：</w:t>
      </w:r>
    </w:p>
    <w:p w14:paraId="27BB55BA"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1</w:t>
      </w:r>
      <w:r>
        <w:rPr>
          <w:rFonts w:ascii="仿宋_GB2312" w:hAnsi="宋体" w:cs="宋体"/>
          <w:bCs/>
          <w:kern w:val="0"/>
          <w:szCs w:val="24"/>
        </w:rPr>
        <w:t>）支付清算费用和交纳所欠税款；</w:t>
      </w:r>
    </w:p>
    <w:p w14:paraId="02CA0F39"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2</w:t>
      </w:r>
      <w:r>
        <w:rPr>
          <w:rFonts w:ascii="仿宋_GB2312" w:hAnsi="宋体" w:cs="宋体"/>
          <w:bCs/>
          <w:kern w:val="0"/>
          <w:szCs w:val="24"/>
        </w:rPr>
        <w:t>）清偿产品债务；</w:t>
      </w:r>
    </w:p>
    <w:p w14:paraId="6B57FE18"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3</w:t>
      </w:r>
      <w:r>
        <w:rPr>
          <w:rFonts w:ascii="仿宋_GB2312" w:hAnsi="宋体" w:cs="宋体"/>
          <w:bCs/>
          <w:kern w:val="0"/>
          <w:szCs w:val="24"/>
        </w:rPr>
        <w:t>）按产品份额持有人持有的产品份额比例进行分配。</w:t>
      </w:r>
    </w:p>
    <w:p w14:paraId="479A97F6"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4.</w:t>
      </w:r>
      <w:r>
        <w:rPr>
          <w:rFonts w:ascii="仿宋_GB2312" w:hAnsi="宋体" w:cs="宋体"/>
          <w:bCs/>
          <w:kern w:val="0"/>
          <w:szCs w:val="24"/>
        </w:rPr>
        <w:t>产品终止投资者到账资金计算</w:t>
      </w:r>
    </w:p>
    <w:p w14:paraId="542995FA"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若产品终止或提前终止时本理财产品项下资产全部变现，产品管理人将</w:t>
      </w:r>
      <w:r>
        <w:rPr>
          <w:rFonts w:ascii="仿宋_GB2312" w:hAnsi="宋体" w:cs="宋体" w:hint="eastAsia"/>
          <w:bCs/>
          <w:kern w:val="0"/>
          <w:szCs w:val="24"/>
        </w:rPr>
        <w:t>扣除理财产品财产清算费用、缴纳所欠税款并清偿理财产品债务后，按照各投资者持有理财产品份额占理财产品总份额的比例于</w:t>
      </w:r>
      <w:r>
        <w:rPr>
          <w:rFonts w:ascii="仿宋_GB2312" w:hAnsi="宋体" w:cs="宋体"/>
          <w:bCs/>
          <w:kern w:val="0"/>
          <w:szCs w:val="24"/>
        </w:rPr>
        <w:t>产品到期日</w:t>
      </w:r>
      <w:r>
        <w:rPr>
          <w:rFonts w:ascii="仿宋_GB2312" w:hAnsi="宋体" w:cs="宋体"/>
          <w:bCs/>
          <w:kern w:val="0"/>
          <w:szCs w:val="24"/>
        </w:rPr>
        <w:t>后</w:t>
      </w:r>
      <w:r>
        <w:rPr>
          <w:rFonts w:ascii="仿宋_GB2312" w:hAnsi="宋体" w:cs="宋体" w:hint="eastAsia"/>
          <w:bCs/>
          <w:kern w:val="0"/>
          <w:szCs w:val="24"/>
        </w:rPr>
        <w:t>5</w:t>
      </w:r>
      <w:r>
        <w:rPr>
          <w:rFonts w:ascii="仿宋_GB2312" w:hAnsi="宋体" w:cs="宋体"/>
          <w:bCs/>
          <w:kern w:val="0"/>
          <w:szCs w:val="24"/>
        </w:rPr>
        <w:t>个</w:t>
      </w:r>
      <w:r>
        <w:rPr>
          <w:rFonts w:ascii="宋体" w:hAnsi="宋体" w:hint="eastAsia"/>
          <w:b/>
          <w:szCs w:val="24"/>
        </w:rPr>
        <w:t>工作日</w:t>
      </w:r>
      <w:r>
        <w:rPr>
          <w:rFonts w:ascii="仿宋_GB2312" w:hAnsi="宋体" w:cs="宋体"/>
          <w:bCs/>
          <w:kern w:val="0"/>
          <w:szCs w:val="24"/>
        </w:rPr>
        <w:t>内或提前终止日后</w:t>
      </w:r>
      <w:r>
        <w:rPr>
          <w:rFonts w:ascii="仿宋_GB2312" w:hAnsi="宋体" w:cs="宋体" w:hint="eastAsia"/>
          <w:bCs/>
          <w:kern w:val="0"/>
          <w:szCs w:val="24"/>
        </w:rPr>
        <w:t>5</w:t>
      </w:r>
      <w:r>
        <w:rPr>
          <w:rFonts w:ascii="仿宋_GB2312" w:hAnsi="宋体" w:cs="宋体"/>
          <w:bCs/>
          <w:kern w:val="0"/>
          <w:szCs w:val="24"/>
        </w:rPr>
        <w:t>个</w:t>
      </w:r>
      <w:r>
        <w:rPr>
          <w:rFonts w:ascii="宋体" w:hAnsi="宋体" w:hint="eastAsia"/>
          <w:b/>
          <w:szCs w:val="24"/>
        </w:rPr>
        <w:t>工作日</w:t>
      </w:r>
      <w:r>
        <w:rPr>
          <w:rFonts w:ascii="仿宋_GB2312" w:hAnsi="宋体" w:cs="宋体"/>
          <w:bCs/>
          <w:kern w:val="0"/>
          <w:szCs w:val="24"/>
        </w:rPr>
        <w:t>内将投资者应得资金划转投资者指定账户。计算公式如下：</w:t>
      </w:r>
    </w:p>
    <w:p w14:paraId="5E969016"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本产品兑付金额</w:t>
      </w:r>
      <w:r>
        <w:rPr>
          <w:rFonts w:ascii="仿宋_GB2312" w:hAnsi="宋体" w:cs="宋体" w:hint="eastAsia"/>
          <w:bCs/>
          <w:kern w:val="0"/>
          <w:szCs w:val="24"/>
        </w:rPr>
        <w:t>(</w:t>
      </w:r>
      <w:r>
        <w:rPr>
          <w:rFonts w:ascii="仿宋_GB2312" w:hAnsi="宋体" w:cs="宋体" w:hint="eastAsia"/>
          <w:bCs/>
          <w:kern w:val="0"/>
          <w:szCs w:val="24"/>
        </w:rPr>
        <w:t>理财产品总资产净值</w:t>
      </w:r>
      <w:r>
        <w:rPr>
          <w:rFonts w:ascii="仿宋_GB2312" w:hAnsi="宋体" w:cs="宋体" w:hint="eastAsia"/>
          <w:bCs/>
          <w:kern w:val="0"/>
          <w:szCs w:val="24"/>
        </w:rPr>
        <w:t>)=</w:t>
      </w:r>
      <w:r>
        <w:rPr>
          <w:rFonts w:ascii="仿宋_GB2312" w:hAnsi="宋体" w:cs="宋体" w:hint="eastAsia"/>
          <w:bCs/>
          <w:kern w:val="0"/>
          <w:szCs w:val="24"/>
        </w:rPr>
        <w:t>理财产品资产总值</w:t>
      </w:r>
      <w:r>
        <w:rPr>
          <w:rFonts w:ascii="仿宋_GB2312" w:hAnsi="宋体" w:cs="宋体" w:hint="eastAsia"/>
          <w:bCs/>
          <w:kern w:val="0"/>
          <w:szCs w:val="24"/>
        </w:rPr>
        <w:t>-</w:t>
      </w:r>
      <w:r>
        <w:rPr>
          <w:rFonts w:ascii="仿宋_GB2312" w:hAnsi="宋体" w:cs="宋体" w:hint="eastAsia"/>
          <w:bCs/>
          <w:kern w:val="0"/>
          <w:szCs w:val="24"/>
        </w:rPr>
        <w:t>理财产品负债总值</w:t>
      </w:r>
    </w:p>
    <w:p w14:paraId="4B00D0B2"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其中，投资者到账金额为：</w:t>
      </w:r>
    </w:p>
    <w:p w14:paraId="135D6880"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本产品投资者到账金额</w:t>
      </w:r>
      <w:r>
        <w:rPr>
          <w:rFonts w:ascii="仿宋_GB2312" w:hAnsi="宋体" w:cs="宋体" w:hint="eastAsia"/>
          <w:bCs/>
          <w:kern w:val="0"/>
          <w:szCs w:val="24"/>
        </w:rPr>
        <w:t>=</w:t>
      </w:r>
      <w:r>
        <w:rPr>
          <w:rFonts w:ascii="仿宋_GB2312" w:hAnsi="宋体" w:cs="宋体" w:hint="eastAsia"/>
          <w:bCs/>
          <w:kern w:val="0"/>
          <w:szCs w:val="24"/>
        </w:rPr>
        <w:t>投资者在到期日持有理财产品份额</w:t>
      </w:r>
      <w:r>
        <w:rPr>
          <w:rFonts w:ascii="仿宋_GB2312" w:hAnsi="宋体" w:cs="宋体" w:hint="eastAsia"/>
          <w:bCs/>
          <w:kern w:val="0"/>
          <w:szCs w:val="24"/>
        </w:rPr>
        <w:t>/</w:t>
      </w:r>
      <w:r>
        <w:rPr>
          <w:rFonts w:ascii="仿宋_GB2312" w:hAnsi="宋体" w:cs="宋体" w:hint="eastAsia"/>
          <w:bCs/>
          <w:kern w:val="0"/>
          <w:szCs w:val="24"/>
        </w:rPr>
        <w:t>理财产品总份额</w:t>
      </w:r>
      <w:r>
        <w:rPr>
          <w:rFonts w:ascii="仿宋_GB2312" w:hAnsi="宋体" w:cs="宋体" w:hint="eastAsia"/>
          <w:bCs/>
          <w:kern w:val="0"/>
          <w:szCs w:val="24"/>
        </w:rPr>
        <w:t>*</w:t>
      </w:r>
      <w:r>
        <w:rPr>
          <w:rFonts w:ascii="仿宋_GB2312" w:hAnsi="宋体" w:cs="宋体" w:hint="eastAsia"/>
          <w:bCs/>
          <w:kern w:val="0"/>
          <w:szCs w:val="24"/>
        </w:rPr>
        <w:t>理财产品总资产净值，</w:t>
      </w:r>
      <w:r>
        <w:rPr>
          <w:rFonts w:ascii="仿宋_GB2312" w:hAnsi="宋体" w:cs="宋体"/>
          <w:bCs/>
          <w:kern w:val="0"/>
          <w:szCs w:val="24"/>
        </w:rPr>
        <w:t>最终资金以实际到账为准。</w:t>
      </w:r>
    </w:p>
    <w:p w14:paraId="4D740285"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产品终止日，如产品投资资产因市场风险、信用风险以及监管风险等原因不能全部变现且产品管理人未对本产品进行延期则本产品进入延期清算程序。产品延期清算时，产品管理人将提前发布相关公告。产品管理人将产品持有的现金类资产在扣除支付清算费用和交纳所欠税款、清偿产品债务后，如仍有剩余资金</w:t>
      </w:r>
      <w:r>
        <w:rPr>
          <w:rFonts w:ascii="仿宋_GB2312" w:hAnsi="宋体" w:cs="宋体" w:hint="eastAsia"/>
          <w:bCs/>
          <w:kern w:val="0"/>
          <w:szCs w:val="24"/>
        </w:rPr>
        <w:t>，</w:t>
      </w:r>
      <w:r>
        <w:rPr>
          <w:rFonts w:ascii="仿宋_GB2312" w:hAnsi="宋体" w:cs="宋体"/>
          <w:bCs/>
          <w:kern w:val="0"/>
          <w:szCs w:val="24"/>
        </w:rPr>
        <w:t>可</w:t>
      </w:r>
      <w:r>
        <w:rPr>
          <w:rFonts w:ascii="仿宋_GB2312" w:hAnsi="宋体" w:cs="宋体" w:hint="eastAsia"/>
          <w:bCs/>
          <w:kern w:val="0"/>
          <w:szCs w:val="24"/>
        </w:rPr>
        <w:t>按照各投资者持有理财产品份额占理财产品总份额的比例</w:t>
      </w:r>
      <w:r>
        <w:rPr>
          <w:rFonts w:ascii="仿宋_GB2312" w:hAnsi="宋体" w:cs="宋体"/>
          <w:bCs/>
          <w:kern w:val="0"/>
          <w:szCs w:val="24"/>
        </w:rPr>
        <w:t>分配给</w:t>
      </w:r>
      <w:r>
        <w:rPr>
          <w:rFonts w:ascii="仿宋_GB2312" w:hAnsi="宋体" w:cs="宋体" w:hint="eastAsia"/>
          <w:bCs/>
          <w:kern w:val="0"/>
          <w:szCs w:val="24"/>
        </w:rPr>
        <w:t>投资者</w:t>
      </w:r>
      <w:r>
        <w:rPr>
          <w:rFonts w:ascii="仿宋_GB2312" w:hAnsi="宋体" w:cs="宋体"/>
          <w:bCs/>
          <w:kern w:val="0"/>
          <w:szCs w:val="24"/>
        </w:rPr>
        <w:t>。对于未变现资产部分，产品管理人以投资者利益最大化的原则，寻求未变现资产变现方式，在资产变现后，产品持有的现金类资产在扣除剩余未支付的清算费用和交纳所欠税款、清偿产品债务后</w:t>
      </w:r>
      <w:r>
        <w:rPr>
          <w:rFonts w:ascii="仿宋_GB2312" w:hAnsi="宋体" w:cs="宋体"/>
          <w:bCs/>
          <w:kern w:val="0"/>
          <w:szCs w:val="24"/>
        </w:rPr>
        <w:t>，</w:t>
      </w:r>
      <w:r>
        <w:rPr>
          <w:rFonts w:ascii="仿宋_GB2312" w:hAnsi="宋体" w:cs="宋体" w:hint="eastAsia"/>
          <w:bCs/>
          <w:kern w:val="0"/>
          <w:szCs w:val="24"/>
        </w:rPr>
        <w:t>按照各投资者持有理财产品份额占理财产品总份额的比例</w:t>
      </w:r>
      <w:r>
        <w:rPr>
          <w:rFonts w:ascii="仿宋_GB2312" w:hAnsi="宋体" w:cs="宋体"/>
          <w:bCs/>
          <w:kern w:val="0"/>
          <w:szCs w:val="24"/>
        </w:rPr>
        <w:t>于产品清算完毕后的</w:t>
      </w:r>
      <w:r>
        <w:rPr>
          <w:rFonts w:ascii="仿宋_GB2312" w:hAnsi="宋体" w:cs="宋体"/>
          <w:bCs/>
          <w:kern w:val="0"/>
          <w:szCs w:val="24"/>
        </w:rPr>
        <w:t>5</w:t>
      </w:r>
      <w:r>
        <w:rPr>
          <w:rFonts w:ascii="仿宋_GB2312" w:hAnsi="宋体" w:cs="宋体"/>
          <w:bCs/>
          <w:kern w:val="0"/>
          <w:szCs w:val="24"/>
        </w:rPr>
        <w:t>个</w:t>
      </w:r>
      <w:r>
        <w:rPr>
          <w:rFonts w:ascii="宋体" w:hAnsi="宋体" w:hint="eastAsia"/>
          <w:b/>
          <w:szCs w:val="24"/>
        </w:rPr>
        <w:t>工作日</w:t>
      </w:r>
      <w:r>
        <w:rPr>
          <w:rFonts w:ascii="仿宋_GB2312" w:hAnsi="宋体" w:cs="宋体"/>
          <w:bCs/>
          <w:kern w:val="0"/>
          <w:szCs w:val="24"/>
        </w:rPr>
        <w:t>内分配给</w:t>
      </w:r>
      <w:r>
        <w:rPr>
          <w:rFonts w:ascii="仿宋_GB2312" w:hAnsi="宋体" w:cs="宋体" w:hint="eastAsia"/>
          <w:bCs/>
          <w:kern w:val="0"/>
          <w:szCs w:val="24"/>
        </w:rPr>
        <w:t>投资者</w:t>
      </w:r>
      <w:r>
        <w:rPr>
          <w:rFonts w:ascii="仿宋_GB2312" w:hAnsi="宋体" w:cs="宋体"/>
          <w:bCs/>
          <w:kern w:val="0"/>
          <w:szCs w:val="24"/>
        </w:rPr>
        <w:t>。</w:t>
      </w:r>
    </w:p>
    <w:p w14:paraId="0AC6FE1D" w14:textId="77777777" w:rsidR="00A2049A" w:rsidRDefault="0029186B">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产品管理人拟进行二次或多次清算的，管理人应向投资者及时披露。</w:t>
      </w:r>
    </w:p>
    <w:p w14:paraId="38FAED83" w14:textId="77777777" w:rsidR="00A2049A" w:rsidRDefault="0029186B">
      <w:pPr>
        <w:widowControl/>
        <w:tabs>
          <w:tab w:val="left" w:pos="709"/>
        </w:tabs>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产品正常终止时，投资者到账资金示例</w:t>
      </w:r>
    </w:p>
    <w:p w14:paraId="15B7AA86" w14:textId="77777777" w:rsidR="00A2049A" w:rsidRDefault="0029186B">
      <w:pPr>
        <w:widowControl/>
        <w:tabs>
          <w:tab w:val="left" w:pos="709"/>
        </w:tabs>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lastRenderedPageBreak/>
        <w:t>假设当理财产品正常终止时，某客户持有</w:t>
      </w:r>
      <w:r>
        <w:rPr>
          <w:rFonts w:ascii="仿宋_GB2312" w:hAnsi="宋体" w:cs="宋体" w:hint="eastAsia"/>
          <w:bCs/>
          <w:kern w:val="0"/>
          <w:szCs w:val="24"/>
        </w:rPr>
        <w:t>10</w:t>
      </w:r>
      <w:r>
        <w:rPr>
          <w:rFonts w:ascii="仿宋_GB2312" w:hAnsi="宋体" w:cs="宋体" w:hint="eastAsia"/>
          <w:bCs/>
          <w:kern w:val="0"/>
          <w:szCs w:val="24"/>
        </w:rPr>
        <w:t>万份本产品份额，产品初始份额净值为</w:t>
      </w:r>
      <w:r>
        <w:rPr>
          <w:rFonts w:ascii="仿宋_GB2312" w:hAnsi="宋体" w:cs="宋体" w:hint="eastAsia"/>
          <w:bCs/>
          <w:kern w:val="0"/>
          <w:szCs w:val="24"/>
        </w:rPr>
        <w:t>1.00</w:t>
      </w:r>
      <w:r>
        <w:rPr>
          <w:rFonts w:ascii="仿宋_GB2312" w:hAnsi="宋体" w:cs="宋体" w:hint="eastAsia"/>
          <w:bCs/>
          <w:kern w:val="0"/>
          <w:szCs w:val="24"/>
        </w:rPr>
        <w:t>00</w:t>
      </w:r>
      <w:r>
        <w:rPr>
          <w:rFonts w:ascii="仿宋_GB2312" w:hAnsi="宋体" w:cs="宋体" w:hint="eastAsia"/>
          <w:bCs/>
          <w:kern w:val="0"/>
          <w:szCs w:val="24"/>
        </w:rPr>
        <w:t>00</w:t>
      </w:r>
      <w:r>
        <w:rPr>
          <w:rFonts w:ascii="仿宋_GB2312" w:hAnsi="宋体" w:cs="宋体" w:hint="eastAsia"/>
          <w:bCs/>
          <w:kern w:val="0"/>
          <w:szCs w:val="24"/>
        </w:rPr>
        <w:t>元</w:t>
      </w:r>
      <w:r>
        <w:rPr>
          <w:rFonts w:ascii="仿宋_GB2312" w:hAnsi="宋体" w:cs="宋体" w:hint="eastAsia"/>
          <w:bCs/>
          <w:kern w:val="0"/>
          <w:szCs w:val="24"/>
        </w:rPr>
        <w:t>/</w:t>
      </w:r>
      <w:r>
        <w:rPr>
          <w:rFonts w:ascii="仿宋_GB2312" w:hAnsi="宋体" w:cs="宋体" w:hint="eastAsia"/>
          <w:bCs/>
          <w:kern w:val="0"/>
          <w:szCs w:val="24"/>
        </w:rPr>
        <w:t>份，折算份额为</w:t>
      </w:r>
      <w:r>
        <w:rPr>
          <w:rFonts w:ascii="仿宋_GB2312" w:hAnsi="宋体" w:cs="宋体" w:hint="eastAsia"/>
          <w:bCs/>
          <w:kern w:val="0"/>
          <w:szCs w:val="24"/>
        </w:rPr>
        <w:t>100000</w:t>
      </w:r>
      <w:r>
        <w:rPr>
          <w:rFonts w:ascii="仿宋_GB2312" w:hAnsi="宋体" w:cs="宋体" w:hint="eastAsia"/>
          <w:bCs/>
          <w:kern w:val="0"/>
          <w:szCs w:val="24"/>
        </w:rPr>
        <w:t>份。如本产品募集份额</w:t>
      </w:r>
      <w:r>
        <w:rPr>
          <w:rFonts w:ascii="仿宋_GB2312" w:hAnsi="宋体" w:cs="宋体" w:hint="eastAsia"/>
          <w:bCs/>
          <w:kern w:val="0"/>
          <w:szCs w:val="24"/>
        </w:rPr>
        <w:t>55000000</w:t>
      </w:r>
      <w:r>
        <w:rPr>
          <w:rFonts w:ascii="仿宋_GB2312" w:hAnsi="宋体" w:cs="宋体" w:hint="eastAsia"/>
          <w:bCs/>
          <w:kern w:val="0"/>
          <w:szCs w:val="24"/>
        </w:rPr>
        <w:t>份，期限为</w:t>
      </w:r>
      <w:r>
        <w:rPr>
          <w:rFonts w:ascii="仿宋_GB2312" w:hAnsi="宋体" w:cs="宋体" w:hint="eastAsia"/>
          <w:bCs/>
          <w:kern w:val="0"/>
          <w:szCs w:val="24"/>
        </w:rPr>
        <w:t>91</w:t>
      </w:r>
      <w:r>
        <w:rPr>
          <w:rFonts w:ascii="仿宋_GB2312" w:hAnsi="宋体" w:cs="宋体" w:hint="eastAsia"/>
          <w:bCs/>
          <w:kern w:val="0"/>
          <w:szCs w:val="24"/>
        </w:rPr>
        <w:t>天，扣除固定费用、浮动费用及税款（若有）后，理财产品总资产净值为</w:t>
      </w:r>
      <w:r>
        <w:rPr>
          <w:rFonts w:ascii="仿宋_GB2312" w:hAnsi="宋体" w:cs="宋体" w:hint="eastAsia"/>
          <w:bCs/>
          <w:kern w:val="0"/>
          <w:szCs w:val="24"/>
        </w:rPr>
        <w:t>55817260.27</w:t>
      </w:r>
      <w:r>
        <w:rPr>
          <w:rFonts w:ascii="仿宋_GB2312" w:hAnsi="宋体" w:cs="宋体" w:hint="eastAsia"/>
          <w:bCs/>
          <w:kern w:val="0"/>
          <w:szCs w:val="24"/>
        </w:rPr>
        <w:t>元，客户最终收到资金为：</w:t>
      </w:r>
      <w:r>
        <w:rPr>
          <w:rFonts w:ascii="仿宋_GB2312" w:hAnsi="宋体" w:cs="宋体"/>
          <w:bCs/>
          <w:kern w:val="0"/>
          <w:szCs w:val="24"/>
        </w:rPr>
        <w:t>100000/55000000*55817260.27=101485.92</w:t>
      </w:r>
      <w:r>
        <w:rPr>
          <w:rFonts w:ascii="仿宋_GB2312" w:hAnsi="宋体" w:cs="宋体"/>
          <w:bCs/>
          <w:kern w:val="0"/>
          <w:szCs w:val="24"/>
        </w:rPr>
        <w:t>元。</w:t>
      </w:r>
    </w:p>
    <w:p w14:paraId="3A6316F4" w14:textId="77777777" w:rsidR="00A2049A" w:rsidRDefault="0029186B">
      <w:pPr>
        <w:widowControl/>
        <w:jc w:val="left"/>
        <w:rPr>
          <w:rFonts w:ascii="仿宋_GB2312" w:hAnsi="宋体" w:cs="宋体"/>
          <w:bCs/>
          <w:kern w:val="0"/>
          <w:szCs w:val="24"/>
        </w:rPr>
      </w:pPr>
      <w:r>
        <w:rPr>
          <w:rFonts w:ascii="仿宋_GB2312" w:hAnsi="宋体" w:cs="宋体"/>
          <w:bCs/>
          <w:kern w:val="0"/>
          <w:szCs w:val="24"/>
        </w:rPr>
        <w:br w:type="page"/>
      </w:r>
    </w:p>
    <w:p w14:paraId="0CE8CC00" w14:textId="77777777" w:rsidR="00A2049A" w:rsidRDefault="0029186B">
      <w:pPr>
        <w:pStyle w:val="1"/>
      </w:pPr>
      <w:r>
        <w:rPr>
          <w:rFonts w:hint="eastAsia"/>
        </w:rPr>
        <w:lastRenderedPageBreak/>
        <w:t>理财产品的信息披露</w:t>
      </w:r>
    </w:p>
    <w:p w14:paraId="3960F8AE" w14:textId="77777777" w:rsidR="00A2049A" w:rsidRDefault="0029186B">
      <w:pPr>
        <w:pStyle w:val="2"/>
        <w:ind w:firstLine="482"/>
      </w:pPr>
      <w:r>
        <w:rPr>
          <w:rFonts w:hint="eastAsia"/>
        </w:rPr>
        <w:t>信息披露方式</w:t>
      </w:r>
    </w:p>
    <w:p w14:paraId="4A7DE9F4" w14:textId="77777777" w:rsidR="00A2049A" w:rsidRDefault="0029186B">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本理财产品将通过产品管理人官方网站【</w:t>
      </w:r>
      <w:r>
        <w:rPr>
          <w:rFonts w:ascii="仿宋_GB2312" w:hAnsi="宋体" w:cs="宋体"/>
          <w:b/>
          <w:kern w:val="0"/>
          <w:szCs w:val="24"/>
        </w:rPr>
        <w:t>www.czbank-wm.com</w:t>
      </w:r>
      <w:r>
        <w:rPr>
          <w:rFonts w:ascii="仿宋_GB2312" w:hAnsi="宋体" w:cs="宋体" w:hint="eastAsia"/>
          <w:b/>
          <w:kern w:val="0"/>
          <w:szCs w:val="24"/>
        </w:rPr>
        <w:t>】、销售机构官方网站、个人手机银行或其他约定的方式等一种或多种渠道进行信息披露。相关信息自披露之日即视为已送达投资者，也视为产品管理人已适当披露理财产品相关信息。投资者应及时查看，以免因未及时获知信息而错过资金使用和再投资的机会。若由于投资者原因未能及时登陆产品管理人官方网站、销售机构信息披露渠道获取披露信息，所造成的后果</w:t>
      </w:r>
      <w:r>
        <w:rPr>
          <w:rFonts w:ascii="仿宋_GB2312" w:hAnsi="宋体" w:cs="宋体" w:hint="eastAsia"/>
          <w:b/>
          <w:kern w:val="0"/>
          <w:szCs w:val="24"/>
        </w:rPr>
        <w:t>将由投资者自行承担，产品管理人不承担相应责任。</w:t>
      </w:r>
    </w:p>
    <w:p w14:paraId="60417C77" w14:textId="77777777" w:rsidR="00A2049A" w:rsidRDefault="0029186B">
      <w:pPr>
        <w:pStyle w:val="2"/>
        <w:ind w:firstLine="482"/>
      </w:pPr>
      <w:r>
        <w:rPr>
          <w:rFonts w:hint="eastAsia"/>
        </w:rPr>
        <w:t>信息披露内容</w:t>
      </w:r>
    </w:p>
    <w:p w14:paraId="125161DB" w14:textId="77777777" w:rsidR="00A2049A" w:rsidRDefault="0029186B">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1.</w:t>
      </w:r>
      <w:r>
        <w:rPr>
          <w:rFonts w:ascii="仿宋_GB2312" w:hAnsi="宋体" w:cs="宋体" w:hint="eastAsia"/>
          <w:b/>
          <w:kern w:val="0"/>
          <w:szCs w:val="24"/>
        </w:rPr>
        <w:t>产品类型、募集信息、产品净值、产品规模、收益情况；</w:t>
      </w:r>
    </w:p>
    <w:p w14:paraId="4375FF6D" w14:textId="77777777" w:rsidR="00A2049A" w:rsidRDefault="0029186B">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2.</w:t>
      </w:r>
      <w:r>
        <w:rPr>
          <w:rFonts w:ascii="仿宋_GB2312" w:hAnsi="宋体" w:cs="宋体" w:hint="eastAsia"/>
          <w:b/>
          <w:kern w:val="0"/>
          <w:szCs w:val="24"/>
        </w:rPr>
        <w:t>产品直接和间接投资的资产种类、投资比例、</w:t>
      </w:r>
      <w:r>
        <w:rPr>
          <w:rFonts w:ascii="仿宋_GB2312" w:hAnsi="宋体" w:cs="宋体" w:hint="eastAsia"/>
          <w:b/>
          <w:kern w:val="0"/>
          <w:szCs w:val="24"/>
          <w:lang w:val="zh-CN"/>
        </w:rPr>
        <w:t>前十项资产具体名称、规模和比例等信息、</w:t>
      </w:r>
      <w:r>
        <w:rPr>
          <w:rFonts w:ascii="仿宋_GB2312" w:hAnsi="宋体" w:cs="宋体" w:hint="eastAsia"/>
          <w:b/>
          <w:kern w:val="0"/>
          <w:szCs w:val="24"/>
        </w:rPr>
        <w:t>杠杆水平以及流动性风险分析；</w:t>
      </w:r>
    </w:p>
    <w:p w14:paraId="54799F56" w14:textId="77777777" w:rsidR="00A2049A" w:rsidRDefault="0029186B">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3.</w:t>
      </w:r>
      <w:r>
        <w:rPr>
          <w:rFonts w:ascii="仿宋_GB2312" w:hAnsi="宋体" w:cs="宋体" w:hint="eastAsia"/>
          <w:b/>
          <w:kern w:val="0"/>
          <w:szCs w:val="24"/>
        </w:rPr>
        <w:t>产品估值方法、托管安排；</w:t>
      </w:r>
    </w:p>
    <w:p w14:paraId="16000281" w14:textId="77777777" w:rsidR="00A2049A" w:rsidRDefault="0029186B">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4.</w:t>
      </w:r>
      <w:r>
        <w:rPr>
          <w:rFonts w:ascii="仿宋_GB2312" w:hAnsi="宋体" w:cs="宋体" w:hint="eastAsia"/>
          <w:b/>
          <w:kern w:val="0"/>
          <w:szCs w:val="24"/>
        </w:rPr>
        <w:t>产品收益分配、各项费用情况及主要投资风险；</w:t>
      </w:r>
    </w:p>
    <w:p w14:paraId="0E10DE22" w14:textId="77777777" w:rsidR="00A2049A" w:rsidRDefault="0029186B">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5.</w:t>
      </w:r>
      <w:r>
        <w:rPr>
          <w:rFonts w:ascii="仿宋_GB2312" w:hAnsi="宋体" w:cs="宋体" w:hint="eastAsia"/>
          <w:b/>
          <w:kern w:val="0"/>
          <w:szCs w:val="24"/>
        </w:rPr>
        <w:t>如本理财产品投资于理财产品管理人或托管机构的主要股东、实际控制人、一致行动人、最终受益人，托管机构，同一股东或托管机构控股的机构，或者与理财产品管理人或托管机构有重大利害关系的机构，以及国家金融监督管</w:t>
      </w:r>
      <w:r>
        <w:rPr>
          <w:rFonts w:ascii="仿宋_GB2312" w:hAnsi="宋体" w:cs="宋体" w:hint="eastAsia"/>
          <w:b/>
          <w:kern w:val="0"/>
          <w:szCs w:val="24"/>
        </w:rPr>
        <w:t>理机构关于关联交易管理相关规定中涉及的其他关联方发行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14:paraId="7133900D" w14:textId="77777777" w:rsidR="00A2049A" w:rsidRDefault="0029186B">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b/>
          <w:kern w:val="0"/>
          <w:szCs w:val="24"/>
        </w:rPr>
        <w:t>6</w:t>
      </w:r>
      <w:r>
        <w:rPr>
          <w:rFonts w:ascii="仿宋_GB2312" w:hAnsi="宋体" w:cs="宋体" w:hint="eastAsia"/>
          <w:b/>
          <w:kern w:val="0"/>
          <w:szCs w:val="24"/>
        </w:rPr>
        <w:t>.</w:t>
      </w:r>
      <w:r>
        <w:rPr>
          <w:rFonts w:ascii="仿宋_GB2312" w:hAnsi="宋体" w:cs="宋体" w:hint="eastAsia"/>
          <w:b/>
          <w:kern w:val="0"/>
          <w:szCs w:val="24"/>
        </w:rPr>
        <w:t>其他影响本产品投资运作的重大事项、突发事件、临时性信息披露等。</w:t>
      </w:r>
    </w:p>
    <w:p w14:paraId="2BCB6842" w14:textId="77777777" w:rsidR="00A2049A" w:rsidRDefault="0029186B">
      <w:pPr>
        <w:pStyle w:val="2"/>
        <w:ind w:firstLine="482"/>
      </w:pPr>
      <w:r>
        <w:rPr>
          <w:rFonts w:hint="eastAsia"/>
        </w:rPr>
        <w:t>信息披露频率</w:t>
      </w:r>
    </w:p>
    <w:p w14:paraId="53830FE5" w14:textId="77777777" w:rsidR="00A2049A" w:rsidRDefault="0029186B">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1.</w:t>
      </w:r>
      <w:r>
        <w:rPr>
          <w:rFonts w:ascii="仿宋_GB2312" w:hAnsi="宋体" w:cs="宋体"/>
          <w:kern w:val="0"/>
          <w:szCs w:val="24"/>
        </w:rPr>
        <w:t>发行公告：本产品成立后</w:t>
      </w:r>
      <w:r>
        <w:rPr>
          <w:rFonts w:ascii="仿宋_GB2312" w:hAnsi="宋体" w:cs="宋体"/>
          <w:kern w:val="0"/>
          <w:szCs w:val="24"/>
        </w:rPr>
        <w:t>5</w:t>
      </w:r>
      <w:r>
        <w:rPr>
          <w:rFonts w:ascii="仿宋_GB2312" w:hAnsi="宋体" w:cs="宋体"/>
          <w:kern w:val="0"/>
          <w:szCs w:val="24"/>
        </w:rPr>
        <w:t>个工作日（含）内，将发布本理财产品成立公告；如</w:t>
      </w:r>
      <w:r>
        <w:rPr>
          <w:rFonts w:ascii="仿宋_GB2312" w:hAnsi="宋体" w:cs="宋体" w:hint="eastAsia"/>
          <w:kern w:val="0"/>
          <w:szCs w:val="24"/>
        </w:rPr>
        <w:t>产品</w:t>
      </w:r>
      <w:r>
        <w:rPr>
          <w:rFonts w:ascii="仿宋_GB2312" w:hAnsi="宋体" w:cs="宋体"/>
          <w:kern w:val="0"/>
          <w:szCs w:val="24"/>
        </w:rPr>
        <w:t>管理人决定本理财产品募集期延长，将于原定成立日前发布理财产品募集期延长公告；</w:t>
      </w:r>
      <w:r>
        <w:rPr>
          <w:rFonts w:ascii="仿宋_GB2312" w:hAnsi="宋体" w:cs="宋体" w:hint="eastAsia"/>
          <w:kern w:val="0"/>
          <w:szCs w:val="24"/>
        </w:rPr>
        <w:t>产品</w:t>
      </w:r>
      <w:r>
        <w:rPr>
          <w:rFonts w:ascii="仿宋_GB2312" w:hAnsi="宋体" w:cs="宋体"/>
          <w:kern w:val="0"/>
          <w:szCs w:val="24"/>
        </w:rPr>
        <w:t>管理人决定本理财产品不成立，将在理财产品原定成立日后的</w:t>
      </w:r>
      <w:r>
        <w:rPr>
          <w:rFonts w:ascii="仿宋_GB2312" w:hAnsi="宋体" w:cs="宋体"/>
          <w:kern w:val="0"/>
          <w:szCs w:val="24"/>
        </w:rPr>
        <w:t>2</w:t>
      </w:r>
      <w:r>
        <w:rPr>
          <w:rFonts w:ascii="仿宋_GB2312" w:hAnsi="宋体" w:cs="宋体"/>
          <w:kern w:val="0"/>
          <w:szCs w:val="24"/>
        </w:rPr>
        <w:t>个工作日（含）内发布理财产品不成立公告。</w:t>
      </w:r>
    </w:p>
    <w:p w14:paraId="2B9DD557" w14:textId="77777777" w:rsidR="00A2049A" w:rsidRDefault="0029186B">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2.</w:t>
      </w:r>
      <w:r>
        <w:rPr>
          <w:rFonts w:ascii="仿宋_GB2312" w:hAnsi="宋体" w:cs="宋体"/>
          <w:kern w:val="0"/>
          <w:szCs w:val="24"/>
        </w:rPr>
        <w:t>定期公告：本产品在每个季度结束之日起</w:t>
      </w:r>
      <w:r>
        <w:rPr>
          <w:rFonts w:ascii="仿宋_GB2312" w:hAnsi="宋体" w:cs="宋体"/>
          <w:kern w:val="0"/>
          <w:szCs w:val="24"/>
        </w:rPr>
        <w:t>15</w:t>
      </w:r>
      <w:r>
        <w:rPr>
          <w:rFonts w:ascii="仿宋_GB2312" w:hAnsi="宋体" w:cs="宋体" w:hint="eastAsia"/>
          <w:kern w:val="0"/>
          <w:szCs w:val="24"/>
        </w:rPr>
        <w:t>个工作日内、上半年结束之日起</w:t>
      </w:r>
      <w:r>
        <w:rPr>
          <w:rFonts w:ascii="仿宋_GB2312" w:hAnsi="宋体" w:cs="宋体"/>
          <w:kern w:val="0"/>
          <w:szCs w:val="24"/>
        </w:rPr>
        <w:t>60</w:t>
      </w:r>
      <w:r>
        <w:rPr>
          <w:rFonts w:ascii="仿宋_GB2312" w:hAnsi="宋体" w:cs="宋体" w:hint="eastAsia"/>
          <w:kern w:val="0"/>
          <w:szCs w:val="24"/>
        </w:rPr>
        <w:t>个工作日内、每年结束之日起</w:t>
      </w:r>
      <w:r>
        <w:rPr>
          <w:rFonts w:ascii="仿宋_GB2312" w:hAnsi="宋体" w:cs="宋体"/>
          <w:kern w:val="0"/>
          <w:szCs w:val="24"/>
        </w:rPr>
        <w:t>90</w:t>
      </w:r>
      <w:r>
        <w:rPr>
          <w:rFonts w:ascii="仿宋_GB2312" w:hAnsi="宋体" w:cs="宋体" w:hint="eastAsia"/>
          <w:kern w:val="0"/>
          <w:szCs w:val="24"/>
        </w:rPr>
        <w:t>个工作日内，披露本产品季度、半年和年度报告等定期报告。产品成立不足</w:t>
      </w:r>
      <w:r>
        <w:rPr>
          <w:rFonts w:ascii="仿宋_GB2312" w:hAnsi="宋体" w:cs="宋体"/>
          <w:kern w:val="0"/>
          <w:szCs w:val="24"/>
        </w:rPr>
        <w:t>90</w:t>
      </w:r>
      <w:r>
        <w:rPr>
          <w:rFonts w:ascii="仿宋_GB2312" w:hAnsi="宋体" w:cs="宋体" w:hint="eastAsia"/>
          <w:kern w:val="0"/>
          <w:szCs w:val="24"/>
        </w:rPr>
        <w:t>个工作日或者剩余存续期不超过</w:t>
      </w:r>
      <w:r>
        <w:rPr>
          <w:rFonts w:ascii="仿宋_GB2312" w:hAnsi="宋体" w:cs="宋体"/>
          <w:kern w:val="0"/>
          <w:szCs w:val="24"/>
        </w:rPr>
        <w:t>90</w:t>
      </w:r>
      <w:r>
        <w:rPr>
          <w:rFonts w:ascii="仿宋_GB2312" w:hAnsi="宋体" w:cs="宋体" w:hint="eastAsia"/>
          <w:kern w:val="0"/>
          <w:szCs w:val="24"/>
        </w:rPr>
        <w:t>个工作日的，将不编制本产品当期的季度、半年和年度报告。定期报告将披露理财产品组合资产情况及其流动性风险分析等。</w:t>
      </w:r>
    </w:p>
    <w:p w14:paraId="2D8194DC" w14:textId="77777777" w:rsidR="00A2049A" w:rsidRDefault="0029186B">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lastRenderedPageBreak/>
        <w:t>3.</w:t>
      </w:r>
      <w:r>
        <w:rPr>
          <w:rFonts w:ascii="仿宋_GB2312" w:hAnsi="宋体" w:cs="宋体"/>
          <w:kern w:val="0"/>
          <w:szCs w:val="24"/>
        </w:rPr>
        <w:t>到期公告：本产品在终止后</w:t>
      </w:r>
      <w:r>
        <w:rPr>
          <w:rFonts w:ascii="仿宋_GB2312" w:hAnsi="宋体" w:cs="宋体"/>
          <w:kern w:val="0"/>
          <w:szCs w:val="24"/>
        </w:rPr>
        <w:t>5</w:t>
      </w:r>
      <w:r>
        <w:rPr>
          <w:rFonts w:ascii="仿宋_GB2312" w:hAnsi="宋体" w:cs="宋体" w:hint="eastAsia"/>
          <w:kern w:val="0"/>
          <w:szCs w:val="24"/>
        </w:rPr>
        <w:t>个工作日内，披露本产品到期公告，包括理财产品的存续期限、终止日期、收费情况和收益分配情况等信息。本产品终止后</w:t>
      </w:r>
      <w:r>
        <w:rPr>
          <w:rFonts w:ascii="仿宋_GB2312" w:hAnsi="宋体" w:cs="宋体" w:hint="eastAsia"/>
          <w:kern w:val="0"/>
          <w:szCs w:val="24"/>
        </w:rPr>
        <w:t>5</w:t>
      </w:r>
      <w:r>
        <w:rPr>
          <w:rFonts w:ascii="仿宋_GB2312" w:hAnsi="宋体" w:cs="宋体" w:hint="eastAsia"/>
          <w:kern w:val="0"/>
          <w:szCs w:val="24"/>
        </w:rPr>
        <w:t>个工作日内，产品管理人发布产品到期公告。</w:t>
      </w:r>
    </w:p>
    <w:p w14:paraId="4251DFE0" w14:textId="77777777" w:rsidR="00A2049A" w:rsidRDefault="0029186B">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如果产品管理人提前或</w:t>
      </w:r>
      <w:r>
        <w:rPr>
          <w:rFonts w:ascii="仿宋_GB2312" w:hAnsi="宋体" w:cs="宋体"/>
          <w:kern w:val="0"/>
          <w:szCs w:val="24"/>
        </w:rPr>
        <w:t>延后</w:t>
      </w:r>
      <w:r>
        <w:rPr>
          <w:rFonts w:ascii="仿宋_GB2312" w:hAnsi="宋体" w:cs="宋体" w:hint="eastAsia"/>
          <w:kern w:val="0"/>
          <w:szCs w:val="24"/>
        </w:rPr>
        <w:t>终止本产品，产品管理人将提前</w:t>
      </w:r>
      <w:r>
        <w:rPr>
          <w:rFonts w:ascii="仿宋_GB2312" w:hAnsi="宋体" w:cs="宋体" w:hint="eastAsia"/>
          <w:kern w:val="0"/>
          <w:szCs w:val="24"/>
        </w:rPr>
        <w:t>2</w:t>
      </w:r>
      <w:r>
        <w:rPr>
          <w:rFonts w:ascii="仿宋_GB2312" w:hAnsi="宋体" w:cs="宋体" w:hint="eastAsia"/>
          <w:kern w:val="0"/>
          <w:szCs w:val="24"/>
        </w:rPr>
        <w:t>个工作日进行公告。</w:t>
      </w:r>
    </w:p>
    <w:p w14:paraId="431CA9BE" w14:textId="77777777" w:rsidR="00A2049A" w:rsidRDefault="0029186B">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4.</w:t>
      </w:r>
      <w:r>
        <w:rPr>
          <w:rFonts w:ascii="仿宋_GB2312" w:hAnsi="宋体" w:cs="宋体"/>
          <w:kern w:val="0"/>
          <w:szCs w:val="24"/>
        </w:rPr>
        <w:t>产品</w:t>
      </w:r>
      <w:r>
        <w:rPr>
          <w:rFonts w:ascii="仿宋_GB2312" w:hAnsi="宋体" w:cs="宋体" w:hint="eastAsia"/>
          <w:kern w:val="0"/>
          <w:szCs w:val="24"/>
        </w:rPr>
        <w:t>估值日公告：本产品存续期内，</w:t>
      </w:r>
      <w:r>
        <w:rPr>
          <w:rFonts w:ascii="仿宋_GB2312" w:hAnsi="宋体" w:cs="宋体" w:hint="eastAsia"/>
          <w:b/>
          <w:kern w:val="0"/>
          <w:szCs w:val="24"/>
        </w:rPr>
        <w:t>每【周】</w:t>
      </w:r>
      <w:r>
        <w:rPr>
          <w:rFonts w:ascii="仿宋_GB2312" w:hAnsi="宋体" w:cs="宋体" w:hint="eastAsia"/>
          <w:kern w:val="0"/>
          <w:szCs w:val="24"/>
        </w:rPr>
        <w:t>向投资者披露一次估值日公告</w:t>
      </w:r>
      <w:r>
        <w:rPr>
          <w:rFonts w:ascii="宋体" w:hAnsi="宋体"/>
          <w:b/>
          <w:szCs w:val="24"/>
        </w:rPr>
        <w:t>(</w:t>
      </w:r>
      <w:r>
        <w:rPr>
          <w:rFonts w:ascii="宋体" w:hAnsi="宋体"/>
          <w:b/>
          <w:szCs w:val="24"/>
        </w:rPr>
        <w:t>如遇特殊情况以产品管理人</w:t>
      </w:r>
      <w:r>
        <w:rPr>
          <w:rFonts w:ascii="宋体" w:hAnsi="宋体" w:hint="eastAsia"/>
          <w:b/>
          <w:szCs w:val="24"/>
        </w:rPr>
        <w:t>披露</w:t>
      </w:r>
      <w:r>
        <w:rPr>
          <w:rFonts w:ascii="宋体" w:hAnsi="宋体"/>
          <w:b/>
          <w:szCs w:val="24"/>
        </w:rPr>
        <w:t>为准</w:t>
      </w:r>
      <w:r>
        <w:rPr>
          <w:rFonts w:ascii="宋体" w:hAnsi="宋体"/>
          <w:b/>
          <w:szCs w:val="24"/>
        </w:rPr>
        <w:t>)</w:t>
      </w:r>
      <w:r>
        <w:rPr>
          <w:rFonts w:ascii="仿宋_GB2312" w:hAnsi="宋体" w:cs="宋体" w:hint="eastAsia"/>
          <w:kern w:val="0"/>
          <w:szCs w:val="24"/>
        </w:rPr>
        <w:t>，估值日公告披露的内容包括估值日的产品份额净值、产品份额累计净值等。如遇法定节假日顺延。如遇产品到期日、季度末、半年度末、年度末等时间节点，产品管理人将增加估值日。此外，如遇其他特</w:t>
      </w:r>
      <w:r>
        <w:rPr>
          <w:rFonts w:ascii="仿宋_GB2312" w:hAnsi="宋体" w:cs="宋体" w:hint="eastAsia"/>
          <w:kern w:val="0"/>
          <w:szCs w:val="24"/>
        </w:rPr>
        <w:t>殊情况，以产品管理人信息披露为准。</w:t>
      </w:r>
    </w:p>
    <w:p w14:paraId="7A27FD2E" w14:textId="77777777" w:rsidR="00A2049A" w:rsidRDefault="0029186B">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b/>
          <w:kern w:val="0"/>
          <w:szCs w:val="24"/>
        </w:rPr>
        <w:t>5.</w:t>
      </w:r>
      <w:r>
        <w:rPr>
          <w:rFonts w:ascii="仿宋_GB2312" w:hAnsi="宋体" w:cs="宋体" w:hint="eastAsia"/>
          <w:b/>
          <w:kern w:val="0"/>
          <w:szCs w:val="24"/>
        </w:rPr>
        <w:t>如发生可能对本产品投资者或者产品收益产生重大影响的事件，将在事件发生后</w:t>
      </w:r>
      <w:r>
        <w:rPr>
          <w:rFonts w:ascii="仿宋_GB2312" w:hAnsi="宋体" w:cs="宋体" w:hint="eastAsia"/>
          <w:b/>
          <w:kern w:val="0"/>
          <w:szCs w:val="24"/>
        </w:rPr>
        <w:t>2</w:t>
      </w:r>
      <w:r>
        <w:rPr>
          <w:rFonts w:ascii="仿宋_GB2312" w:hAnsi="宋体" w:cs="宋体" w:hint="eastAsia"/>
          <w:b/>
          <w:kern w:val="0"/>
          <w:szCs w:val="24"/>
        </w:rPr>
        <w:t>个工作日（含）内发布重大事项公告。如有相关国家法律、法规或监管部门规定的其他需要信息披露的情形，产品管理人将按其规定进行信息披露。</w:t>
      </w:r>
    </w:p>
    <w:p w14:paraId="7305AEED" w14:textId="77777777" w:rsidR="00A2049A" w:rsidRDefault="0029186B">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6.</w:t>
      </w:r>
      <w:r>
        <w:rPr>
          <w:rFonts w:ascii="仿宋_GB2312" w:hAnsi="宋体" w:cs="宋体" w:hint="eastAsia"/>
          <w:kern w:val="0"/>
          <w:szCs w:val="24"/>
        </w:rPr>
        <w:t>产品临时公告</w:t>
      </w:r>
    </w:p>
    <w:p w14:paraId="08104258" w14:textId="77777777" w:rsidR="00A2049A" w:rsidRDefault="0029186B">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1</w:t>
      </w:r>
      <w:r>
        <w:rPr>
          <w:rFonts w:ascii="仿宋_GB2312" w:hAnsi="宋体" w:cs="宋体" w:hint="eastAsia"/>
          <w:kern w:val="0"/>
          <w:szCs w:val="24"/>
        </w:rPr>
        <w:t>）产品管理人对投资范围、投资资产种类、投资比例、估值方法、收费项目、收费条件、收费标准、收费方式、业绩比较基准（如有）、业绩报酬计提基准（如有）等保留调整的权利，如发生调整，调整后的要素以产品管理人发布的公告中所载明的内容为准。产品管理人将提前</w:t>
      </w:r>
      <w:r>
        <w:rPr>
          <w:rFonts w:ascii="仿宋_GB2312" w:hAnsi="宋体" w:cs="宋体"/>
          <w:kern w:val="0"/>
          <w:szCs w:val="24"/>
        </w:rPr>
        <w:t>2</w:t>
      </w:r>
      <w:r>
        <w:rPr>
          <w:rFonts w:ascii="仿宋_GB2312" w:hAnsi="宋体" w:cs="宋体" w:hint="eastAsia"/>
          <w:kern w:val="0"/>
          <w:szCs w:val="24"/>
        </w:rPr>
        <w:t>个工作日发布公告。</w:t>
      </w:r>
    </w:p>
    <w:p w14:paraId="0433D86D" w14:textId="77777777" w:rsidR="00A2049A" w:rsidRDefault="0029186B">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2</w:t>
      </w:r>
      <w:r>
        <w:rPr>
          <w:rFonts w:ascii="仿宋_GB2312" w:hAnsi="宋体" w:cs="宋体"/>
          <w:kern w:val="0"/>
          <w:szCs w:val="24"/>
        </w:rPr>
        <w:t>）在发生产品管理人拒绝或暂停接受投资者认购申请、暂停理财产品估值等情形时，产品管理人将于</w:t>
      </w:r>
      <w:r>
        <w:rPr>
          <w:rFonts w:ascii="仿宋_GB2312" w:hAnsi="宋体" w:cs="宋体"/>
          <w:kern w:val="0"/>
          <w:szCs w:val="24"/>
        </w:rPr>
        <w:t>3</w:t>
      </w:r>
      <w:r>
        <w:rPr>
          <w:rFonts w:ascii="仿宋_GB2312" w:hAnsi="宋体" w:cs="宋体" w:hint="eastAsia"/>
          <w:kern w:val="0"/>
          <w:szCs w:val="24"/>
        </w:rPr>
        <w:t>个工作日内告知投资者，并说明运用相关措施的原因和拟采取的应对安排等。在发生涉及产品认购事项调整时，产品管理人应</w:t>
      </w:r>
      <w:r>
        <w:rPr>
          <w:rFonts w:ascii="仿宋_GB2312" w:hAnsi="宋体" w:cs="宋体"/>
          <w:kern w:val="0"/>
          <w:szCs w:val="24"/>
        </w:rPr>
        <w:t>提前</w:t>
      </w:r>
      <w:r>
        <w:rPr>
          <w:rFonts w:ascii="仿宋_GB2312" w:hAnsi="宋体" w:cs="宋体" w:hint="eastAsia"/>
          <w:kern w:val="0"/>
          <w:szCs w:val="24"/>
        </w:rPr>
        <w:t>2</w:t>
      </w:r>
      <w:r>
        <w:rPr>
          <w:rFonts w:ascii="仿宋_GB2312" w:hAnsi="宋体" w:cs="宋体" w:hint="eastAsia"/>
          <w:kern w:val="0"/>
          <w:szCs w:val="24"/>
        </w:rPr>
        <w:t>个</w:t>
      </w:r>
      <w:r>
        <w:rPr>
          <w:rFonts w:ascii="仿宋_GB2312" w:hAnsi="宋体" w:cs="宋体"/>
          <w:kern w:val="0"/>
          <w:szCs w:val="24"/>
        </w:rPr>
        <w:t>工作日</w:t>
      </w:r>
      <w:r>
        <w:rPr>
          <w:rFonts w:ascii="仿宋_GB2312" w:hAnsi="宋体" w:cs="宋体" w:hint="eastAsia"/>
          <w:kern w:val="0"/>
          <w:szCs w:val="24"/>
        </w:rPr>
        <w:t>发布临时公告。</w:t>
      </w:r>
    </w:p>
    <w:p w14:paraId="2F24BC92" w14:textId="77777777" w:rsidR="00A2049A" w:rsidRDefault="0029186B">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3</w:t>
      </w:r>
      <w:r>
        <w:rPr>
          <w:rFonts w:ascii="仿宋_GB2312" w:hAnsi="宋体" w:cs="宋体"/>
          <w:kern w:val="0"/>
          <w:szCs w:val="24"/>
        </w:rPr>
        <w:t>）理财产品清算期超过</w:t>
      </w:r>
      <w:r>
        <w:rPr>
          <w:rFonts w:ascii="仿宋_GB2312" w:hAnsi="宋体" w:cs="宋体"/>
          <w:kern w:val="0"/>
          <w:szCs w:val="24"/>
        </w:rPr>
        <w:t>5</w:t>
      </w:r>
      <w:r>
        <w:rPr>
          <w:rFonts w:ascii="仿宋_GB2312" w:hAnsi="宋体" w:cs="宋体" w:hint="eastAsia"/>
          <w:kern w:val="0"/>
          <w:szCs w:val="24"/>
        </w:rPr>
        <w:t>个工作日的，产品管理人应当在理财产品终止前</w:t>
      </w:r>
      <w:r>
        <w:rPr>
          <w:rFonts w:ascii="仿宋_GB2312" w:hAnsi="宋体" w:cs="宋体"/>
          <w:kern w:val="0"/>
          <w:szCs w:val="24"/>
        </w:rPr>
        <w:t>2</w:t>
      </w:r>
      <w:r>
        <w:rPr>
          <w:rFonts w:ascii="仿宋_GB2312" w:hAnsi="宋体" w:cs="宋体" w:hint="eastAsia"/>
          <w:kern w:val="0"/>
          <w:szCs w:val="24"/>
        </w:rPr>
        <w:t>个</w:t>
      </w:r>
      <w:r>
        <w:rPr>
          <w:rFonts w:ascii="仿宋_GB2312" w:hAnsi="宋体" w:cs="宋体"/>
          <w:kern w:val="0"/>
          <w:szCs w:val="24"/>
        </w:rPr>
        <w:t>工作日</w:t>
      </w:r>
      <w:r>
        <w:rPr>
          <w:rFonts w:ascii="仿宋_GB2312" w:hAnsi="宋体" w:cs="宋体" w:hint="eastAsia"/>
          <w:kern w:val="0"/>
          <w:szCs w:val="24"/>
        </w:rPr>
        <w:t>，根据与投资者约定的渠道向投资者进行信息披露。</w:t>
      </w:r>
    </w:p>
    <w:p w14:paraId="37B5D774" w14:textId="77777777" w:rsidR="00A2049A" w:rsidRDefault="0029186B">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w:t>
      </w:r>
      <w:r>
        <w:rPr>
          <w:rFonts w:ascii="仿宋_GB2312" w:hAnsi="宋体" w:cs="宋体" w:hint="eastAsia"/>
          <w:b/>
          <w:kern w:val="0"/>
          <w:szCs w:val="24"/>
        </w:rPr>
        <w:t>4</w:t>
      </w:r>
      <w:r>
        <w:rPr>
          <w:rFonts w:ascii="仿宋_GB2312" w:hAnsi="宋体" w:cs="宋体" w:hint="eastAsia"/>
          <w:b/>
          <w:kern w:val="0"/>
          <w:szCs w:val="24"/>
        </w:rPr>
        <w:t>）在本产品存续期内，如因国家法律法规、监管规定发生变化，或是出于维护本产品正常运营的需要，在不损害投资者权益的前提下，产品管理人有权对理财产品销售文件进行修订，并提前</w:t>
      </w:r>
      <w:r>
        <w:rPr>
          <w:rFonts w:ascii="仿宋_GB2312" w:hAnsi="宋体" w:cs="宋体" w:hint="eastAsia"/>
          <w:b/>
          <w:kern w:val="0"/>
          <w:szCs w:val="24"/>
        </w:rPr>
        <w:t>2</w:t>
      </w:r>
      <w:r>
        <w:rPr>
          <w:rFonts w:ascii="仿宋_GB2312" w:hAnsi="宋体" w:cs="宋体" w:hint="eastAsia"/>
          <w:b/>
          <w:kern w:val="0"/>
          <w:szCs w:val="24"/>
        </w:rPr>
        <w:t>个工作日进行公告。</w:t>
      </w:r>
    </w:p>
    <w:p w14:paraId="53019AF8" w14:textId="77777777" w:rsidR="00A2049A" w:rsidRDefault="0029186B">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5</w:t>
      </w:r>
      <w:r>
        <w:rPr>
          <w:rFonts w:ascii="仿宋_GB2312" w:hAnsi="宋体" w:cs="宋体"/>
          <w:kern w:val="0"/>
          <w:szCs w:val="24"/>
        </w:rPr>
        <w:t>）其他临时性公告</w:t>
      </w:r>
    </w:p>
    <w:p w14:paraId="0DE8E95D" w14:textId="77777777" w:rsidR="00A2049A" w:rsidRDefault="0029186B">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除前述事项外，如出现产品</w:t>
      </w:r>
      <w:r>
        <w:rPr>
          <w:rFonts w:ascii="仿宋_GB2312" w:hAnsi="宋体" w:cs="宋体"/>
          <w:kern w:val="0"/>
          <w:szCs w:val="24"/>
        </w:rPr>
        <w:t>二次清算</w:t>
      </w:r>
      <w:r>
        <w:rPr>
          <w:rFonts w:ascii="仿宋_GB2312" w:hAnsi="宋体" w:cs="宋体" w:hint="eastAsia"/>
          <w:kern w:val="0"/>
          <w:szCs w:val="24"/>
        </w:rPr>
        <w:t>等其他突发事件，需在事件发生后</w:t>
      </w:r>
      <w:r>
        <w:rPr>
          <w:rFonts w:ascii="仿宋_GB2312" w:hAnsi="宋体" w:cs="宋体" w:hint="eastAsia"/>
          <w:kern w:val="0"/>
          <w:szCs w:val="24"/>
        </w:rPr>
        <w:t>2</w:t>
      </w:r>
      <w:r>
        <w:rPr>
          <w:rFonts w:ascii="仿宋_GB2312" w:hAnsi="宋体" w:cs="宋体" w:hint="eastAsia"/>
          <w:kern w:val="0"/>
          <w:szCs w:val="24"/>
        </w:rPr>
        <w:t>个</w:t>
      </w:r>
      <w:r>
        <w:rPr>
          <w:rFonts w:ascii="仿宋_GB2312" w:hAnsi="宋体" w:cs="宋体"/>
          <w:kern w:val="0"/>
          <w:szCs w:val="24"/>
        </w:rPr>
        <w:t>工作日内</w:t>
      </w:r>
      <w:r>
        <w:rPr>
          <w:rFonts w:ascii="仿宋_GB2312" w:hAnsi="宋体" w:cs="宋体" w:hint="eastAsia"/>
          <w:kern w:val="0"/>
          <w:szCs w:val="24"/>
        </w:rPr>
        <w:t>及时进行披露。</w:t>
      </w:r>
    </w:p>
    <w:p w14:paraId="36FD968B" w14:textId="77777777" w:rsidR="00A2049A" w:rsidRDefault="0029186B">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在本产品存续期内，当产品管理人对理财产品进行相应调整（包括调整投资范围、投资资产种类、投资比例或收费项目、收费条件、收费标准、收费方式等）时，若构成对投资者利益产生实质性不利影响或涉及当事人权利义务的重大变更</w:t>
      </w:r>
      <w:r>
        <w:rPr>
          <w:rFonts w:ascii="仿宋_GB2312" w:hAnsi="宋体" w:cs="宋体" w:hint="eastAsia"/>
          <w:b/>
          <w:kern w:val="0"/>
          <w:szCs w:val="24"/>
        </w:rPr>
        <w:t>的，投资者有权不接受调整，在符合法律法规及监管政策的前</w:t>
      </w:r>
      <w:r>
        <w:rPr>
          <w:rFonts w:ascii="仿宋_GB2312" w:hAnsi="宋体" w:cs="宋体" w:hint="eastAsia"/>
          <w:b/>
          <w:kern w:val="0"/>
          <w:szCs w:val="24"/>
        </w:rPr>
        <w:lastRenderedPageBreak/>
        <w:t>提下，可由产品管理人决定投资者提前赎回的方式，并通过公告进行披露。若投资者未选择赎回本产品的，则视为已理解并接受产品管理人的相应调整。</w:t>
      </w:r>
    </w:p>
    <w:p w14:paraId="0625BFDF" w14:textId="77777777" w:rsidR="00A2049A" w:rsidRDefault="0029186B">
      <w:pPr>
        <w:widowControl/>
        <w:rPr>
          <w:rFonts w:ascii="仿宋_GB2312" w:hAnsi="宋体" w:cs="宋体"/>
          <w:b/>
          <w:kern w:val="0"/>
          <w:szCs w:val="24"/>
        </w:rPr>
      </w:pPr>
      <w:r>
        <w:rPr>
          <w:rFonts w:ascii="仿宋_GB2312" w:hAnsi="宋体" w:cs="宋体" w:hint="eastAsia"/>
          <w:b/>
          <w:kern w:val="0"/>
          <w:szCs w:val="24"/>
        </w:rPr>
        <w:br w:type="page"/>
      </w:r>
    </w:p>
    <w:p w14:paraId="457031BF" w14:textId="77777777" w:rsidR="00A2049A" w:rsidRDefault="0029186B">
      <w:pPr>
        <w:pStyle w:val="1"/>
      </w:pPr>
      <w:r>
        <w:rPr>
          <w:rFonts w:hint="eastAsia"/>
        </w:rPr>
        <w:lastRenderedPageBreak/>
        <w:t>特别提示</w:t>
      </w:r>
    </w:p>
    <w:p w14:paraId="370775B7" w14:textId="77777777" w:rsidR="00A2049A" w:rsidRDefault="0029186B">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若本理财产品所投资资产到期不能全部偿付导致资产减值甚至本金大幅损失，则浙银理财将以产品管理人名义，代表投资者利益行使诉讼权利或者实施其他法律行为。</w:t>
      </w:r>
    </w:p>
    <w:p w14:paraId="417FE86C" w14:textId="77777777" w:rsidR="00A2049A" w:rsidRDefault="0029186B">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产品管理人对投资者信息负有保密义务，不得无故向任何组织、个人提供或泄露与投资者有关的业务资料及信息。产品管理人向确有知悉必要的雇员提供投资者信息，或按照有关法律</w:t>
      </w:r>
      <w:r>
        <w:rPr>
          <w:rFonts w:ascii="仿宋_GB2312" w:hAnsi="宋体" w:cs="宋体" w:hint="eastAsia"/>
          <w:b/>
          <w:bCs/>
          <w:kern w:val="0"/>
          <w:szCs w:val="24"/>
        </w:rPr>
        <w:t>、法规、监管要求向司法机关、行政机关等有关政府部门、投资合作机构及第三方专业机构提供的，不视为对保密义务的违反。</w:t>
      </w:r>
    </w:p>
    <w:p w14:paraId="60AB446B" w14:textId="77777777" w:rsidR="00A2049A" w:rsidRDefault="0029186B">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产品管理人根据适用的法律法规和监管机构要求，向监管机构和</w:t>
      </w:r>
      <w:r>
        <w:rPr>
          <w:rFonts w:ascii="仿宋_GB2312" w:hAnsi="宋体" w:cs="宋体" w:hint="eastAsia"/>
          <w:b/>
          <w:bCs/>
          <w:kern w:val="0"/>
          <w:szCs w:val="24"/>
        </w:rPr>
        <w:t>/</w:t>
      </w:r>
      <w:r>
        <w:rPr>
          <w:rFonts w:ascii="仿宋_GB2312" w:hAnsi="宋体" w:cs="宋体" w:hint="eastAsia"/>
          <w:b/>
          <w:bCs/>
          <w:kern w:val="0"/>
          <w:szCs w:val="24"/>
        </w:rPr>
        <w:t>或其他有权机关（包括但不限于理财登记中心数据交换平台）报送投资者身份信息及投资者持有本产品份额及其变动情况等相关信息。产品管理人对向监管机构和</w:t>
      </w:r>
      <w:r>
        <w:rPr>
          <w:rFonts w:ascii="仿宋_GB2312" w:hAnsi="宋体" w:cs="宋体" w:hint="eastAsia"/>
          <w:b/>
          <w:bCs/>
          <w:kern w:val="0"/>
          <w:szCs w:val="24"/>
        </w:rPr>
        <w:t>/</w:t>
      </w:r>
      <w:r>
        <w:rPr>
          <w:rFonts w:ascii="仿宋_GB2312" w:hAnsi="宋体" w:cs="宋体" w:hint="eastAsia"/>
          <w:b/>
          <w:bCs/>
          <w:kern w:val="0"/>
          <w:szCs w:val="24"/>
        </w:rPr>
        <w:t>或监管机构指定机构报送的相关信息负有保密义务</w:t>
      </w:r>
      <w:r>
        <w:rPr>
          <w:rFonts w:ascii="仿宋_GB2312" w:hAnsi="宋体" w:cs="宋体" w:hint="eastAsia"/>
          <w:b/>
          <w:bCs/>
          <w:kern w:val="0"/>
          <w:szCs w:val="24"/>
        </w:rPr>
        <w:t>,</w:t>
      </w:r>
      <w:r>
        <w:rPr>
          <w:rFonts w:ascii="仿宋_GB2312" w:hAnsi="宋体" w:cs="宋体" w:hint="eastAsia"/>
          <w:b/>
          <w:bCs/>
          <w:kern w:val="0"/>
          <w:szCs w:val="24"/>
        </w:rPr>
        <w:t>并在报送信息过程中</w:t>
      </w:r>
      <w:r>
        <w:rPr>
          <w:rFonts w:ascii="仿宋_GB2312" w:hAnsi="宋体" w:cs="宋体" w:hint="eastAsia"/>
          <w:b/>
          <w:bCs/>
          <w:kern w:val="0"/>
          <w:szCs w:val="24"/>
        </w:rPr>
        <w:t>,</w:t>
      </w:r>
      <w:r>
        <w:rPr>
          <w:rFonts w:ascii="仿宋_GB2312" w:hAnsi="宋体" w:cs="宋体" w:hint="eastAsia"/>
          <w:b/>
          <w:bCs/>
          <w:kern w:val="0"/>
          <w:szCs w:val="24"/>
        </w:rPr>
        <w:t>采取有效措施确保信息安全与保密。</w:t>
      </w:r>
    </w:p>
    <w:p w14:paraId="5DDE72C1" w14:textId="77777777" w:rsidR="00A2049A" w:rsidRDefault="0029186B">
      <w:pPr>
        <w:widowControl/>
        <w:tabs>
          <w:tab w:val="left" w:pos="709"/>
        </w:tabs>
        <w:snapToGrid w:val="0"/>
        <w:spacing w:line="360" w:lineRule="auto"/>
        <w:ind w:firstLineChars="200" w:firstLine="480"/>
        <w:rPr>
          <w:rFonts w:ascii="仿宋_GB2312" w:hAnsi="宋体" w:cs="宋体"/>
          <w:b/>
          <w:bCs/>
          <w:kern w:val="0"/>
          <w:szCs w:val="24"/>
        </w:rPr>
      </w:pPr>
      <w:r>
        <w:rPr>
          <w:rFonts w:hint="eastAsia"/>
        </w:rPr>
        <w:t>本产品的转让将依照理财产品销售文件及销售机构的业务政策执行。</w:t>
      </w:r>
    </w:p>
    <w:p w14:paraId="008D3E7D" w14:textId="77777777" w:rsidR="00A2049A" w:rsidRDefault="0029186B">
      <w:pPr>
        <w:tabs>
          <w:tab w:val="left" w:pos="709"/>
        </w:tabs>
        <w:snapToGrid w:val="0"/>
        <w:spacing w:line="360" w:lineRule="auto"/>
        <w:ind w:firstLineChars="200" w:firstLine="480"/>
      </w:pPr>
      <w:r>
        <w:rPr>
          <w:rFonts w:ascii="仿宋_GB2312" w:hAnsi="宋体" w:cs="宋体" w:hint="eastAsia"/>
          <w:bCs/>
          <w:kern w:val="0"/>
          <w:szCs w:val="24"/>
        </w:rPr>
        <w:t>投资者对本理财产品有任何意见或异议，</w:t>
      </w:r>
      <w:r>
        <w:rPr>
          <w:rFonts w:ascii="仿宋_GB2312" w:hAnsiTheme="minorEastAsia" w:cs="宋体" w:hint="eastAsia"/>
          <w:bCs/>
          <w:kern w:val="0"/>
          <w:szCs w:val="32"/>
        </w:rPr>
        <w:t>敬请联系您的销售服务机构，具体联系方式以《产品说明书》等销售文件的披露为准；或反馈至浙银理财服务电话：</w:t>
      </w:r>
      <w:r>
        <w:rPr>
          <w:rFonts w:ascii="仿宋_GB2312" w:hAnsiTheme="minorEastAsia" w:cs="宋体" w:hint="eastAsia"/>
          <w:bCs/>
          <w:kern w:val="0"/>
          <w:szCs w:val="32"/>
        </w:rPr>
        <w:t>0571-57192881</w:t>
      </w:r>
      <w:r>
        <w:rPr>
          <w:rFonts w:ascii="仿宋_GB2312" w:hAnsiTheme="minorEastAsia" w:cs="宋体" w:hint="eastAsia"/>
          <w:bCs/>
          <w:kern w:val="0"/>
          <w:szCs w:val="32"/>
        </w:rPr>
        <w:t>。</w:t>
      </w:r>
    </w:p>
    <w:p w14:paraId="5C3192FC" w14:textId="77777777" w:rsidR="00A2049A" w:rsidRDefault="00A2049A">
      <w:pPr>
        <w:widowControl/>
        <w:tabs>
          <w:tab w:val="left" w:pos="709"/>
        </w:tabs>
        <w:snapToGrid w:val="0"/>
        <w:spacing w:line="360" w:lineRule="auto"/>
        <w:rPr>
          <w:rFonts w:ascii="仿宋_GB2312" w:hAnsi="宋体" w:cs="宋体"/>
          <w:bCs/>
          <w:kern w:val="0"/>
          <w:szCs w:val="24"/>
        </w:rPr>
      </w:pPr>
    </w:p>
    <w:p w14:paraId="7BC5CA01" w14:textId="77777777" w:rsidR="00A2049A" w:rsidRDefault="00A2049A">
      <w:pPr>
        <w:widowControl/>
        <w:jc w:val="left"/>
        <w:rPr>
          <w:szCs w:val="24"/>
        </w:rPr>
      </w:pPr>
    </w:p>
    <w:sectPr w:rsidR="00A2049A">
      <w:headerReference w:type="default" r:id="rId8"/>
      <w:footerReference w:type="default" r:id="rId9"/>
      <w:pgSz w:w="11906" w:h="16838"/>
      <w:pgMar w:top="720" w:right="720" w:bottom="720" w:left="720" w:header="680"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42FFE" w14:textId="77777777" w:rsidR="0029186B" w:rsidRDefault="0029186B">
      <w:r>
        <w:separator/>
      </w:r>
    </w:p>
  </w:endnote>
  <w:endnote w:type="continuationSeparator" w:id="0">
    <w:p w14:paraId="2DA46C3E" w14:textId="77777777" w:rsidR="0029186B" w:rsidRDefault="0029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altName w:val="微软雅黑"/>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altName w:val="Malgun Gothic Semilight"/>
    <w:charset w:val="86"/>
    <w:family w:val="auto"/>
    <w:pitch w:val="default"/>
    <w:sig w:usb0="00000000" w:usb1="184F6CFA" w:usb2="00000012" w:usb3="00000000" w:csb0="00040001" w:csb1="00000000"/>
  </w:font>
  <w:font w:name="Wingdings 2">
    <w:panose1 w:val="05020102010507070707"/>
    <w:charset w:val="02"/>
    <w:family w:val="roman"/>
    <w:pitch w:val="variable"/>
    <w:sig w:usb0="00000000" w:usb1="10000000" w:usb2="00000000" w:usb3="00000000" w:csb0="80000000" w:csb1="00000000"/>
  </w:font>
  <w:font w:name="东文宋体">
    <w:altName w:val="宋体"/>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C1066" w14:textId="62561CEF" w:rsidR="00A2049A" w:rsidRDefault="0029186B">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065B9">
      <w:rPr>
        <w:b/>
        <w:bCs/>
        <w:noProof/>
      </w:rPr>
      <w:t>13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065B9">
      <w:rPr>
        <w:b/>
        <w:bCs/>
        <w:noProof/>
      </w:rPr>
      <w:t>43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840D3" w14:textId="77777777" w:rsidR="0029186B" w:rsidRDefault="0029186B">
      <w:r>
        <w:separator/>
      </w:r>
    </w:p>
  </w:footnote>
  <w:footnote w:type="continuationSeparator" w:id="0">
    <w:p w14:paraId="1A07B717" w14:textId="77777777" w:rsidR="0029186B" w:rsidRDefault="002918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76B2B" w14:textId="77777777" w:rsidR="00A2049A" w:rsidRDefault="0029186B">
    <w:pPr>
      <w:pStyle w:val="a8"/>
      <w:spacing w:line="276" w:lineRule="auto"/>
      <w:jc w:val="left"/>
      <w:rPr>
        <w:rFonts w:ascii="宋体" w:eastAsia="宋体" w:hAnsi="宋体"/>
        <w:b/>
        <w:sz w:val="24"/>
        <w:szCs w:val="21"/>
      </w:rPr>
    </w:pPr>
    <w:r>
      <w:rPr>
        <w:rFonts w:ascii="宋体" w:eastAsia="宋体" w:hAnsi="宋体" w:hint="eastAsia"/>
        <w:b/>
        <w:sz w:val="24"/>
        <w:szCs w:val="21"/>
      </w:rPr>
      <w:t>理财非存款</w:t>
    </w:r>
    <w:r>
      <w:rPr>
        <w:rFonts w:ascii="宋体" w:eastAsia="宋体" w:hAnsi="宋体"/>
        <w:b/>
        <w:sz w:val="24"/>
        <w:szCs w:val="21"/>
      </w:rPr>
      <w:t xml:space="preserve"> </w:t>
    </w:r>
    <w:r>
      <w:rPr>
        <w:rFonts w:ascii="宋体" w:eastAsia="宋体" w:hAnsi="宋体" w:hint="eastAsia"/>
        <w:b/>
        <w:sz w:val="24"/>
        <w:szCs w:val="21"/>
      </w:rPr>
      <w:t>产品有风险</w:t>
    </w:r>
    <w:r>
      <w:rPr>
        <w:rFonts w:ascii="宋体" w:eastAsia="宋体" w:hAnsi="宋体"/>
        <w:b/>
        <w:sz w:val="24"/>
        <w:szCs w:val="21"/>
      </w:rPr>
      <w:t xml:space="preserve"> </w:t>
    </w:r>
    <w:r>
      <w:rPr>
        <w:rFonts w:ascii="宋体" w:eastAsia="宋体" w:hAnsi="宋体" w:hint="eastAsia"/>
        <w:b/>
        <w:sz w:val="24"/>
        <w:szCs w:val="21"/>
      </w:rPr>
      <w:t>投资须谨慎</w:t>
    </w:r>
    <w:r>
      <w:rPr>
        <w:rFonts w:ascii="宋体" w:eastAsia="宋体" w:hAnsi="宋体"/>
        <w:b/>
        <w:sz w:val="24"/>
        <w:szCs w:val="21"/>
      </w:rPr>
      <w:t xml:space="preserve"> </w:t>
    </w:r>
    <w:r>
      <w:rPr>
        <w:b/>
        <w:sz w:val="24"/>
        <w:szCs w:val="21"/>
      </w:rPr>
      <w:t xml:space="preserve"> </w:t>
    </w:r>
    <w:r>
      <w:rPr>
        <w:rFonts w:hint="eastAsia"/>
        <w:b/>
        <w:sz w:val="21"/>
        <w:szCs w:val="21"/>
      </w:rPr>
      <w:t xml:space="preserve">                    </w:t>
    </w:r>
    <w:r>
      <w:rPr>
        <w:b/>
        <w:sz w:val="21"/>
        <w:szCs w:val="21"/>
      </w:rPr>
      <w:t xml:space="preserve">         </w:t>
    </w:r>
    <w:r>
      <w:rPr>
        <w:rFonts w:hint="eastAsia"/>
        <w:b/>
        <w:sz w:val="21"/>
        <w:szCs w:val="21"/>
      </w:rPr>
      <w:t xml:space="preserve"> </w:t>
    </w:r>
    <w:r>
      <w:rPr>
        <w:b/>
        <w:sz w:val="21"/>
        <w:szCs w:val="21"/>
      </w:rPr>
      <w:t xml:space="preserve">                    </w:t>
    </w:r>
    <w:r>
      <w:rPr>
        <w:rFonts w:ascii="宋体" w:eastAsia="宋体" w:hAnsi="宋体" w:hint="eastAsia"/>
        <w:b/>
        <w:sz w:val="24"/>
        <w:szCs w:val="21"/>
      </w:rPr>
      <w:t>浙银理财</w:t>
    </w:r>
    <w:r>
      <w:pict w14:anchorId="60F1DEF0">
        <v:shapetype id="_x0000_t202" coordsize="21600,21600" o:spt="202" path="m,l,21600r21600,l21600,xe">
          <v:stroke joinstyle="miter"/>
          <v:path gradientshapeok="t" o:connecttype="rect"/>
        </v:shapetype>
        <v:shape id="ImpTraceLabel01f24a5666b437d1193b837c63dcab0d@" o:spid="_x0000_s3073" type="#_x0000_t202" style="position:absolute;margin-left:0;margin-top:0;width:0;height:0;z-index:251659264;mso-position-horizontal-relative:page;mso-position-vertical-relative:page;mso-width-relative:page;mso-height-relative:page" filled="f" stroked="f">
          <v:textbox>
            <w:txbxContent>
              <w:p w14:paraId="040F8DEE" w14:textId="77777777" w:rsidR="00A2049A" w:rsidRDefault="0029186B">
                <w:r>
                  <w:t>ImpTraceLabel01f24a5666b437d1193b837c63dcab0d@=dGltZT0xNzc2ODI3ODg4MDAwfHdhdGVyTWFya0luZm895L+d5a+GfGZpbGVOYW1lPea1memTtueQhui0oueQrueugOWvjOaYpTE0NuWPt+eQhui0ouS6p+WTgeivtOaYjuS5pjIwMjYwMeeJiC5kb2N4fElQPTEwLjExLjMyLjIzMXxNQUM9MDQ6RDQ6QzQ6NTU6MDc6MTV8Y29tc</w:t>
                </w:r>
                <w:r>
                  <w:t>HV0ZXJOYW1lPeWRmOW3peW3peWPt3xjb21wYW55Pea1meWVhumTtuihjOiCoeS7veaciemZkOWFrOWPuHxkZXA95biC5Zy66JCl6ZSA6YOo77yI5Lqn5ZOB56CU5Y+R6YOo77yJfHVuaXF1ZUNvZGU9MTEzMDM0fHVzZXJOYW1lPemZiOeCnOadsA==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DE153C"/>
    <w:multiLevelType w:val="singleLevel"/>
    <w:tmpl w:val="F7DE153C"/>
    <w:lvl w:ilvl="0">
      <w:start w:val="1"/>
      <w:numFmt w:val="decimal"/>
      <w:suff w:val="nothing"/>
      <w:lvlText w:val="（%1）"/>
      <w:lvlJc w:val="left"/>
    </w:lvl>
  </w:abstractNum>
  <w:abstractNum w:abstractNumId="1" w15:restartNumberingAfterBreak="0">
    <w:nsid w:val="2ECF739A"/>
    <w:multiLevelType w:val="singleLevel"/>
    <w:tmpl w:val="2ECF739A"/>
    <w:lvl w:ilvl="0">
      <w:start w:val="1"/>
      <w:numFmt w:val="decimal"/>
      <w:lvlText w:val="%1."/>
      <w:lvlJc w:val="left"/>
      <w:pPr>
        <w:tabs>
          <w:tab w:val="left" w:pos="312"/>
        </w:tabs>
      </w:pPr>
    </w:lvl>
  </w:abstractNum>
  <w:abstractNum w:abstractNumId="2" w15:restartNumberingAfterBreak="0">
    <w:nsid w:val="7477F87A"/>
    <w:multiLevelType w:val="multilevel"/>
    <w:tmpl w:val="7477F87A"/>
    <w:lvl w:ilvl="0">
      <w:start w:val="1"/>
      <w:numFmt w:val="chineseCounting"/>
      <w:pStyle w:val="1"/>
      <w:suff w:val="nothing"/>
      <w:lvlText w:val="第%1节 "/>
      <w:lvlJc w:val="left"/>
      <w:pPr>
        <w:tabs>
          <w:tab w:val="left" w:pos="0"/>
        </w:tabs>
        <w:ind w:left="0" w:firstLine="0"/>
      </w:pPr>
      <w:rPr>
        <w:rFonts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chineseCounting"/>
      <w:pStyle w:val="2"/>
      <w:suff w:val="nothing"/>
      <w:lvlText w:val="（%2）"/>
      <w:lvlJc w:val="left"/>
      <w:pPr>
        <w:tabs>
          <w:tab w:val="left" w:pos="0"/>
        </w:tabs>
        <w:ind w:left="0" w:firstLine="0"/>
      </w:pPr>
      <w:rPr>
        <w:rFonts w:ascii="宋体" w:eastAsia="仿宋_GB2312" w:hAnsi="宋体" w:cs="宋体" w:hint="eastAsia"/>
        <w:b/>
        <w:bCs/>
        <w:sz w:val="24"/>
      </w:rPr>
    </w:lvl>
    <w:lvl w:ilvl="2">
      <w:start w:val="1"/>
      <w:numFmt w:val="decimal"/>
      <w:pStyle w:val="3"/>
      <w:suff w:val="nothing"/>
      <w:lvlText w:val="%3．"/>
      <w:lvlJc w:val="left"/>
      <w:pPr>
        <w:ind w:left="0" w:firstLine="400"/>
      </w:pPr>
      <w:rPr>
        <w:rFonts w:ascii="宋体" w:eastAsia="宋体" w:hAnsi="宋体" w:cs="宋体" w:hint="eastAsia"/>
      </w:rPr>
    </w:lvl>
    <w:lvl w:ilvl="3">
      <w:start w:val="1"/>
      <w:numFmt w:val="decimal"/>
      <w:pStyle w:val="4"/>
      <w:suff w:val="nothing"/>
      <w:lvlText w:val="（%4）"/>
      <w:lvlJc w:val="left"/>
      <w:pPr>
        <w:ind w:left="0" w:firstLine="402"/>
      </w:pPr>
      <w:rPr>
        <w:rFonts w:hint="eastAsia"/>
      </w:rPr>
    </w:lvl>
    <w:lvl w:ilvl="4">
      <w:start w:val="1"/>
      <w:numFmt w:val="decimalEnclosedCircleChinese"/>
      <w:pStyle w:val="5"/>
      <w:suff w:val="nothing"/>
      <w:lvlText w:val="%5"/>
      <w:lvlJc w:val="left"/>
      <w:pPr>
        <w:ind w:left="0" w:firstLine="402"/>
      </w:pPr>
      <w:rPr>
        <w:rFonts w:hint="eastAsia"/>
      </w:rPr>
    </w:lvl>
    <w:lvl w:ilvl="5">
      <w:start w:val="1"/>
      <w:numFmt w:val="decimal"/>
      <w:pStyle w:val="6"/>
      <w:suff w:val="nothing"/>
      <w:lvlText w:val="%6）"/>
      <w:lvlJc w:val="left"/>
      <w:pPr>
        <w:ind w:left="0" w:firstLine="402"/>
      </w:pPr>
      <w:rPr>
        <w:rFonts w:hint="eastAsia"/>
      </w:rPr>
    </w:lvl>
    <w:lvl w:ilvl="6">
      <w:start w:val="1"/>
      <w:numFmt w:val="lowerLetter"/>
      <w:pStyle w:val="7"/>
      <w:suff w:val="nothing"/>
      <w:lvlText w:val="%7．"/>
      <w:lvlJc w:val="left"/>
      <w:pPr>
        <w:ind w:left="0" w:firstLine="402"/>
      </w:pPr>
      <w:rPr>
        <w:rFonts w:hint="eastAsia"/>
      </w:rPr>
    </w:lvl>
    <w:lvl w:ilvl="7">
      <w:start w:val="1"/>
      <w:numFmt w:val="lowerLetter"/>
      <w:pStyle w:val="8"/>
      <w:suff w:val="nothing"/>
      <w:lvlText w:val="%8）"/>
      <w:lvlJc w:val="left"/>
      <w:pPr>
        <w:ind w:left="0" w:firstLine="402"/>
      </w:pPr>
      <w:rPr>
        <w:rFonts w:hint="eastAsia"/>
      </w:rPr>
    </w:lvl>
    <w:lvl w:ilvl="8">
      <w:start w:val="1"/>
      <w:numFmt w:val="lowerRoman"/>
      <w:pStyle w:val="9"/>
      <w:suff w:val="nothing"/>
      <w:lvlText w:val="%9 "/>
      <w:lvlJc w:val="left"/>
      <w:pPr>
        <w:ind w:left="0" w:firstLine="402"/>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420"/>
  <w:drawingGridHorizontalSpacing w:val="120"/>
  <w:drawingGridVerticalSpacing w:val="163"/>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jM3ZmJlMjNhM2Y5MDE0ZTRlMTUxZThiNDdmNTYifQ=="/>
    <w:docVar w:name="KSO_WPS_MARK_KEY" w:val="2176d3be-20b8-4d3b-b4e7-551bb84ae047"/>
  </w:docVars>
  <w:rsids>
    <w:rsidRoot w:val="00A2049A"/>
    <w:rsid w:val="0029186B"/>
    <w:rsid w:val="00A2049A"/>
    <w:rsid w:val="00B065B9"/>
    <w:rsid w:val="01CB17A6"/>
    <w:rsid w:val="021E2574"/>
    <w:rsid w:val="0CD70ECA"/>
    <w:rsid w:val="0F657BAC"/>
    <w:rsid w:val="11FF1C57"/>
    <w:rsid w:val="125E16D0"/>
    <w:rsid w:val="16366A4F"/>
    <w:rsid w:val="22AC5D6B"/>
    <w:rsid w:val="267B437C"/>
    <w:rsid w:val="2E580FD2"/>
    <w:rsid w:val="2FAB0DC6"/>
    <w:rsid w:val="335F747F"/>
    <w:rsid w:val="3C54164A"/>
    <w:rsid w:val="3CCA713B"/>
    <w:rsid w:val="508A6C80"/>
    <w:rsid w:val="50BE0F8D"/>
    <w:rsid w:val="542570C1"/>
    <w:rsid w:val="581956DD"/>
    <w:rsid w:val="5F1B7BA2"/>
    <w:rsid w:val="60C92C54"/>
    <w:rsid w:val="61F30CC9"/>
    <w:rsid w:val="62D94D3A"/>
    <w:rsid w:val="63B906F3"/>
    <w:rsid w:val="660C5642"/>
    <w:rsid w:val="677455BD"/>
    <w:rsid w:val="67EF6EBD"/>
    <w:rsid w:val="6882073D"/>
    <w:rsid w:val="6A8566AA"/>
    <w:rsid w:val="6EA42D83"/>
    <w:rsid w:val="772B760F"/>
    <w:rsid w:val="77790F65"/>
    <w:rsid w:val="789769C2"/>
    <w:rsid w:val="78F0710B"/>
    <w:rsid w:val="795B4880"/>
    <w:rsid w:val="7BC902AA"/>
    <w:rsid w:val="7D9C465A"/>
    <w:rsid w:val="7E961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C874E05"/>
  <w15:docId w15:val="{033C644C-2CD5-4F9A-9F98-6F0E70F46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仿宋_GB2312" w:hAnsi="Calibri"/>
      <w:kern w:val="2"/>
      <w:sz w:val="24"/>
      <w:szCs w:val="22"/>
    </w:rPr>
  </w:style>
  <w:style w:type="paragraph" w:styleId="1">
    <w:name w:val="heading 1"/>
    <w:basedOn w:val="a"/>
    <w:next w:val="a"/>
    <w:link w:val="10"/>
    <w:qFormat/>
    <w:pPr>
      <w:keepNext/>
      <w:keepLines/>
      <w:numPr>
        <w:numId w:val="1"/>
      </w:numPr>
      <w:spacing w:line="360" w:lineRule="auto"/>
      <w:jc w:val="center"/>
      <w:outlineLvl w:val="0"/>
    </w:pPr>
    <w:rPr>
      <w:rFonts w:eastAsia="黑体"/>
      <w:kern w:val="44"/>
      <w:sz w:val="28"/>
    </w:rPr>
  </w:style>
  <w:style w:type="paragraph" w:styleId="2">
    <w:name w:val="heading 2"/>
    <w:basedOn w:val="a"/>
    <w:next w:val="a"/>
    <w:link w:val="20"/>
    <w:unhideWhenUsed/>
    <w:qFormat/>
    <w:pPr>
      <w:keepNext/>
      <w:keepLines/>
      <w:numPr>
        <w:ilvl w:val="1"/>
        <w:numId w:val="1"/>
      </w:numPr>
      <w:tabs>
        <w:tab w:val="left" w:pos="709"/>
        <w:tab w:val="left" w:pos="1134"/>
      </w:tabs>
      <w:spacing w:line="360" w:lineRule="auto"/>
      <w:jc w:val="left"/>
      <w:outlineLvl w:val="1"/>
    </w:pPr>
    <w:rPr>
      <w:rFonts w:ascii="Arial" w:hAnsi="Arial"/>
      <w:b/>
    </w:rPr>
  </w:style>
  <w:style w:type="paragraph" w:styleId="3">
    <w:name w:val="heading 3"/>
    <w:basedOn w:val="a"/>
    <w:next w:val="a"/>
    <w:link w:val="30"/>
    <w:unhideWhenUsed/>
    <w:qFormat/>
    <w:pPr>
      <w:keepNext/>
      <w:keepLines/>
      <w:numPr>
        <w:ilvl w:val="2"/>
        <w:numId w:val="1"/>
      </w:numPr>
      <w:spacing w:before="260" w:after="260" w:line="413" w:lineRule="auto"/>
      <w:outlineLvl w:val="2"/>
    </w:pPr>
    <w:rPr>
      <w:b/>
      <w:sz w:val="32"/>
    </w:rPr>
  </w:style>
  <w:style w:type="paragraph" w:styleId="4">
    <w:name w:val="heading 4"/>
    <w:basedOn w:val="a"/>
    <w:next w:val="a"/>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nhideWhenUsed/>
    <w:qFormat/>
    <w:pPr>
      <w:keepNext/>
      <w:keepLines/>
      <w:numPr>
        <w:ilvl w:val="4"/>
        <w:numId w:val="1"/>
      </w:numPr>
      <w:spacing w:before="280" w:after="290" w:line="372" w:lineRule="auto"/>
      <w:outlineLvl w:val="4"/>
    </w:pPr>
    <w:rPr>
      <w:b/>
      <w:sz w:val="28"/>
    </w:rPr>
  </w:style>
  <w:style w:type="paragraph" w:styleId="6">
    <w:name w:val="heading 6"/>
    <w:basedOn w:val="a"/>
    <w:next w:val="a"/>
    <w:unhideWhenUsed/>
    <w:qFormat/>
    <w:pPr>
      <w:keepNext/>
      <w:keepLines/>
      <w:numPr>
        <w:ilvl w:val="5"/>
        <w:numId w:val="1"/>
      </w:numPr>
      <w:spacing w:before="240" w:after="64" w:line="317" w:lineRule="auto"/>
      <w:outlineLvl w:val="5"/>
    </w:pPr>
    <w:rPr>
      <w:rFonts w:ascii="Arial" w:eastAsia="黑体" w:hAnsi="Arial"/>
      <w:b/>
    </w:rPr>
  </w:style>
  <w:style w:type="paragraph" w:styleId="7">
    <w:name w:val="heading 7"/>
    <w:basedOn w:val="a"/>
    <w:next w:val="a"/>
    <w:unhideWhenUsed/>
    <w:qFormat/>
    <w:pPr>
      <w:keepNext/>
      <w:keepLines/>
      <w:numPr>
        <w:ilvl w:val="6"/>
        <w:numId w:val="1"/>
      </w:numPr>
      <w:spacing w:before="240" w:after="64" w:line="317" w:lineRule="auto"/>
      <w:outlineLvl w:val="6"/>
    </w:pPr>
    <w:rPr>
      <w:b/>
    </w:rPr>
  </w:style>
  <w:style w:type="paragraph" w:styleId="8">
    <w:name w:val="heading 8"/>
    <w:basedOn w:val="a"/>
    <w:next w:val="a"/>
    <w:unhideWhenUsed/>
    <w:qFormat/>
    <w:pPr>
      <w:keepNext/>
      <w:keepLines/>
      <w:numPr>
        <w:ilvl w:val="7"/>
        <w:numId w:val="1"/>
      </w:numPr>
      <w:spacing w:before="240" w:after="64" w:line="317" w:lineRule="auto"/>
      <w:outlineLvl w:val="7"/>
    </w:pPr>
    <w:rPr>
      <w:rFonts w:ascii="Arial" w:eastAsia="黑体" w:hAnsi="Arial"/>
    </w:rPr>
  </w:style>
  <w:style w:type="paragraph" w:styleId="9">
    <w:name w:val="heading 9"/>
    <w:basedOn w:val="a"/>
    <w:next w:val="a"/>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rPr>
      <w:rFonts w:eastAsia="宋体"/>
    </w:rPr>
  </w:style>
  <w:style w:type="paragraph" w:styleId="a5">
    <w:name w:val="Balloon Text"/>
    <w:basedOn w:val="a"/>
    <w:link w:val="a6"/>
    <w:unhideWhenUsed/>
    <w:qFormat/>
    <w:rPr>
      <w:sz w:val="18"/>
      <w:szCs w:val="18"/>
    </w:rPr>
  </w:style>
  <w:style w:type="paragraph" w:styleId="a7">
    <w:name w:val="footer"/>
    <w:basedOn w:val="a"/>
    <w:qFormat/>
    <w:pPr>
      <w:tabs>
        <w:tab w:val="center" w:pos="4153"/>
        <w:tab w:val="right" w:pos="8306"/>
      </w:tabs>
      <w:snapToGrid w:val="0"/>
      <w:jc w:val="left"/>
    </w:pPr>
    <w:rPr>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ab"/>
    <w:unhideWhenUsed/>
    <w:qFormat/>
    <w:rPr>
      <w:b/>
      <w:bCs/>
    </w:rPr>
  </w:style>
  <w:style w:type="table" w:styleId="ac">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Pr>
      <w:color w:val="0000FF"/>
      <w:u w:val="single"/>
    </w:rPr>
  </w:style>
  <w:style w:type="character" w:styleId="ae">
    <w:name w:val="annotation reference"/>
    <w:basedOn w:val="a0"/>
    <w:qFormat/>
    <w:rPr>
      <w:sz w:val="21"/>
      <w:szCs w:val="21"/>
    </w:rPr>
  </w:style>
  <w:style w:type="character" w:customStyle="1" w:styleId="10">
    <w:name w:val="标题 1 字符"/>
    <w:link w:val="1"/>
    <w:qFormat/>
    <w:rPr>
      <w:rFonts w:ascii="Calibri" w:eastAsia="黑体" w:hAnsi="Calibri"/>
      <w:kern w:val="44"/>
      <w:sz w:val="28"/>
    </w:rPr>
  </w:style>
  <w:style w:type="character" w:customStyle="1" w:styleId="20">
    <w:name w:val="标题 2 字符"/>
    <w:link w:val="2"/>
    <w:qFormat/>
    <w:rPr>
      <w:rFonts w:ascii="Arial" w:eastAsia="仿宋_GB2312" w:hAnsi="Arial"/>
      <w:b/>
    </w:rPr>
  </w:style>
  <w:style w:type="character" w:customStyle="1" w:styleId="30">
    <w:name w:val="标题 3 字符"/>
    <w:link w:val="3"/>
    <w:qFormat/>
    <w:rPr>
      <w:b/>
      <w:sz w:val="32"/>
    </w:rPr>
  </w:style>
  <w:style w:type="character" w:customStyle="1" w:styleId="a4">
    <w:name w:val="批注文字 字符"/>
    <w:basedOn w:val="a0"/>
    <w:link w:val="a3"/>
    <w:uiPriority w:val="99"/>
    <w:qFormat/>
    <w:rPr>
      <w:rFonts w:ascii="Calibri" w:eastAsia="宋体" w:hAnsi="Calibri" w:cs="Times New Roman"/>
      <w:kern w:val="2"/>
      <w:sz w:val="21"/>
      <w:szCs w:val="22"/>
    </w:rPr>
  </w:style>
  <w:style w:type="character" w:customStyle="1" w:styleId="a6">
    <w:name w:val="批注框文本 字符"/>
    <w:basedOn w:val="a0"/>
    <w:link w:val="a5"/>
    <w:semiHidden/>
    <w:qFormat/>
    <w:rPr>
      <w:kern w:val="2"/>
      <w:sz w:val="18"/>
      <w:szCs w:val="18"/>
    </w:rPr>
  </w:style>
  <w:style w:type="character" w:customStyle="1" w:styleId="a9">
    <w:name w:val="页眉 字符"/>
    <w:basedOn w:val="a0"/>
    <w:link w:val="a8"/>
    <w:qFormat/>
    <w:rPr>
      <w:kern w:val="2"/>
      <w:sz w:val="18"/>
      <w:szCs w:val="18"/>
    </w:rPr>
  </w:style>
  <w:style w:type="character" w:customStyle="1" w:styleId="ab">
    <w:name w:val="批注主题 字符"/>
    <w:basedOn w:val="a4"/>
    <w:link w:val="aa"/>
    <w:semiHidden/>
    <w:qFormat/>
    <w:rPr>
      <w:rFonts w:ascii="Calibri" w:eastAsia="宋体" w:hAnsi="Calibri" w:cs="Times New Roman"/>
      <w:b/>
      <w:bCs/>
      <w:kern w:val="2"/>
      <w:sz w:val="21"/>
      <w:szCs w:val="22"/>
    </w:rPr>
  </w:style>
  <w:style w:type="paragraph" w:styleId="af">
    <w:name w:val="List Paragraph"/>
    <w:basedOn w:val="a"/>
    <w:uiPriority w:val="99"/>
    <w:unhideWhenUsed/>
    <w:qFormat/>
    <w:pPr>
      <w:ind w:firstLineChars="200" w:firstLine="420"/>
    </w:pPr>
  </w:style>
  <w:style w:type="character" w:customStyle="1" w:styleId="fontstyle01">
    <w:name w:val="fontstyle01"/>
    <w:basedOn w:val="a0"/>
    <w:qFormat/>
    <w:rPr>
      <w:rFonts w:ascii="黑体" w:eastAsia="黑体" w:hAnsi="黑体" w:hint="eastAsia"/>
      <w:color w:val="000000"/>
      <w:sz w:val="18"/>
      <w:szCs w:val="18"/>
    </w:rPr>
  </w:style>
  <w:style w:type="paragraph" w:customStyle="1" w:styleId="11">
    <w:name w:val="修订1"/>
    <w:uiPriority w:val="99"/>
    <w:semiHidden/>
    <w:qFormat/>
    <w:rPr>
      <w:rFonts w:ascii="Calibri" w:hAnsi="Calibri"/>
      <w:kern w:val="2"/>
      <w:sz w:val="21"/>
      <w:szCs w:val="22"/>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21">
    <w:name w:val="修订2"/>
    <w:uiPriority w:val="99"/>
    <w:semiHidden/>
    <w:qFormat/>
    <w:rPr>
      <w:rFonts w:ascii="Calibri" w:eastAsia="仿宋_GB2312" w:hAnsi="Calibri"/>
      <w:kern w:val="2"/>
      <w:sz w:val="24"/>
      <w:szCs w:val="22"/>
    </w:rPr>
  </w:style>
  <w:style w:type="paragraph" w:customStyle="1" w:styleId="p">
    <w:name w:val="p"/>
    <w:basedOn w:val="a"/>
    <w:qFormat/>
    <w:pPr>
      <w:spacing w:line="390" w:lineRule="atLeast"/>
      <w:ind w:firstLine="420"/>
    </w:pPr>
  </w:style>
  <w:style w:type="paragraph" w:customStyle="1" w:styleId="31">
    <w:name w:val="修订3"/>
    <w:uiPriority w:val="99"/>
    <w:unhideWhenUsed/>
    <w:qFormat/>
    <w:rPr>
      <w:rFonts w:ascii="Calibri" w:eastAsia="仿宋_GB2312" w:hAnsi="Calibri"/>
      <w:kern w:val="2"/>
      <w:sz w:val="24"/>
      <w:szCs w:val="22"/>
    </w:rPr>
  </w:style>
  <w:style w:type="paragraph" w:customStyle="1" w:styleId="40">
    <w:name w:val="修订4"/>
    <w:uiPriority w:val="99"/>
    <w:semiHidden/>
    <w:qFormat/>
    <w:rPr>
      <w:rFonts w:ascii="Calibri" w:eastAsia="仿宋_GB2312"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4785</Words>
  <Characters>27275</Characters>
  <Application>Microsoft Office Word</Application>
  <DocSecurity>0</DocSecurity>
  <Lines>227</Lines>
  <Paragraphs>63</Paragraphs>
  <ScaleCrop>false</ScaleCrop>
  <Company>HP</Company>
  <LinksUpToDate>false</LinksUpToDate>
  <CharactersWithSpaces>31997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czbank</dc:creator>
  <cp:lastModifiedBy>Admin</cp:lastModifiedBy>
  <cp:revision>6</cp:revision>
  <cp:lastPrinted>2024-09-20T15:45:00Z</cp:lastPrinted>
  <dcterms:created xsi:type="dcterms:W3CDTF">2026-01-09T18:26:00Z</dcterms:created>
  <dcterms:modified xsi:type="dcterms:W3CDTF">2026-08-14T00:34:00Z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C1CD65D4B22F07D3B18A786946932C89_43</vt:lpwstr>
  </property>
  <property fmtid="{D5CDD505-2E9C-101B-9397-08002B2CF9AE}" pid="3" name="KSOProductBuildVer">
    <vt:lpwstr>2052-12.1.0.24034</vt:lpwstr>
  </property>
  <property fmtid="{D5CDD505-2E9C-101B-9397-08002B2CF9AE}" pid="4" name="KSOTemplateDocerSaveRecord">
    <vt:lpwstr>eyJoZGlkIjoiOWVjMjZhOWViNTZhZjkyOTUyOWNkNTA2ZGVmZmYwZTAiLCJ1c2VySWQiOiIzMDI2MzA1NjIifQ==</vt:lpwstr>
  </property>
</Properties>
</file>