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695DB">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浙银理财琮简</w:t>
      </w:r>
      <w:r>
        <w:rPr>
          <w:rFonts w:hint="eastAsia" w:ascii="方正小标宋简体" w:eastAsia="方正小标宋简体"/>
          <w:color w:val="auto"/>
          <w:sz w:val="36"/>
          <w:szCs w:val="36"/>
          <w:highlight w:val="none"/>
          <w:lang w:val="en-US" w:eastAsia="zh-CN"/>
        </w:rPr>
        <w:t>富春147号</w:t>
      </w:r>
      <w:r>
        <w:rPr>
          <w:rFonts w:hint="eastAsia" w:ascii="方正小标宋简体" w:eastAsia="方正小标宋简体"/>
          <w:color w:val="auto"/>
          <w:sz w:val="36"/>
          <w:szCs w:val="36"/>
          <w:highlight w:val="none"/>
        </w:rPr>
        <w:t>理财产品</w:t>
      </w:r>
    </w:p>
    <w:p w14:paraId="3F355DD8">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601</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23B9811E">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0968A2DF">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29728721">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0C022B73">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45F2060E">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00E5552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5A1EF3E5">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1B05B968">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647FAFD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55B28CD1">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6788B63D">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662E1513">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75C01FD6">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92A7951">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22673A0F">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6D3E388F">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601BD0CD">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55824A2A">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2DECB54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02DEEE05">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73F429E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50121D70">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51ACA3DC">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4F39C919">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3D2B5484">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1C9F0701">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9FB0709">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48411C7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044F79E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1DC1A6D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57D14573">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2D2D2137">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41C109C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6A387ECB">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05795367">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3317ED5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6083549E">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506A563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31FD0CF2">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4D6B1885">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0243A78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47B363F4">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14D1A484">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0E35EED2">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2B0CE42E">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236EAC0B">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3E519AB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（二十）其他风险</w:t>
      </w:r>
    </w:p>
    <w:p w14:paraId="53DBEA0F">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009C4AF1">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0A802C31">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2336CE0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76318F1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61FDAC5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0C10A90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6392A56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10C7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A0F608F">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6264639D">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w:t>
            </w:r>
            <w:r>
              <w:rPr>
                <w:rFonts w:hint="eastAsia" w:ascii="仿宋_GB2312" w:hAnsi="宋体" w:eastAsia="仿宋_GB2312" w:cs="宋体"/>
                <w:b/>
                <w:bCs/>
                <w:color w:val="auto"/>
                <w:kern w:val="0"/>
                <w:sz w:val="24"/>
                <w:szCs w:val="24"/>
                <w:highlight w:val="none"/>
                <w:lang w:val="en-US" w:eastAsia="zh-CN"/>
              </w:rPr>
              <w:t>公</w:t>
            </w:r>
            <w:r>
              <w:rPr>
                <w:rFonts w:hint="eastAsia" w:ascii="仿宋_GB2312" w:hAnsi="宋体" w:eastAsia="仿宋_GB2312" w:cs="宋体"/>
                <w:b/>
                <w:bCs/>
                <w:color w:val="auto"/>
                <w:kern w:val="0"/>
                <w:sz w:val="24"/>
                <w:szCs w:val="24"/>
                <w:highlight w:val="none"/>
              </w:rPr>
              <w:t>募】、</w:t>
            </w:r>
            <w:r>
              <w:rPr>
                <w:rFonts w:hint="eastAsia" w:ascii="仿宋_GB2312" w:hAnsi="宋体" w:eastAsia="仿宋_GB2312" w:cs="宋体"/>
                <w:b/>
                <w:bCs/>
                <w:color w:val="auto"/>
                <w:kern w:val="0"/>
                <w:sz w:val="24"/>
                <w:szCs w:val="24"/>
                <w:highlight w:val="none"/>
                <w:lang w:val="en-US" w:eastAsia="zh-CN"/>
              </w:rPr>
              <w:t>封闭式</w:t>
            </w:r>
            <w:r>
              <w:rPr>
                <w:rFonts w:hint="eastAsia" w:ascii="仿宋_GB2312" w:hAnsi="宋体" w:eastAsia="仿宋_GB2312" w:cs="宋体"/>
                <w:b/>
                <w:bCs/>
                <w:color w:val="auto"/>
                <w:kern w:val="0"/>
                <w:sz w:val="24"/>
                <w:szCs w:val="24"/>
                <w:highlight w:val="none"/>
              </w:rPr>
              <w:t>、固定收益类</w:t>
            </w:r>
          </w:p>
        </w:tc>
      </w:tr>
      <w:tr w14:paraId="7350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7919B09F">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66FA7D83">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w:t>
            </w:r>
            <w:r>
              <w:rPr>
                <w:rFonts w:hint="eastAsia" w:ascii="仿宋_GB2312" w:hAnsi="宋体" w:eastAsia="仿宋_GB2312" w:cs="宋体"/>
                <w:b/>
                <w:bCs/>
                <w:color w:val="auto"/>
                <w:kern w:val="0"/>
                <w:sz w:val="24"/>
                <w:szCs w:val="24"/>
                <w:highlight w:val="none"/>
                <w:lang w:val="en-US" w:eastAsia="zh-CN"/>
              </w:rPr>
              <w:t>391</w:t>
            </w:r>
            <w:r>
              <w:rPr>
                <w:rFonts w:hint="eastAsia" w:ascii="仿宋_GB2312" w:hAnsi="宋体" w:eastAsia="仿宋_GB2312" w:cs="宋体"/>
                <w:b/>
                <w:bCs/>
                <w:color w:val="auto"/>
                <w:kern w:val="0"/>
                <w:sz w:val="24"/>
                <w:szCs w:val="24"/>
                <w:highlight w:val="none"/>
              </w:rPr>
              <w:t>】天（若本理财产品提前终止或延期终止，以实际到期日计算持有天数）；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76C6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24D09BCF">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7C25520A">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71C5D7FE">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w:t>
            </w:r>
            <w:bookmarkStart w:id="0" w:name="_GoBack"/>
            <w:bookmarkEnd w:id="0"/>
            <w:r>
              <w:rPr>
                <w:rFonts w:hint="eastAsia" w:ascii="仿宋_GB2312" w:hAnsi="宋体" w:eastAsia="仿宋_GB2312" w:cs="宋体"/>
                <w:b/>
                <w:color w:val="auto"/>
                <w:kern w:val="0"/>
                <w:sz w:val="24"/>
                <w:szCs w:val="24"/>
                <w:highlight w:val="none"/>
              </w:rPr>
              <w:t>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4576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256725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70FB2745">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22DD1180">
            <w:pPr>
              <w:snapToGrid w:val="0"/>
              <w:rPr>
                <w:rFonts w:ascii="仿宋_GB2312" w:hAnsi="宋体" w:eastAsia="仿宋_GB2312" w:cs="宋体"/>
                <w:bCs/>
                <w:color w:val="000000" w:themeColor="text1"/>
                <w:kern w:val="0"/>
                <w:sz w:val="24"/>
                <w14:textFill>
                  <w14:solidFill>
                    <w14:schemeClr w14:val="tx1"/>
                  </w14:solidFill>
                </w14:textFill>
              </w:rPr>
            </w:pPr>
            <w:r>
              <w:rPr>
                <w:rFonts w:hint="eastAsia" w:ascii="仿宋_GB2312" w:hAnsi="宋体" w:eastAsia="仿宋_GB2312" w:cs="宋体"/>
                <w:bCs/>
                <w:color w:val="000000" w:themeColor="text1"/>
                <w:kern w:val="0"/>
                <w:sz w:val="24"/>
                <w14:textFill>
                  <w14:solidFill>
                    <w14:schemeClr w14:val="tx1"/>
                  </w14:solidFill>
                </w14:textFill>
              </w:rPr>
              <w:t>不特定社会公众（个人</w:t>
            </w:r>
            <w:r>
              <w:rPr>
                <w:rFonts w:hint="eastAsia" w:ascii="仿宋_GB2312" w:hAnsi="宋体" w:eastAsia="仿宋_GB2312" w:cs="宋体"/>
                <w:bCs/>
                <w:color w:val="000000" w:themeColor="text1"/>
                <w:kern w:val="0"/>
                <w:sz w:val="24"/>
                <w:lang w:eastAsia="zh-CN"/>
                <w14:textFill>
                  <w14:solidFill>
                    <w14:schemeClr w14:val="tx1"/>
                  </w14:solidFill>
                </w14:textFill>
              </w:rPr>
              <w:t>、</w:t>
            </w:r>
            <w:r>
              <w:rPr>
                <w:rFonts w:hint="eastAsia" w:ascii="仿宋_GB2312" w:hAnsi="宋体" w:eastAsia="仿宋_GB2312" w:cs="宋体"/>
                <w:bCs/>
                <w:color w:val="000000" w:themeColor="text1"/>
                <w:kern w:val="0"/>
                <w:sz w:val="24"/>
                <w:lang w:val="en-US" w:eastAsia="zh-CN"/>
                <w14:textFill>
                  <w14:solidFill>
                    <w14:schemeClr w14:val="tx1"/>
                  </w14:solidFill>
                </w14:textFill>
              </w:rPr>
              <w:t>机构</w:t>
            </w:r>
            <w:r>
              <w:rPr>
                <w:rFonts w:hint="eastAsia" w:ascii="仿宋_GB2312" w:hAnsi="宋体" w:eastAsia="仿宋_GB2312" w:cs="宋体"/>
                <w:bCs/>
                <w:color w:val="000000" w:themeColor="text1"/>
                <w:kern w:val="0"/>
                <w:sz w:val="24"/>
                <w14:textFill>
                  <w14:solidFill>
                    <w14:schemeClr w14:val="tx1"/>
                  </w14:solidFill>
                </w14:textFill>
              </w:rPr>
              <w:t>投资者）；其中，普通投资者应符合相关法律法规、监管规定，经销售机构评估评定投资者风险承受能力与本产品风险等级相适应。</w:t>
            </w:r>
          </w:p>
          <w:p w14:paraId="669FC3C8">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000000" w:themeColor="text1"/>
                <w:kern w:val="0"/>
                <w:sz w:val="24"/>
                <w14:textFill>
                  <w14:solidFill>
                    <w14:schemeClr w14:val="tx1"/>
                  </w14:solidFill>
                </w14:textFill>
              </w:rPr>
              <w:t>本产品通过销售机构销售的，产品风险等级应当以销售机构最终披露的评级结果为准。</w:t>
            </w:r>
          </w:p>
        </w:tc>
      </w:tr>
      <w:tr w14:paraId="42DB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8297153">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7252B27F">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w:t>
            </w:r>
            <w:r>
              <w:rPr>
                <w:rFonts w:hint="eastAsia" w:ascii="仿宋_GB2312" w:hAnsi="宋体" w:eastAsia="仿宋_GB2312" w:cs="宋体"/>
                <w:b/>
                <w:bCs/>
                <w:color w:val="auto"/>
                <w:kern w:val="0"/>
                <w:sz w:val="24"/>
                <w:szCs w:val="24"/>
                <w:highlight w:val="none"/>
                <w:lang w:val="en-US" w:eastAsia="zh-CN"/>
              </w:rPr>
              <w:t>0</w:t>
            </w:r>
            <w:r>
              <w:rPr>
                <w:rFonts w:hint="eastAsia" w:ascii="仿宋_GB2312" w:hAnsi="宋体" w:eastAsia="仿宋_GB2312" w:cs="宋体"/>
                <w:b/>
                <w:bCs/>
                <w:color w:val="auto"/>
                <w:kern w:val="0"/>
                <w:sz w:val="24"/>
                <w:szCs w:val="24"/>
                <w:highlight w:val="none"/>
              </w:rPr>
              <w:t>】万元人民币，如本理财产品投资资产出现市场价格剧烈波动或发行人违约等情形，在最不利的情况下，本理财产品投资组合全部亏损的，本理财产品收益为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14:paraId="0F385A89">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1BFC317F">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1C537CC2">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2BE64DB9">
      <w:pPr>
        <w:ind w:firstLine="480" w:firstLineChars="200"/>
        <w:jc w:val="right"/>
        <w:rPr>
          <w:rFonts w:ascii="仿宋_GB2312" w:hAnsi="宋体" w:eastAsia="仿宋_GB2312" w:cs="宋体"/>
          <w:bCs/>
          <w:color w:val="auto"/>
          <w:kern w:val="0"/>
          <w:sz w:val="24"/>
          <w:szCs w:val="24"/>
          <w:highlight w:val="none"/>
        </w:rPr>
      </w:pPr>
    </w:p>
    <w:p w14:paraId="472F984F">
      <w:pPr>
        <w:ind w:firstLine="480" w:firstLineChars="200"/>
        <w:rPr>
          <w:rFonts w:ascii="仿宋_GB2312" w:hAnsi="宋体" w:eastAsia="仿宋_GB2312" w:cs="宋体"/>
          <w:bCs/>
          <w:color w:val="auto"/>
          <w:kern w:val="0"/>
          <w:sz w:val="24"/>
          <w:szCs w:val="24"/>
          <w:highlight w:val="none"/>
        </w:rPr>
      </w:pPr>
    </w:p>
    <w:p w14:paraId="65A1EFCF">
      <w:pPr>
        <w:ind w:firstLine="480" w:firstLineChars="200"/>
        <w:rPr>
          <w:rFonts w:ascii="仿宋_GB2312" w:hAnsi="宋体" w:eastAsia="仿宋_GB2312" w:cs="宋体"/>
          <w:bCs/>
          <w:color w:val="auto"/>
          <w:kern w:val="0"/>
          <w:sz w:val="24"/>
          <w:szCs w:val="24"/>
          <w:highlight w:val="none"/>
        </w:rPr>
      </w:pPr>
    </w:p>
    <w:p w14:paraId="24F7D234">
      <w:pPr>
        <w:ind w:firstLine="480" w:firstLineChars="200"/>
        <w:rPr>
          <w:rFonts w:ascii="仿宋_GB2312" w:hAnsi="宋体" w:eastAsia="仿宋_GB2312" w:cs="宋体"/>
          <w:bCs/>
          <w:color w:val="auto"/>
          <w:kern w:val="0"/>
          <w:sz w:val="24"/>
          <w:szCs w:val="24"/>
          <w:highlight w:val="none"/>
        </w:rPr>
      </w:pPr>
    </w:p>
    <w:p w14:paraId="55F191DC">
      <w:pPr>
        <w:rPr>
          <w:rFonts w:ascii="仿宋_GB2312" w:hAnsi="宋体" w:eastAsia="仿宋_GB2312" w:cs="宋体"/>
          <w:bCs/>
          <w:color w:val="auto"/>
          <w:kern w:val="0"/>
          <w:sz w:val="24"/>
          <w:szCs w:val="24"/>
          <w:highlight w:val="none"/>
        </w:rPr>
      </w:pPr>
    </w:p>
    <w:p w14:paraId="379FDC25">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68080BBB">
      <w:pPr>
        <w:ind w:firstLine="480" w:firstLineChars="200"/>
        <w:jc w:val="right"/>
        <w:rPr>
          <w:rFonts w:ascii="仿宋_GB2312" w:hAnsi="宋体" w:eastAsia="仿宋_GB2312" w:cs="宋体"/>
          <w:bCs/>
          <w:color w:val="auto"/>
          <w:kern w:val="0"/>
          <w:sz w:val="24"/>
          <w:szCs w:val="24"/>
          <w:highlight w:val="none"/>
        </w:rPr>
      </w:pPr>
    </w:p>
    <w:p w14:paraId="09B258CA">
      <w:pPr>
        <w:ind w:firstLine="480" w:firstLineChars="200"/>
        <w:rPr>
          <w:rFonts w:ascii="仿宋_GB2312" w:hAnsi="宋体" w:eastAsia="仿宋_GB2312" w:cs="宋体"/>
          <w:bCs/>
          <w:color w:val="auto"/>
          <w:kern w:val="0"/>
          <w:sz w:val="24"/>
          <w:szCs w:val="24"/>
          <w:highlight w:val="none"/>
        </w:rPr>
      </w:pPr>
    </w:p>
    <w:p w14:paraId="4CC1872F">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0DD45A5E">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753CCD72">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2ECAE442">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2056FDA1">
      <w:pPr>
        <w:spacing w:line="360" w:lineRule="auto"/>
        <w:rPr>
          <w:rFonts w:ascii="仿宋_GB2312" w:hAnsi="宋体" w:eastAsia="仿宋_GB2312"/>
          <w:color w:val="auto"/>
          <w:sz w:val="24"/>
          <w:szCs w:val="44"/>
          <w:highlight w:val="none"/>
        </w:rPr>
      </w:pPr>
    </w:p>
    <w:p w14:paraId="3803B2A7">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21560DA4">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3DFC18E0">
      <w:pPr>
        <w:ind w:firstLine="480" w:firstLineChars="200"/>
        <w:jc w:val="left"/>
        <w:rPr>
          <w:rFonts w:ascii="仿宋_GB2312" w:hAnsi="宋体" w:eastAsia="仿宋_GB2312"/>
          <w:color w:val="auto"/>
          <w:sz w:val="24"/>
          <w:szCs w:val="44"/>
          <w:highlight w:val="none"/>
        </w:rPr>
      </w:pPr>
    </w:p>
    <w:p w14:paraId="03824E99">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2F7F3EEE">
      <w:pPr>
        <w:ind w:firstLine="480" w:firstLineChars="200"/>
        <w:jc w:val="left"/>
        <w:rPr>
          <w:rFonts w:ascii="仿宋_GB2312" w:hAnsi="宋体" w:eastAsia="仿宋_GB2312"/>
          <w:color w:val="auto"/>
          <w:sz w:val="24"/>
          <w:szCs w:val="44"/>
          <w:highlight w:val="none"/>
        </w:rPr>
      </w:pPr>
    </w:p>
    <w:p w14:paraId="1B317C17">
      <w:pPr>
        <w:ind w:firstLine="480" w:firstLineChars="200"/>
        <w:jc w:val="left"/>
        <w:rPr>
          <w:rFonts w:ascii="仿宋_GB2312" w:hAnsi="宋体" w:eastAsia="仿宋_GB2312"/>
          <w:color w:val="auto"/>
          <w:sz w:val="24"/>
          <w:szCs w:val="44"/>
          <w:highlight w:val="none"/>
        </w:rPr>
      </w:pPr>
    </w:p>
    <w:p w14:paraId="5DDAD3E5">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51F8923F">
      <w:pPr>
        <w:jc w:val="left"/>
        <w:rPr>
          <w:rFonts w:ascii="仿宋_GB2312" w:hAnsi="宋体" w:eastAsia="仿宋_GB2312"/>
          <w:color w:val="auto"/>
          <w:sz w:val="24"/>
          <w:szCs w:val="44"/>
          <w:highlight w:val="none"/>
        </w:rPr>
      </w:pPr>
    </w:p>
    <w:p w14:paraId="7DD48076">
      <w:pPr>
        <w:jc w:val="left"/>
        <w:rPr>
          <w:rFonts w:ascii="仿宋_GB2312" w:hAnsi="宋体" w:eastAsia="仿宋_GB2312"/>
          <w:color w:val="auto"/>
          <w:sz w:val="24"/>
          <w:szCs w:val="44"/>
          <w:highlight w:val="none"/>
        </w:rPr>
      </w:pPr>
    </w:p>
    <w:p w14:paraId="5E674A43">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566A8F6C">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5711D334">
      <w:pPr>
        <w:ind w:firstLine="480" w:firstLineChars="200"/>
        <w:jc w:val="left"/>
        <w:rPr>
          <w:rFonts w:ascii="仿宋_GB2312" w:hAnsi="宋体" w:eastAsia="仿宋_GB2312"/>
          <w:color w:val="auto"/>
          <w:sz w:val="24"/>
          <w:szCs w:val="44"/>
          <w:highlight w:val="none"/>
        </w:rPr>
      </w:pPr>
    </w:p>
    <w:p w14:paraId="4D63CE1D">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04837588">
      <w:pPr>
        <w:ind w:firstLine="480" w:firstLineChars="200"/>
        <w:jc w:val="left"/>
        <w:rPr>
          <w:rFonts w:ascii="仿宋_GB2312" w:hAnsi="宋体" w:eastAsia="仿宋_GB2312"/>
          <w:color w:val="auto"/>
          <w:sz w:val="24"/>
          <w:szCs w:val="44"/>
          <w:highlight w:val="none"/>
        </w:rPr>
      </w:pPr>
    </w:p>
    <w:p w14:paraId="58A3D3F0">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49E2CFED">
      <w:pPr>
        <w:jc w:val="left"/>
        <w:rPr>
          <w:rFonts w:ascii="仿宋_GB2312" w:hAnsi="宋体" w:eastAsia="仿宋_GB2312"/>
          <w:color w:val="auto"/>
          <w:sz w:val="24"/>
          <w:szCs w:val="44"/>
          <w:highlight w:val="none"/>
        </w:rPr>
      </w:pPr>
    </w:p>
    <w:p w14:paraId="3D5F2C1E">
      <w:pPr>
        <w:jc w:val="left"/>
        <w:rPr>
          <w:rFonts w:ascii="仿宋_GB2312" w:hAnsi="宋体" w:eastAsia="仿宋_GB2312"/>
          <w:color w:val="auto"/>
          <w:sz w:val="24"/>
          <w:szCs w:val="44"/>
          <w:highlight w:val="none"/>
        </w:rPr>
      </w:pPr>
    </w:p>
    <w:p w14:paraId="59AD5753">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18A7A33">
      <w:pPr>
        <w:jc w:val="left"/>
        <w:rPr>
          <w:rFonts w:ascii="仿宋_GB2312" w:hAnsi="宋体" w:eastAsia="仿宋_GB2312"/>
          <w:color w:val="auto"/>
          <w:sz w:val="24"/>
          <w:szCs w:val="44"/>
          <w:highlight w:val="none"/>
        </w:rPr>
      </w:pPr>
    </w:p>
    <w:p w14:paraId="1F6F0737">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2ED5E3E4">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F924C">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7ABCA">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3F581D99">
                <w:r>
                  <w:t>ImpTraceLabel01f24a5666b437d1193b837c63dcab0d@=dGltZT0xNzc2ODI3ODM5MDAwfHdhdGVyTWFya0luZm895L+d5a+GfGZpbGVOYW1lPea1memTtueQhui0oueQrueugOWvjOaYpTE0NuWPt+eQhui0ouS6p+WTgemjjumZqeaPreekuuS5pu+8iDIwMjYwMeeJiO+8iS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7227FD7"/>
    <w:rsid w:val="100E6014"/>
    <w:rsid w:val="125A4772"/>
    <w:rsid w:val="16152E65"/>
    <w:rsid w:val="17234079"/>
    <w:rsid w:val="1C413D2A"/>
    <w:rsid w:val="23103904"/>
    <w:rsid w:val="3807733D"/>
    <w:rsid w:val="3C906492"/>
    <w:rsid w:val="40B219CD"/>
    <w:rsid w:val="458E49A5"/>
    <w:rsid w:val="48534CF4"/>
    <w:rsid w:val="490D2BC1"/>
    <w:rsid w:val="59F14500"/>
    <w:rsid w:val="6096067A"/>
    <w:rsid w:val="76E420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1143</Words>
  <Characters>6520</Characters>
  <Lines>54</Lines>
  <Paragraphs>15</Paragraphs>
  <TotalTime>29</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2025-12-12T23:40:00Z</dcterms:created>
  <dc:creator>czbank</dc:creator>
  <cp:lastModifiedBy>浙商银行</cp:lastModifiedBy>
  <cp:lastPrinted>2024-06-20T17:45:00Z</cp:lastPrinted>
  <dcterms:modified xsi:type="dcterms:W3CDTF">2026-08-10T00:38:35Z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E16076760C604E02B487188F27D73648</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