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kinsoku/>
        <w:wordWrap/>
        <w:overflowPunct w:val="0"/>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eastAsia="zh-CN"/>
        </w:rPr>
        <w:t>苏银理财</w:t>
      </w:r>
      <w:r>
        <w:rPr>
          <w:rFonts w:hint="eastAsia" w:ascii="楷体" w:hAnsi="楷体" w:eastAsia="楷体"/>
          <w:b/>
          <w:color w:val="auto"/>
          <w:sz w:val="28"/>
          <w:szCs w:val="28"/>
          <w:highlight w:val="none"/>
          <w:lang w:val="en-US" w:eastAsia="zh-CN"/>
        </w:rPr>
        <w:t>恒源融达1号</w:t>
      </w:r>
      <w:r>
        <w:rPr>
          <w:rFonts w:hint="eastAsia" w:ascii="楷体" w:hAnsi="楷体" w:eastAsia="楷体"/>
          <w:b/>
          <w:color w:val="auto"/>
          <w:sz w:val="28"/>
          <w:szCs w:val="28"/>
          <w:highlight w:val="none"/>
        </w:rPr>
        <w:t>”理财产品说明书</w:t>
      </w:r>
    </w:p>
    <w:p>
      <w:pPr>
        <w:pStyle w:val="12"/>
        <w:keepNext w:val="0"/>
        <w:keepLines w:val="0"/>
        <w:pageBreakBefore w:val="0"/>
        <w:kinsoku/>
        <w:wordWrap/>
        <w:overflowPunct w:val="0"/>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cs="Times New Roman"/>
          <w:kern w:val="2"/>
          <w:sz w:val="21"/>
          <w:szCs w:val="21"/>
          <w:highlight w:val="none"/>
          <w:lang w:val="en-US" w:eastAsia="zh-CN" w:bidi="ar-SA"/>
        </w:rPr>
        <w:t>（</w:t>
      </w:r>
      <w:r>
        <w:rPr>
          <w:rFonts w:hint="eastAsia" w:ascii="楷体" w:hAnsi="楷体" w:eastAsia="楷体" w:cs="Times New Roman"/>
          <w:b/>
          <w:bCs/>
          <w:kern w:val="2"/>
          <w:sz w:val="21"/>
          <w:szCs w:val="21"/>
          <w:highlight w:val="none"/>
          <w:lang w:val="en-US" w:eastAsia="zh-CN" w:bidi="ar-SA"/>
        </w:rPr>
        <w:t>2026年8月版</w:t>
      </w:r>
      <w:r>
        <w:rPr>
          <w:rFonts w:hint="eastAsia" w:ascii="楷体" w:hAnsi="楷体" w:eastAsia="楷体" w:cs="Times New Roman"/>
          <w:kern w:val="2"/>
          <w:sz w:val="21"/>
          <w:szCs w:val="21"/>
          <w:highlight w:val="none"/>
          <w:lang w:val="en-US" w:eastAsia="zh-CN" w:bidi="ar-SA"/>
        </w:rPr>
        <w:t>）</w:t>
      </w:r>
    </w:p>
    <w:p>
      <w:pPr>
        <w:keepNext w:val="0"/>
        <w:keepLines w:val="0"/>
        <w:pageBreakBefore w:val="0"/>
        <w:kinsoku/>
        <w:wordWrap/>
        <w:overflowPunct w:val="0"/>
        <w:topLinePunct w:val="0"/>
        <w:autoSpaceDE/>
        <w:autoSpaceDN/>
        <w:bidi w:val="0"/>
        <w:jc w:val="center"/>
        <w:textAlignment w:val="auto"/>
        <w:rPr>
          <w:rFonts w:hint="eastAsia" w:ascii="楷体" w:hAnsi="楷体" w:eastAsia="楷体" w:cs="宋体"/>
          <w:b/>
          <w:kern w:val="0"/>
          <w:sz w:val="24"/>
          <w:szCs w:val="24"/>
          <w:highlight w:val="none"/>
          <w:lang w:eastAsia="zh-CN"/>
        </w:rPr>
      </w:pPr>
      <w:r>
        <w:rPr>
          <w:rFonts w:hint="eastAsia" w:ascii="楷体" w:hAnsi="楷体" w:eastAsia="楷体" w:cs="宋体"/>
          <w:b/>
          <w:kern w:val="0"/>
          <w:sz w:val="24"/>
          <w:szCs w:val="24"/>
          <w:highlight w:val="none"/>
          <w:lang w:eastAsia="zh-CN"/>
        </w:rPr>
        <w:t>理财非存款、产品有风险、投资须谨慎</w:t>
      </w:r>
    </w:p>
    <w:p>
      <w:pPr>
        <w:keepNext w:val="0"/>
        <w:keepLines w:val="0"/>
        <w:pageBreakBefore w:val="0"/>
        <w:kinsoku/>
        <w:wordWrap/>
        <w:overflowPunct w:val="0"/>
        <w:topLinePunct w:val="0"/>
        <w:autoSpaceDE/>
        <w:autoSpaceDN/>
        <w:bidi w:val="0"/>
        <w:textAlignment w:val="auto"/>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重要须知</w:t>
      </w:r>
    </w:p>
    <w:p>
      <w:pPr>
        <w:keepNext w:val="0"/>
        <w:keepLines w:val="0"/>
        <w:pageBreakBefore w:val="0"/>
        <w:numPr>
          <w:ilvl w:val="0"/>
          <w:numId w:val="1"/>
        </w:numPr>
        <w:kinsoku/>
        <w:wordWrap/>
        <w:overflowPunct w:val="0"/>
        <w:topLinePunct w:val="0"/>
        <w:autoSpaceDE/>
        <w:autoSpaceDN/>
        <w:bidi w:val="0"/>
        <w:ind w:left="420" w:leftChars="0" w:hanging="420" w:firstLineChars="0"/>
        <w:textAlignment w:val="auto"/>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keepNext w:val="0"/>
        <w:keepLines w:val="0"/>
        <w:pageBreakBefore w:val="0"/>
        <w:numPr>
          <w:ilvl w:val="0"/>
          <w:numId w:val="1"/>
        </w:numPr>
        <w:kinsoku/>
        <w:wordWrap/>
        <w:overflowPunct w:val="0"/>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b/>
          <w:sz w:val="21"/>
          <w:szCs w:val="21"/>
          <w:highlight w:val="none"/>
          <w:u w:val="single"/>
        </w:rPr>
        <w:t>本理</w:t>
      </w:r>
      <w:r>
        <w:rPr>
          <w:rFonts w:hint="eastAsia" w:ascii="楷体" w:hAnsi="楷体" w:eastAsia="楷体" w:cs="Times New Roman"/>
          <w:b/>
          <w:sz w:val="21"/>
          <w:szCs w:val="21"/>
          <w:highlight w:val="none"/>
          <w:u w:val="single"/>
        </w:rPr>
        <w:t>财产品不保证本金及收益，您的本金可能因市场变动</w:t>
      </w:r>
      <w:r>
        <w:rPr>
          <w:rFonts w:hint="eastAsia" w:ascii="楷体" w:hAnsi="楷体" w:eastAsia="楷体" w:cs="Times New Roman"/>
          <w:b/>
          <w:sz w:val="21"/>
          <w:szCs w:val="21"/>
          <w:highlight w:val="none"/>
          <w:u w:val="single"/>
          <w:lang w:val="en-US" w:eastAsia="zh-CN"/>
        </w:rPr>
        <w:t>或者交易违约等事项</w:t>
      </w:r>
      <w:r>
        <w:rPr>
          <w:rFonts w:hint="eastAsia" w:ascii="楷体" w:hAnsi="楷体" w:eastAsia="楷体" w:cs="Times New Roman"/>
          <w:b/>
          <w:sz w:val="21"/>
          <w:szCs w:val="21"/>
          <w:highlight w:val="none"/>
          <w:u w:val="single"/>
        </w:rPr>
        <w:t>而蒙受相应损失，投资者应充分认识投资风险，谨慎投资</w:t>
      </w:r>
      <w:r>
        <w:rPr>
          <w:rFonts w:hint="eastAsia" w:ascii="楷体" w:hAnsi="楷体" w:eastAsia="楷体" w:cs="Times New Roman"/>
          <w:b/>
          <w:sz w:val="21"/>
          <w:szCs w:val="21"/>
          <w:highlight w:val="none"/>
          <w:u w:val="single"/>
          <w:lang w:eastAsia="zh-CN"/>
        </w:rPr>
        <w:t>。</w:t>
      </w:r>
    </w:p>
    <w:p>
      <w:pPr>
        <w:keepNext w:val="0"/>
        <w:keepLines w:val="0"/>
        <w:pageBreakBefore w:val="0"/>
        <w:numPr>
          <w:ilvl w:val="0"/>
          <w:numId w:val="1"/>
        </w:numPr>
        <w:kinsoku/>
        <w:wordWrap/>
        <w:overflowPunct w:val="0"/>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本理财产品过往业绩不代表其未来表现，不等于理财产品实际收益，投资须谨慎；理财非存款、产品有风险、投资须谨慎。</w:t>
      </w:r>
    </w:p>
    <w:p>
      <w:pPr>
        <w:keepNext w:val="0"/>
        <w:keepLines w:val="0"/>
        <w:pageBreakBefore w:val="0"/>
        <w:numPr>
          <w:ilvl w:val="0"/>
          <w:numId w:val="1"/>
        </w:numPr>
        <w:kinsoku/>
        <w:wordWrap/>
        <w:overflowPunct w:val="0"/>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本理财产品任何业绩比较基准</w:t>
      </w:r>
      <w:r>
        <w:rPr>
          <w:rFonts w:hint="eastAsia" w:ascii="楷体" w:hAnsi="楷体" w:eastAsia="楷体" w:cs="Times New Roman"/>
          <w:b/>
          <w:sz w:val="21"/>
          <w:szCs w:val="21"/>
          <w:highlight w:val="none"/>
          <w:u w:val="single"/>
          <w:lang w:val="en-US" w:eastAsia="zh-CN"/>
        </w:rPr>
        <w:t>及</w:t>
      </w:r>
      <w:r>
        <w:rPr>
          <w:rFonts w:hint="eastAsia" w:ascii="楷体" w:hAnsi="楷体" w:eastAsia="楷体" w:cs="Times New Roman"/>
          <w:b/>
          <w:sz w:val="21"/>
          <w:szCs w:val="21"/>
          <w:highlight w:val="none"/>
          <w:u w:val="single"/>
        </w:rPr>
        <w:t>类似表述均属不具有法律约束力的用语</w:t>
      </w:r>
      <w:r>
        <w:rPr>
          <w:rFonts w:hint="eastAsia" w:ascii="楷体" w:hAnsi="楷体" w:eastAsia="楷体" w:cs="Times New Roman"/>
          <w:b/>
          <w:sz w:val="21"/>
          <w:szCs w:val="21"/>
          <w:highlight w:val="none"/>
          <w:u w:val="single"/>
          <w:lang w:eastAsia="zh-CN"/>
        </w:rPr>
        <w:t>。</w:t>
      </w:r>
      <w:r>
        <w:rPr>
          <w:rFonts w:hint="eastAsia" w:ascii="楷体" w:hAnsi="楷体" w:eastAsia="楷体" w:cs="Times New Roman"/>
          <w:b/>
          <w:sz w:val="21"/>
          <w:szCs w:val="21"/>
          <w:highlight w:val="none"/>
          <w:u w:val="single"/>
        </w:rPr>
        <w:t>业绩比较基准</w:t>
      </w:r>
      <w:r>
        <w:rPr>
          <w:rFonts w:hint="eastAsia" w:ascii="楷体" w:hAnsi="楷体" w:eastAsia="楷体" w:cs="Times New Roman"/>
          <w:b/>
          <w:sz w:val="21"/>
          <w:szCs w:val="21"/>
          <w:highlight w:val="none"/>
          <w:u w:val="single"/>
          <w:lang w:val="en-US" w:eastAsia="zh-CN"/>
        </w:rPr>
        <w:t>为</w:t>
      </w:r>
      <w:r>
        <w:rPr>
          <w:rFonts w:hint="eastAsia" w:ascii="楷体" w:hAnsi="楷体" w:eastAsia="楷体" w:cs="Times New Roman"/>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keepNext w:val="0"/>
        <w:keepLines w:val="0"/>
        <w:pageBreakBefore w:val="0"/>
        <w:numPr>
          <w:ilvl w:val="0"/>
          <w:numId w:val="1"/>
        </w:numPr>
        <w:kinsoku/>
        <w:wordWrap/>
        <w:overflowPunct w:val="0"/>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keepNext w:val="0"/>
        <w:keepLines w:val="0"/>
        <w:pageBreakBefore w:val="0"/>
        <w:numPr>
          <w:ilvl w:val="0"/>
          <w:numId w:val="1"/>
        </w:numPr>
        <w:kinsoku/>
        <w:wordWrap/>
        <w:overflowPunct w:val="0"/>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等。请仔细阅读《“苏银理财恒源</w:t>
      </w:r>
      <w:r>
        <w:rPr>
          <w:rFonts w:hint="eastAsia" w:ascii="楷体" w:hAnsi="楷体" w:eastAsia="楷体"/>
          <w:sz w:val="21"/>
          <w:szCs w:val="21"/>
          <w:highlight w:val="none"/>
          <w:lang w:eastAsia="zh-CN"/>
        </w:rPr>
        <w:t>融达1号</w:t>
      </w:r>
      <w:r>
        <w:rPr>
          <w:rFonts w:hint="eastAsia" w:ascii="楷体" w:hAnsi="楷体" w:eastAsia="楷体"/>
          <w:sz w:val="21"/>
          <w:szCs w:val="21"/>
          <w:highlight w:val="none"/>
        </w:rPr>
        <w:t>”理财产品风险揭示书》的“风险揭示”部分。</w:t>
      </w:r>
    </w:p>
    <w:p>
      <w:pPr>
        <w:keepNext w:val="0"/>
        <w:keepLines w:val="0"/>
        <w:pageBreakBefore w:val="0"/>
        <w:numPr>
          <w:ilvl w:val="0"/>
          <w:numId w:val="1"/>
        </w:numPr>
        <w:kinsoku/>
        <w:wordWrap/>
        <w:overflowPunct w:val="0"/>
        <w:topLinePunct w:val="0"/>
        <w:autoSpaceDE/>
        <w:autoSpaceDN/>
        <w:bidi w:val="0"/>
        <w:ind w:left="420" w:leftChars="0" w:hanging="420" w:firstLineChars="0"/>
        <w:textAlignment w:val="auto"/>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keepNext w:val="0"/>
        <w:keepLines w:val="0"/>
        <w:pageBreakBefore w:val="0"/>
        <w:numPr>
          <w:ilvl w:val="0"/>
          <w:numId w:val="1"/>
        </w:numPr>
        <w:kinsoku/>
        <w:wordWrap/>
        <w:overflowPunct w:val="0"/>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keepNext w:val="0"/>
        <w:keepLines w:val="0"/>
        <w:pageBreakBefore w:val="0"/>
        <w:numPr>
          <w:ilvl w:val="0"/>
          <w:numId w:val="1"/>
        </w:numPr>
        <w:kinsoku/>
        <w:wordWrap/>
        <w:overflowPunct w:val="0"/>
        <w:topLinePunct w:val="0"/>
        <w:autoSpaceDE/>
        <w:autoSpaceDN/>
        <w:bidi w:val="0"/>
        <w:ind w:left="420" w:leftChars="0" w:hanging="420" w:firstLineChars="0"/>
        <w:textAlignment w:val="auto"/>
        <w:rPr>
          <w:rFonts w:hint="eastAsia" w:ascii="楷体" w:hAnsi="楷体" w:eastAsia="楷体" w:cs="Times New Roman"/>
          <w:sz w:val="21"/>
          <w:szCs w:val="21"/>
          <w:highlight w:val="none"/>
        </w:rPr>
      </w:pPr>
      <w:r>
        <w:rPr>
          <w:rFonts w:hint="eastAsia" w:ascii="楷体" w:hAnsi="楷体" w:eastAsia="楷体" w:cs="Times New Roman"/>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val="0"/>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产品要素</w:t>
      </w:r>
    </w:p>
    <w:p>
      <w:pPr>
        <w:keepNext w:val="0"/>
        <w:keepLines w:val="0"/>
        <w:pageBreakBefore w:val="0"/>
        <w:numPr>
          <w:ilvl w:val="0"/>
          <w:numId w:val="0"/>
        </w:numPr>
        <w:tabs>
          <w:tab w:val="left" w:pos="728"/>
        </w:tabs>
        <w:kinsoku/>
        <w:wordWrap/>
        <w:overflowPunct w:val="0"/>
        <w:topLinePunct w:val="0"/>
        <w:autoSpaceDE/>
        <w:autoSpaceDN/>
        <w:bidi w:val="0"/>
        <w:ind w:left="0" w:leftChars="0" w:firstLine="420" w:firstLineChars="200"/>
        <w:textAlignment w:val="auto"/>
        <w:rPr>
          <w:rFonts w:hint="eastAsia" w:ascii="楷体" w:hAnsi="楷体" w:eastAsia="楷体" w:cs="Calibri"/>
          <w:sz w:val="21"/>
          <w:szCs w:val="21"/>
          <w:highlight w:val="none"/>
          <w:lang w:val="en-US" w:eastAsia="zh-CN"/>
        </w:rPr>
      </w:pPr>
      <w:r>
        <w:rPr>
          <w:rFonts w:hint="eastAsia" w:ascii="楷体" w:hAnsi="楷体" w:eastAsia="楷体" w:cs="Calibri"/>
          <w:sz w:val="21"/>
          <w:szCs w:val="21"/>
          <w:highlight w:val="none"/>
          <w:lang w:val="en-US" w:eastAsia="zh-CN"/>
        </w:rPr>
        <w:t>为保护投资者合法权益，尊重投资者的知情权和自主选择权，现将本理财产品的基本要素说明如下：</w:t>
      </w:r>
    </w:p>
    <w:tbl>
      <w:tblPr>
        <w:tblStyle w:val="1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苏银理财恒源融达1号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default" w:ascii="楷体" w:hAnsi="楷体" w:eastAsia="楷体" w:cs="宋体"/>
                <w:spacing w:val="-2"/>
                <w:sz w:val="18"/>
                <w:szCs w:val="18"/>
                <w:highlight w:val="none"/>
                <w:lang w:val="en-US" w:eastAsia="zh-CN"/>
              </w:rPr>
              <w:t>Z7003123000062，投资者可依据该编码在中国理财网www.chinawealth.com.cn查询产品信息。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lang w:val="en-US" w:eastAsia="zh-CN"/>
              </w:rPr>
              <w:t>销售名称</w:t>
            </w:r>
            <w:r>
              <w:rPr>
                <w:rFonts w:hint="eastAsia" w:ascii="楷体" w:hAnsi="楷体" w:eastAsia="楷体" w:cs="宋体"/>
                <w:b/>
                <w:spacing w:val="-2"/>
                <w:sz w:val="18"/>
                <w:szCs w:val="18"/>
                <w:highlight w:val="none"/>
              </w:rPr>
              <w:t>/销售代码</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A份额：苏银理财恒源融达1号6月A/J180409SA86B</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代发专享份额：苏银理财恒源融达1号6月（代发专享）/J180409SA86D</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E50份额：苏银理财恒源融达1号6月E50/J180409SA86E</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F份额：苏银理财恒源融达1号6月F/J180409SA86F</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G份额：苏银理财恒源融达1号6月G/J02453</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S份额：苏银理财恒源融达1号6月S/J02764</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H份额：苏银理财恒源融达1号6月H/J02767</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碳账户专享份额：苏银理财恒源融达1号6月（碳账户专享）/J03363</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K份额：苏银理财恒源融达1号6月K/J03473</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J份额：苏银理财恒源融达1号6月J/J03506</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芙蓉锦程·优选份额：苏银理财恒源融达1号6月（芙蓉锦程·优选）/J03612</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Z份额：苏银理财恒源融达1号6月Z/J03613</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Q份额：苏银理财恒源融达1号6月Q/J03614</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JS鑫福款份额：苏银理财恒源融达1号6月JS鑫福款/J03807</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芙蓉锦程·优选-尊享款份额：苏银理财恒源融达1号6月（芙蓉锦程·优选-尊享款）/J04954</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北部湾银行专属份额：苏银理财恒源融达1号6月（北部湾银行专属）/J07237</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I份额：苏银理财恒源融达1号6月I/J10363</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鑫福款份额：苏银理财恒源融达1号6月鑫福款/J12106</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JS鑫福优享份额：苏银理财恒源融达1号6月JS鑫福优享/J12107</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JS鑫福尊享份额：苏银理财恒源融达1号6月JS鑫福尊享/J12108</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M份额：苏银理财恒源融达1号6月M/J13163</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N份额：苏银理财恒源融达1号6月N/J13164</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鑫福优享份额：苏银理财恒源融达1号6月鑫福优享/J15498</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鑫福尊享份额：苏银理财恒源融达1号6月鑫福尊享/J15499</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SZA份额：苏银理财恒源融达1号6月SZA/J19150</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C份额：苏银理财恒源融达1号6月C/J21104</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D份额：苏银理财恒源融达1号6月D/J21105</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安全卫士份额：苏银理财恒源融达1号6月（安全卫士）/J21775</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U份额：苏银理财恒源融达1号6月U/J21875</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V份额：苏银理财恒源融达1号6月V/J21876</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R份额：苏银理财恒源融达1号6月R/J22419</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T份额：苏银理财恒源融达1号6月T/J22420</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晋升财富臻享份额：苏银理财恒源融达1号6月（晋升财富臻享）/J22421</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柳州银行私行客户专属份额：苏银理财恒源融达1号6月（柳州银行私行客户专属）/J24678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产品类型</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0"/>
                <w:numId w:val="0"/>
              </w:numPr>
              <w:kinsoku/>
              <w:wordWrap/>
              <w:overflowPunct w:val="0"/>
              <w:topLinePunct w:val="0"/>
              <w:autoSpaceDE/>
              <w:autoSpaceDN/>
              <w:bidi w:val="0"/>
              <w:adjustRightInd/>
              <w:snapToGrid w:val="0"/>
              <w:spacing w:line="240" w:lineRule="auto"/>
              <w:ind w:left="21" w:leftChars="10" w:right="21" w:rightChars="10" w:firstLine="0" w:firstLineChars="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参考。理财产品存续期间，若市场环境等因素发生变化，在符合监管政策要求的前提下管理人可对产品风险评级进行调整，并及时将调整情况向投资者披露。</w:t>
            </w:r>
          </w:p>
          <w:tbl>
            <w:tblPr>
              <w:tblStyle w:val="14"/>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idowControl w:val="0"/>
                    <w:kinsoku/>
                    <w:wordWrap/>
                    <w:overflowPunct w:val="0"/>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0"/>
                <w:numId w:val="0"/>
              </w:numPr>
              <w:kinsoku/>
              <w:wordWrap/>
              <w:overflowPunct w:val="0"/>
              <w:topLinePunct w:val="0"/>
              <w:autoSpaceDE/>
              <w:autoSpaceDN/>
              <w:bidi w:val="0"/>
              <w:snapToGrid w:val="0"/>
              <w:spacing w:line="240" w:lineRule="auto"/>
              <w:ind w:left="21" w:leftChars="10" w:right="21" w:rightChars="10" w:firstLine="0" w:firstLineChars="0"/>
              <w:jc w:val="both"/>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A/G/S/H/J/芙蓉锦程·优选/Z/Q/JS鑫福款/芙蓉锦程·优选-尊享款/北部湾银行专属/I/鑫福款/JS鑫福优享/JS鑫福尊享/M/N/鑫福优享/鑫福尊享/C/D/安全卫士/U/V/R/T/晋升财富臻享/柳州银行私行客户专属份额：个人和机构；</w:t>
            </w:r>
          </w:p>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代发专享份额：个人(销售机构江苏银行仅限代发工资客户);</w:t>
            </w:r>
          </w:p>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E50份额：个人和机构（销售机构江苏银行个人投资者仅限50周岁及以上客户和江苏银行社保卡持卡人）；</w:t>
            </w:r>
          </w:p>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F份额：个人（销售机构江苏银行仅限企业手机银行专业版个人用户、江苏银行信用卡持卡用户）;</w:t>
            </w:r>
          </w:p>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碳账户专享份额：个人（江苏银行手机银行个人碳账户签约客户）;</w:t>
            </w:r>
          </w:p>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K份额：机构;</w:t>
            </w:r>
          </w:p>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SZA份额：机构（仅限江苏银行白名单客户）。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本产品计划发行规模为3000亿元，管理人有权根据实际需要调整计划发行规模。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kern w:val="0"/>
                <w:sz w:val="18"/>
                <w:szCs w:val="18"/>
                <w:highlight w:val="none"/>
                <w:lang w:val="en-US" w:eastAsia="zh-CN" w:bidi="ar-SA"/>
              </w:rPr>
              <w:t>3000万元</w:t>
            </w:r>
            <w:r>
              <w:rPr>
                <w:rFonts w:hint="eastAsia" w:ascii="楷体" w:hAnsi="楷体" w:eastAsia="楷体" w:cs="宋体"/>
                <w:spacing w:val="-2"/>
                <w:sz w:val="18"/>
                <w:szCs w:val="18"/>
                <w:highlight w:val="none"/>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A</w:t>
            </w:r>
            <w:r>
              <w:rPr>
                <w:rFonts w:hint="eastAsia" w:ascii="楷体" w:hAnsi="楷体" w:eastAsia="楷体"/>
                <w:sz w:val="18"/>
                <w:szCs w:val="18"/>
                <w:highlight w:val="none"/>
                <w:lang w:val="en-US" w:eastAsia="zh-CN"/>
              </w:rPr>
              <w:t>/S/芙蓉锦程·优选/Z/Q/JS鑫福款/芙蓉锦程·优选-尊享款/I/鑫福款/M/C/U/R/T/柳州银行私行客户专属</w:t>
            </w:r>
            <w:r>
              <w:rPr>
                <w:rFonts w:hint="eastAsia" w:ascii="楷体" w:hAnsi="楷体" w:eastAsia="楷体"/>
                <w:sz w:val="18"/>
                <w:szCs w:val="18"/>
                <w:highlight w:val="none"/>
              </w:rPr>
              <w:t>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F</w:t>
            </w:r>
            <w:r>
              <w:rPr>
                <w:rFonts w:hint="eastAsia" w:ascii="楷体" w:hAnsi="楷体" w:eastAsia="楷体"/>
                <w:sz w:val="18"/>
                <w:szCs w:val="18"/>
                <w:highlight w:val="none"/>
                <w:lang w:val="en-US" w:eastAsia="zh-CN"/>
              </w:rPr>
              <w:t>/碳账户专享/N/V</w:t>
            </w:r>
            <w:r>
              <w:rPr>
                <w:rFonts w:hint="eastAsia" w:ascii="楷体" w:hAnsi="楷体" w:eastAsia="楷体"/>
                <w:sz w:val="18"/>
                <w:szCs w:val="18"/>
                <w:highlight w:val="none"/>
              </w:rPr>
              <w:t>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1万元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1万元的整数倍;</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rPr>
            </w:pPr>
            <w:r>
              <w:rPr>
                <w:rFonts w:hint="eastAsia" w:ascii="楷体" w:hAnsi="楷体" w:eastAsia="楷体"/>
                <w:sz w:val="18"/>
                <w:szCs w:val="18"/>
                <w:highlight w:val="none"/>
                <w:lang w:val="en-US" w:eastAsia="zh-CN"/>
              </w:rPr>
              <w:t>K/SZA</w:t>
            </w:r>
            <w:r>
              <w:rPr>
                <w:rFonts w:hint="eastAsia" w:ascii="楷体" w:hAnsi="楷体" w:eastAsia="楷体"/>
                <w:sz w:val="18"/>
                <w:szCs w:val="18"/>
                <w:highlight w:val="none"/>
              </w:rPr>
              <w:t>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亿</w:t>
            </w:r>
            <w:r>
              <w:rPr>
                <w:rFonts w:hint="eastAsia" w:ascii="楷体" w:hAnsi="楷体" w:eastAsia="楷体"/>
                <w:sz w:val="18"/>
                <w:szCs w:val="18"/>
                <w:highlight w:val="none"/>
              </w:rPr>
              <w:t>元</w:t>
            </w:r>
            <w:r>
              <w:rPr>
                <w:rFonts w:hint="eastAsia" w:ascii="楷体" w:hAnsi="楷体" w:eastAsia="楷体"/>
                <w:sz w:val="18"/>
                <w:szCs w:val="18"/>
                <w:highlight w:val="none"/>
                <w:lang w:eastAsia="zh-CN"/>
              </w:rPr>
              <w:t>/</w:t>
            </w:r>
            <w:r>
              <w:rPr>
                <w:rFonts w:hint="eastAsia" w:ascii="楷体" w:hAnsi="楷体" w:eastAsia="楷体"/>
                <w:sz w:val="18"/>
                <w:szCs w:val="18"/>
                <w:highlight w:val="none"/>
              </w:rPr>
              <w:t>1万元的整数倍；</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代发专享</w:t>
            </w:r>
            <w:r>
              <w:rPr>
                <w:rFonts w:hint="eastAsia" w:ascii="楷体" w:hAnsi="楷体" w:eastAsia="楷体"/>
                <w:sz w:val="18"/>
                <w:szCs w:val="18"/>
                <w:highlight w:val="none"/>
              </w:rPr>
              <w:t>份额</w:t>
            </w:r>
            <w:r>
              <w:rPr>
                <w:rFonts w:hint="eastAsia" w:ascii="楷体" w:hAnsi="楷体" w:eastAsia="楷体"/>
                <w:sz w:val="18"/>
                <w:szCs w:val="18"/>
                <w:highlight w:val="none"/>
                <w:lang w:eastAsia="zh-CN"/>
              </w:rPr>
              <w:t>：</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/0.01</w:t>
            </w:r>
            <w:r>
              <w:rPr>
                <w:rFonts w:hint="eastAsia" w:ascii="楷体" w:hAnsi="楷体" w:eastAsia="楷体"/>
                <w:sz w:val="18"/>
                <w:szCs w:val="18"/>
                <w:highlight w:val="none"/>
              </w:rPr>
              <w:t>元的整数倍；</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E</w:t>
            </w:r>
            <w:r>
              <w:rPr>
                <w:rFonts w:hint="eastAsia" w:ascii="楷体" w:hAnsi="楷体" w:eastAsia="楷体"/>
                <w:sz w:val="18"/>
                <w:szCs w:val="18"/>
                <w:highlight w:val="none"/>
                <w:lang w:val="en-US" w:eastAsia="zh-CN"/>
              </w:rPr>
              <w:t>50</w:t>
            </w:r>
            <w:r>
              <w:rPr>
                <w:rFonts w:hint="eastAsia" w:ascii="楷体" w:hAnsi="楷体" w:eastAsia="楷体"/>
                <w:sz w:val="18"/>
                <w:szCs w:val="18"/>
                <w:highlight w:val="none"/>
              </w:rPr>
              <w:t>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个人</w:t>
            </w:r>
            <w:r>
              <w:rPr>
                <w:rFonts w:hint="eastAsia" w:ascii="楷体" w:hAnsi="楷体" w:eastAsia="楷体"/>
                <w:sz w:val="18"/>
                <w:szCs w:val="18"/>
                <w:highlight w:val="none"/>
                <w:lang w:val="en-US" w:eastAsia="zh-CN"/>
              </w:rPr>
              <w:t>投资者1</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机构</w:t>
            </w:r>
            <w:r>
              <w:rPr>
                <w:rFonts w:hint="eastAsia" w:ascii="楷体" w:hAnsi="楷体" w:eastAsia="楷体"/>
                <w:sz w:val="18"/>
                <w:szCs w:val="18"/>
                <w:highlight w:val="none"/>
                <w:lang w:val="en-US" w:eastAsia="zh-CN"/>
              </w:rPr>
              <w:t>投资者</w:t>
            </w:r>
            <w:r>
              <w:rPr>
                <w:rFonts w:hint="eastAsia" w:ascii="楷体" w:hAnsi="楷体" w:eastAsia="楷体"/>
                <w:sz w:val="18"/>
                <w:szCs w:val="18"/>
                <w:highlight w:val="none"/>
              </w:rPr>
              <w:t>100万元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1万元的整数倍；</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G份额</w:t>
            </w:r>
            <w:r>
              <w:rPr>
                <w:rFonts w:hint="eastAsia" w:ascii="楷体" w:hAnsi="楷体" w:eastAsia="楷体"/>
                <w:sz w:val="18"/>
                <w:szCs w:val="18"/>
                <w:highlight w:val="none"/>
                <w:lang w:eastAsia="zh-CN"/>
              </w:rPr>
              <w:t>：</w:t>
            </w:r>
            <w:r>
              <w:rPr>
                <w:rFonts w:hint="eastAsia" w:ascii="楷体" w:hAnsi="楷体" w:eastAsia="楷体"/>
                <w:sz w:val="18"/>
                <w:szCs w:val="18"/>
                <w:highlight w:val="none"/>
                <w:lang w:val="en-US" w:eastAsia="zh-CN"/>
              </w:rPr>
              <w:t>个人投资者</w:t>
            </w:r>
            <w:r>
              <w:rPr>
                <w:rFonts w:hint="eastAsia" w:ascii="楷体" w:hAnsi="楷体" w:eastAsia="楷体"/>
                <w:sz w:val="18"/>
                <w:szCs w:val="18"/>
                <w:highlight w:val="none"/>
              </w:rPr>
              <w:t>1万元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1万元的整数倍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5000</w:t>
            </w:r>
            <w:r>
              <w:rPr>
                <w:rFonts w:hint="eastAsia" w:ascii="楷体" w:hAnsi="楷体" w:eastAsia="楷体"/>
                <w:sz w:val="18"/>
                <w:szCs w:val="18"/>
                <w:highlight w:val="none"/>
              </w:rPr>
              <w:t>万元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1万元的整数倍；</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lang w:eastAsia="zh-CN"/>
              </w:rPr>
            </w:pPr>
            <w:r>
              <w:rPr>
                <w:rFonts w:hint="eastAsia" w:ascii="楷体" w:hAnsi="楷体" w:eastAsia="楷体"/>
                <w:sz w:val="18"/>
                <w:szCs w:val="18"/>
                <w:highlight w:val="none"/>
                <w:lang w:val="en-US" w:eastAsia="zh-CN"/>
              </w:rPr>
              <w:t>H</w:t>
            </w:r>
            <w:r>
              <w:rPr>
                <w:rFonts w:hint="eastAsia" w:ascii="楷体" w:hAnsi="楷体" w:eastAsia="楷体"/>
                <w:sz w:val="18"/>
                <w:szCs w:val="18"/>
                <w:highlight w:val="none"/>
              </w:rPr>
              <w:t>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0万</w:t>
            </w:r>
            <w:r>
              <w:rPr>
                <w:rFonts w:hint="eastAsia" w:ascii="楷体" w:hAnsi="楷体" w:eastAsia="楷体"/>
                <w:sz w:val="18"/>
                <w:szCs w:val="18"/>
                <w:highlight w:val="none"/>
              </w:rPr>
              <w:t>元</w:t>
            </w:r>
            <w:r>
              <w:rPr>
                <w:rFonts w:hint="eastAsia" w:ascii="楷体" w:hAnsi="楷体" w:eastAsia="楷体"/>
                <w:sz w:val="18"/>
                <w:szCs w:val="18"/>
                <w:highlight w:val="none"/>
                <w:lang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万</w:t>
            </w:r>
            <w:r>
              <w:rPr>
                <w:rFonts w:hint="eastAsia" w:ascii="楷体" w:hAnsi="楷体" w:eastAsia="楷体"/>
                <w:sz w:val="18"/>
                <w:szCs w:val="18"/>
                <w:highlight w:val="none"/>
              </w:rPr>
              <w:t>元的整数倍；</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lang w:eastAsia="zh-CN"/>
              </w:rPr>
            </w:pPr>
            <w:r>
              <w:rPr>
                <w:rFonts w:hint="eastAsia" w:ascii="楷体" w:hAnsi="楷体" w:eastAsia="楷体"/>
                <w:sz w:val="18"/>
                <w:szCs w:val="18"/>
                <w:highlight w:val="none"/>
                <w:lang w:val="en-US" w:eastAsia="zh-CN"/>
              </w:rPr>
              <w:t>J</w:t>
            </w:r>
            <w:r>
              <w:rPr>
                <w:rFonts w:hint="eastAsia" w:ascii="楷体" w:hAnsi="楷体" w:eastAsia="楷体"/>
                <w:sz w:val="18"/>
                <w:szCs w:val="18"/>
                <w:highlight w:val="none"/>
              </w:rPr>
              <w:t>份额</w:t>
            </w:r>
            <w:r>
              <w:rPr>
                <w:rFonts w:hint="eastAsia" w:ascii="楷体" w:hAnsi="楷体" w:eastAsia="楷体"/>
                <w:sz w:val="18"/>
                <w:szCs w:val="18"/>
                <w:highlight w:val="none"/>
                <w:lang w:eastAsia="zh-CN"/>
              </w:rPr>
              <w:t>：</w:t>
            </w:r>
            <w:r>
              <w:rPr>
                <w:rFonts w:hint="eastAsia" w:ascii="楷体" w:hAnsi="楷体" w:eastAsia="楷体"/>
                <w:sz w:val="18"/>
                <w:szCs w:val="18"/>
                <w:highlight w:val="none"/>
                <w:lang w:val="en-US" w:eastAsia="zh-CN"/>
              </w:rPr>
              <w:t>5万</w:t>
            </w:r>
            <w:r>
              <w:rPr>
                <w:rFonts w:hint="eastAsia" w:ascii="楷体" w:hAnsi="楷体" w:eastAsia="楷体"/>
                <w:sz w:val="18"/>
                <w:szCs w:val="18"/>
                <w:highlight w:val="none"/>
              </w:rPr>
              <w:t>元</w:t>
            </w:r>
            <w:r>
              <w:rPr>
                <w:rFonts w:hint="eastAsia" w:ascii="楷体" w:hAnsi="楷体" w:eastAsia="楷体"/>
                <w:sz w:val="18"/>
                <w:szCs w:val="18"/>
                <w:highlight w:val="none"/>
                <w:lang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万</w:t>
            </w:r>
            <w:r>
              <w:rPr>
                <w:rFonts w:hint="eastAsia" w:ascii="楷体" w:hAnsi="楷体" w:eastAsia="楷体"/>
                <w:sz w:val="18"/>
                <w:szCs w:val="18"/>
                <w:highlight w:val="none"/>
              </w:rPr>
              <w:t>元的整数倍；</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lang w:eastAsia="zh-CN"/>
              </w:rPr>
            </w:pPr>
            <w:r>
              <w:rPr>
                <w:rFonts w:hint="eastAsia" w:ascii="楷体" w:hAnsi="楷体" w:eastAsia="楷体"/>
                <w:sz w:val="18"/>
                <w:szCs w:val="18"/>
                <w:highlight w:val="none"/>
                <w:lang w:val="en-US" w:eastAsia="zh-CN"/>
              </w:rPr>
              <w:t>北部湾银行专属</w:t>
            </w:r>
            <w:r>
              <w:rPr>
                <w:rFonts w:hint="eastAsia" w:ascii="楷体" w:hAnsi="楷体" w:eastAsia="楷体"/>
                <w:sz w:val="18"/>
                <w:szCs w:val="18"/>
                <w:highlight w:val="none"/>
              </w:rPr>
              <w:t>份额</w:t>
            </w:r>
            <w:r>
              <w:rPr>
                <w:rFonts w:hint="eastAsia" w:ascii="楷体" w:hAnsi="楷体" w:eastAsia="楷体"/>
                <w:sz w:val="18"/>
                <w:szCs w:val="18"/>
                <w:highlight w:val="none"/>
                <w:lang w:eastAsia="zh-CN"/>
              </w:rPr>
              <w:t>：</w:t>
            </w:r>
            <w:r>
              <w:rPr>
                <w:rFonts w:hint="eastAsia" w:ascii="楷体" w:hAnsi="楷体" w:eastAsia="楷体"/>
                <w:sz w:val="18"/>
                <w:szCs w:val="18"/>
                <w:highlight w:val="none"/>
                <w:lang w:val="en-US" w:eastAsia="zh-CN"/>
              </w:rPr>
              <w:t>0.01</w:t>
            </w:r>
            <w:r>
              <w:rPr>
                <w:rFonts w:hint="eastAsia" w:ascii="楷体" w:hAnsi="楷体" w:eastAsia="楷体"/>
                <w:sz w:val="18"/>
                <w:szCs w:val="18"/>
                <w:highlight w:val="none"/>
              </w:rPr>
              <w:t>元</w:t>
            </w:r>
            <w:r>
              <w:rPr>
                <w:rFonts w:hint="eastAsia" w:ascii="楷体" w:hAnsi="楷体" w:eastAsia="楷体"/>
                <w:sz w:val="18"/>
                <w:szCs w:val="18"/>
                <w:highlight w:val="none"/>
                <w:lang w:eastAsia="zh-CN"/>
              </w:rPr>
              <w:t>/</w:t>
            </w:r>
            <w:r>
              <w:rPr>
                <w:rFonts w:hint="eastAsia" w:ascii="楷体" w:hAnsi="楷体" w:eastAsia="楷体"/>
                <w:sz w:val="18"/>
                <w:szCs w:val="18"/>
                <w:highlight w:val="none"/>
                <w:lang w:val="en-US" w:eastAsia="zh-CN"/>
              </w:rPr>
              <w:t>0.01</w:t>
            </w:r>
            <w:r>
              <w:rPr>
                <w:rFonts w:hint="eastAsia" w:ascii="楷体" w:hAnsi="楷体" w:eastAsia="楷体"/>
                <w:sz w:val="18"/>
                <w:szCs w:val="18"/>
                <w:highlight w:val="none"/>
              </w:rPr>
              <w:t>元的整数倍；</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lang w:eastAsia="zh-CN"/>
              </w:rPr>
            </w:pPr>
            <w:r>
              <w:rPr>
                <w:rFonts w:hint="eastAsia" w:ascii="楷体" w:hAnsi="楷体" w:eastAsia="楷体"/>
                <w:sz w:val="18"/>
                <w:szCs w:val="18"/>
                <w:highlight w:val="none"/>
                <w:lang w:val="en-US" w:eastAsia="zh-CN"/>
              </w:rPr>
              <w:t>JS鑫福优享</w:t>
            </w:r>
            <w:r>
              <w:rPr>
                <w:rFonts w:hint="eastAsia" w:ascii="楷体" w:hAnsi="楷体" w:eastAsia="楷体"/>
                <w:sz w:val="18"/>
                <w:szCs w:val="18"/>
                <w:highlight w:val="none"/>
              </w:rPr>
              <w:t>份额</w:t>
            </w:r>
            <w:r>
              <w:rPr>
                <w:rFonts w:hint="eastAsia" w:ascii="楷体" w:hAnsi="楷体" w:eastAsia="楷体"/>
                <w:sz w:val="18"/>
                <w:szCs w:val="18"/>
                <w:highlight w:val="none"/>
                <w:lang w:eastAsia="zh-CN"/>
              </w:rPr>
              <w:t>：</w:t>
            </w:r>
            <w:r>
              <w:rPr>
                <w:rFonts w:hint="eastAsia" w:ascii="楷体" w:hAnsi="楷体" w:eastAsia="楷体"/>
                <w:sz w:val="18"/>
                <w:szCs w:val="18"/>
                <w:highlight w:val="none"/>
                <w:lang w:val="en-US" w:eastAsia="zh-CN"/>
              </w:rPr>
              <w:t>个人投资者1</w:t>
            </w:r>
            <w:r>
              <w:rPr>
                <w:rFonts w:hint="eastAsia" w:ascii="楷体" w:hAnsi="楷体" w:eastAsia="楷体"/>
                <w:sz w:val="18"/>
                <w:szCs w:val="18"/>
                <w:highlight w:val="none"/>
              </w:rPr>
              <w:t>元</w:t>
            </w:r>
            <w:r>
              <w:rPr>
                <w:rFonts w:hint="eastAsia" w:ascii="楷体" w:hAnsi="楷体" w:eastAsia="楷体"/>
                <w:sz w:val="18"/>
                <w:szCs w:val="18"/>
                <w:highlight w:val="none"/>
                <w:lang w:eastAsia="zh-CN"/>
              </w:rPr>
              <w:t>/</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100</w:t>
            </w:r>
            <w:r>
              <w:rPr>
                <w:rFonts w:hint="eastAsia" w:ascii="楷体" w:hAnsi="楷体" w:eastAsia="楷体"/>
                <w:sz w:val="18"/>
                <w:szCs w:val="18"/>
                <w:highlight w:val="none"/>
              </w:rPr>
              <w:t>万元</w:t>
            </w:r>
            <w:r>
              <w:rPr>
                <w:rFonts w:hint="eastAsia" w:ascii="楷体" w:hAnsi="楷体" w:eastAsia="楷体"/>
                <w:sz w:val="18"/>
                <w:szCs w:val="18"/>
                <w:highlight w:val="none"/>
                <w:lang w:eastAsia="zh-CN"/>
              </w:rPr>
              <w:t>/</w:t>
            </w:r>
            <w:r>
              <w:rPr>
                <w:rFonts w:hint="eastAsia" w:ascii="楷体" w:hAnsi="楷体" w:eastAsia="楷体"/>
                <w:sz w:val="18"/>
                <w:szCs w:val="18"/>
                <w:highlight w:val="none"/>
              </w:rPr>
              <w:t>1万元的整数倍</w:t>
            </w:r>
            <w:r>
              <w:rPr>
                <w:rFonts w:hint="eastAsia" w:ascii="楷体" w:hAnsi="楷体" w:eastAsia="楷体"/>
                <w:sz w:val="18"/>
                <w:szCs w:val="18"/>
                <w:highlight w:val="none"/>
                <w:lang w:eastAsia="zh-CN"/>
              </w:rPr>
              <w:t>；</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lang w:eastAsia="zh-CN"/>
              </w:rPr>
            </w:pPr>
            <w:r>
              <w:rPr>
                <w:rFonts w:hint="eastAsia" w:ascii="楷体" w:hAnsi="楷体" w:eastAsia="楷体"/>
                <w:sz w:val="18"/>
                <w:szCs w:val="18"/>
                <w:highlight w:val="none"/>
                <w:lang w:val="en-US" w:eastAsia="zh-CN"/>
              </w:rPr>
              <w:t>JS鑫福尊享</w:t>
            </w:r>
            <w:r>
              <w:rPr>
                <w:rFonts w:hint="eastAsia" w:ascii="楷体" w:hAnsi="楷体" w:eastAsia="楷体"/>
                <w:sz w:val="18"/>
                <w:szCs w:val="18"/>
                <w:highlight w:val="none"/>
              </w:rPr>
              <w:t>份额</w:t>
            </w:r>
            <w:r>
              <w:rPr>
                <w:rFonts w:hint="eastAsia" w:ascii="楷体" w:hAnsi="楷体" w:eastAsia="楷体"/>
                <w:sz w:val="18"/>
                <w:szCs w:val="18"/>
                <w:highlight w:val="none"/>
                <w:lang w:eastAsia="zh-CN"/>
              </w:rPr>
              <w:t>：</w:t>
            </w:r>
            <w:r>
              <w:rPr>
                <w:rFonts w:hint="eastAsia" w:ascii="楷体" w:hAnsi="楷体" w:eastAsia="楷体"/>
                <w:sz w:val="18"/>
                <w:szCs w:val="18"/>
                <w:highlight w:val="none"/>
                <w:lang w:val="en-US" w:eastAsia="zh-CN"/>
              </w:rPr>
              <w:t>个人投资者50</w:t>
            </w:r>
            <w:r>
              <w:rPr>
                <w:rFonts w:hint="eastAsia" w:ascii="楷体" w:hAnsi="楷体" w:eastAsia="楷体"/>
                <w:sz w:val="18"/>
                <w:szCs w:val="18"/>
                <w:highlight w:val="none"/>
              </w:rPr>
              <w:t>万元</w:t>
            </w:r>
            <w:r>
              <w:rPr>
                <w:rFonts w:hint="eastAsia" w:ascii="楷体" w:hAnsi="楷体" w:eastAsia="楷体"/>
                <w:sz w:val="18"/>
                <w:szCs w:val="18"/>
                <w:highlight w:val="none"/>
                <w:lang w:eastAsia="zh-CN"/>
              </w:rPr>
              <w:t>/</w:t>
            </w:r>
            <w:r>
              <w:rPr>
                <w:rFonts w:hint="eastAsia" w:ascii="楷体" w:hAnsi="楷体" w:eastAsia="楷体"/>
                <w:sz w:val="18"/>
                <w:szCs w:val="18"/>
                <w:highlight w:val="none"/>
              </w:rPr>
              <w:t>1万元的整数倍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5000</w:t>
            </w:r>
            <w:r>
              <w:rPr>
                <w:rFonts w:hint="eastAsia" w:ascii="楷体" w:hAnsi="楷体" w:eastAsia="楷体"/>
                <w:sz w:val="18"/>
                <w:szCs w:val="18"/>
                <w:highlight w:val="none"/>
              </w:rPr>
              <w:t>万元</w:t>
            </w:r>
            <w:r>
              <w:rPr>
                <w:rFonts w:hint="eastAsia" w:ascii="楷体" w:hAnsi="楷体" w:eastAsia="楷体"/>
                <w:sz w:val="18"/>
                <w:szCs w:val="18"/>
                <w:highlight w:val="none"/>
                <w:lang w:eastAsia="zh-CN"/>
              </w:rPr>
              <w:t>/</w:t>
            </w:r>
            <w:r>
              <w:rPr>
                <w:rFonts w:hint="eastAsia" w:ascii="楷体" w:hAnsi="楷体" w:eastAsia="楷体"/>
                <w:sz w:val="18"/>
                <w:szCs w:val="18"/>
                <w:highlight w:val="none"/>
              </w:rPr>
              <w:t>1万元的整数倍</w:t>
            </w:r>
            <w:r>
              <w:rPr>
                <w:rFonts w:hint="eastAsia" w:ascii="楷体" w:hAnsi="楷体" w:eastAsia="楷体"/>
                <w:sz w:val="18"/>
                <w:szCs w:val="18"/>
                <w:highlight w:val="none"/>
                <w:lang w:eastAsia="zh-CN"/>
              </w:rPr>
              <w:t>；</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lang w:eastAsia="zh-CN"/>
              </w:rPr>
            </w:pPr>
            <w:r>
              <w:rPr>
                <w:rFonts w:hint="eastAsia" w:ascii="楷体" w:hAnsi="楷体" w:eastAsia="楷体"/>
                <w:sz w:val="18"/>
                <w:szCs w:val="18"/>
                <w:highlight w:val="none"/>
                <w:lang w:val="en-US" w:eastAsia="zh-CN"/>
              </w:rPr>
              <w:t>鑫福优享</w:t>
            </w:r>
            <w:r>
              <w:rPr>
                <w:rFonts w:hint="eastAsia" w:ascii="楷体" w:hAnsi="楷体" w:eastAsia="楷体"/>
                <w:sz w:val="18"/>
                <w:szCs w:val="18"/>
                <w:highlight w:val="none"/>
              </w:rPr>
              <w:t>份额</w:t>
            </w:r>
            <w:r>
              <w:rPr>
                <w:rFonts w:hint="eastAsia" w:ascii="楷体" w:hAnsi="楷体" w:eastAsia="楷体"/>
                <w:sz w:val="18"/>
                <w:szCs w:val="18"/>
                <w:highlight w:val="none"/>
                <w:lang w:eastAsia="zh-CN"/>
              </w:rPr>
              <w:t>：</w:t>
            </w:r>
            <w:r>
              <w:rPr>
                <w:rFonts w:hint="eastAsia" w:ascii="楷体" w:hAnsi="楷体" w:eastAsia="楷体"/>
                <w:sz w:val="18"/>
                <w:szCs w:val="18"/>
                <w:highlight w:val="none"/>
                <w:lang w:val="en-US" w:eastAsia="zh-CN"/>
              </w:rPr>
              <w:t>个人投资者1</w:t>
            </w:r>
            <w:r>
              <w:rPr>
                <w:rFonts w:hint="eastAsia" w:ascii="楷体" w:hAnsi="楷体" w:eastAsia="楷体"/>
                <w:sz w:val="18"/>
                <w:szCs w:val="18"/>
                <w:highlight w:val="none"/>
              </w:rPr>
              <w:t>元</w:t>
            </w:r>
            <w:r>
              <w:rPr>
                <w:rFonts w:hint="eastAsia" w:ascii="楷体" w:hAnsi="楷体" w:eastAsia="楷体"/>
                <w:sz w:val="18"/>
                <w:szCs w:val="18"/>
                <w:highlight w:val="none"/>
                <w:lang w:eastAsia="zh-CN"/>
              </w:rPr>
              <w:t>/</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100</w:t>
            </w:r>
            <w:r>
              <w:rPr>
                <w:rFonts w:hint="eastAsia" w:ascii="楷体" w:hAnsi="楷体" w:eastAsia="楷体"/>
                <w:sz w:val="18"/>
                <w:szCs w:val="18"/>
                <w:highlight w:val="none"/>
              </w:rPr>
              <w:t>万元</w:t>
            </w:r>
            <w:r>
              <w:rPr>
                <w:rFonts w:hint="eastAsia" w:ascii="楷体" w:hAnsi="楷体" w:eastAsia="楷体"/>
                <w:sz w:val="18"/>
                <w:szCs w:val="18"/>
                <w:highlight w:val="none"/>
                <w:lang w:eastAsia="zh-CN"/>
              </w:rPr>
              <w:t>/</w:t>
            </w:r>
            <w:r>
              <w:rPr>
                <w:rFonts w:hint="eastAsia" w:ascii="楷体" w:hAnsi="楷体" w:eastAsia="楷体"/>
                <w:sz w:val="18"/>
                <w:szCs w:val="18"/>
                <w:highlight w:val="none"/>
              </w:rPr>
              <w:t>1万元的整数倍</w:t>
            </w:r>
            <w:r>
              <w:rPr>
                <w:rFonts w:hint="eastAsia" w:ascii="楷体" w:hAnsi="楷体" w:eastAsia="楷体"/>
                <w:sz w:val="18"/>
                <w:szCs w:val="18"/>
                <w:highlight w:val="none"/>
                <w:lang w:eastAsia="zh-CN"/>
              </w:rPr>
              <w:t>；</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lang w:eastAsia="zh-CN"/>
              </w:rPr>
            </w:pPr>
            <w:r>
              <w:rPr>
                <w:rFonts w:hint="eastAsia" w:ascii="楷体" w:hAnsi="楷体" w:eastAsia="楷体"/>
                <w:sz w:val="18"/>
                <w:szCs w:val="18"/>
                <w:highlight w:val="none"/>
                <w:lang w:val="en-US" w:eastAsia="zh-CN"/>
              </w:rPr>
              <w:t>鑫福尊享</w:t>
            </w:r>
            <w:r>
              <w:rPr>
                <w:rFonts w:hint="eastAsia" w:ascii="楷体" w:hAnsi="楷体" w:eastAsia="楷体"/>
                <w:sz w:val="18"/>
                <w:szCs w:val="18"/>
                <w:highlight w:val="none"/>
              </w:rPr>
              <w:t>份额</w:t>
            </w:r>
            <w:r>
              <w:rPr>
                <w:rFonts w:hint="eastAsia" w:ascii="楷体" w:hAnsi="楷体" w:eastAsia="楷体"/>
                <w:sz w:val="18"/>
                <w:szCs w:val="18"/>
                <w:highlight w:val="none"/>
                <w:lang w:eastAsia="zh-CN"/>
              </w:rPr>
              <w:t>：</w:t>
            </w:r>
            <w:r>
              <w:rPr>
                <w:rFonts w:hint="eastAsia" w:ascii="楷体" w:hAnsi="楷体" w:eastAsia="楷体"/>
                <w:sz w:val="18"/>
                <w:szCs w:val="18"/>
                <w:highlight w:val="none"/>
                <w:lang w:val="en-US" w:eastAsia="zh-CN"/>
              </w:rPr>
              <w:t>个人投资者50</w:t>
            </w:r>
            <w:r>
              <w:rPr>
                <w:rFonts w:hint="eastAsia" w:ascii="楷体" w:hAnsi="楷体" w:eastAsia="楷体"/>
                <w:sz w:val="18"/>
                <w:szCs w:val="18"/>
                <w:highlight w:val="none"/>
              </w:rPr>
              <w:t>万元</w:t>
            </w:r>
            <w:r>
              <w:rPr>
                <w:rFonts w:hint="eastAsia" w:ascii="楷体" w:hAnsi="楷体" w:eastAsia="楷体"/>
                <w:sz w:val="18"/>
                <w:szCs w:val="18"/>
                <w:highlight w:val="none"/>
                <w:lang w:eastAsia="zh-CN"/>
              </w:rPr>
              <w:t>/</w:t>
            </w:r>
            <w:r>
              <w:rPr>
                <w:rFonts w:hint="eastAsia" w:ascii="楷体" w:hAnsi="楷体" w:eastAsia="楷体"/>
                <w:sz w:val="18"/>
                <w:szCs w:val="18"/>
                <w:highlight w:val="none"/>
              </w:rPr>
              <w:t>1万元的整数倍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5000</w:t>
            </w:r>
            <w:r>
              <w:rPr>
                <w:rFonts w:hint="eastAsia" w:ascii="楷体" w:hAnsi="楷体" w:eastAsia="楷体"/>
                <w:sz w:val="18"/>
                <w:szCs w:val="18"/>
                <w:highlight w:val="none"/>
              </w:rPr>
              <w:t>万元</w:t>
            </w:r>
            <w:r>
              <w:rPr>
                <w:rFonts w:hint="eastAsia" w:ascii="楷体" w:hAnsi="楷体" w:eastAsia="楷体"/>
                <w:sz w:val="18"/>
                <w:szCs w:val="18"/>
                <w:highlight w:val="none"/>
                <w:lang w:eastAsia="zh-CN"/>
              </w:rPr>
              <w:t>/</w:t>
            </w:r>
            <w:r>
              <w:rPr>
                <w:rFonts w:hint="eastAsia" w:ascii="楷体" w:hAnsi="楷体" w:eastAsia="楷体"/>
                <w:sz w:val="18"/>
                <w:szCs w:val="18"/>
                <w:highlight w:val="none"/>
              </w:rPr>
              <w:t>1万元的整数倍</w:t>
            </w:r>
            <w:r>
              <w:rPr>
                <w:rFonts w:hint="eastAsia" w:ascii="楷体" w:hAnsi="楷体" w:eastAsia="楷体"/>
                <w:sz w:val="18"/>
                <w:szCs w:val="18"/>
                <w:highlight w:val="none"/>
                <w:lang w:eastAsia="zh-CN"/>
              </w:rPr>
              <w:t>；</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D</w:t>
            </w:r>
            <w:r>
              <w:rPr>
                <w:rFonts w:hint="eastAsia" w:ascii="楷体" w:hAnsi="楷体" w:eastAsia="楷体"/>
                <w:sz w:val="18"/>
                <w:szCs w:val="18"/>
                <w:highlight w:val="none"/>
              </w:rPr>
              <w:t>份额</w:t>
            </w:r>
            <w:r>
              <w:rPr>
                <w:rFonts w:hint="eastAsia" w:ascii="楷体" w:hAnsi="楷体" w:eastAsia="楷体"/>
                <w:sz w:val="18"/>
                <w:szCs w:val="18"/>
                <w:highlight w:val="none"/>
                <w:lang w:eastAsia="zh-CN"/>
              </w:rPr>
              <w:t>：</w:t>
            </w:r>
            <w:r>
              <w:rPr>
                <w:rFonts w:hint="eastAsia" w:ascii="楷体" w:hAnsi="楷体" w:eastAsia="楷体"/>
                <w:sz w:val="18"/>
                <w:szCs w:val="18"/>
                <w:highlight w:val="none"/>
                <w:lang w:val="en-US" w:eastAsia="zh-CN"/>
              </w:rPr>
              <w:t>100万</w:t>
            </w:r>
            <w:r>
              <w:rPr>
                <w:rFonts w:hint="eastAsia" w:ascii="楷体" w:hAnsi="楷体" w:eastAsia="楷体"/>
                <w:sz w:val="18"/>
                <w:szCs w:val="18"/>
                <w:highlight w:val="none"/>
              </w:rPr>
              <w:t>元</w:t>
            </w:r>
            <w:r>
              <w:rPr>
                <w:rFonts w:hint="eastAsia" w:ascii="楷体" w:hAnsi="楷体" w:eastAsia="楷体"/>
                <w:sz w:val="18"/>
                <w:szCs w:val="18"/>
                <w:highlight w:val="none"/>
                <w:lang w:eastAsia="zh-CN"/>
              </w:rPr>
              <w:t>/</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元的整数倍</w:t>
            </w:r>
            <w:r>
              <w:rPr>
                <w:rFonts w:hint="eastAsia" w:ascii="楷体" w:hAnsi="楷体" w:eastAsia="楷体"/>
                <w:sz w:val="18"/>
                <w:szCs w:val="18"/>
                <w:highlight w:val="none"/>
                <w:lang w:val="en-US" w:eastAsia="zh-CN"/>
              </w:rPr>
              <w:t>；</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安全卫士</w:t>
            </w:r>
            <w:r>
              <w:rPr>
                <w:rFonts w:hint="eastAsia" w:ascii="楷体" w:hAnsi="楷体" w:eastAsia="楷体"/>
                <w:sz w:val="18"/>
                <w:szCs w:val="18"/>
                <w:highlight w:val="none"/>
                <w:lang w:eastAsia="zh-CN"/>
              </w:rPr>
              <w:t>份额：</w:t>
            </w:r>
            <w:r>
              <w:rPr>
                <w:rFonts w:hint="eastAsia" w:ascii="楷体" w:hAnsi="楷体" w:eastAsia="楷体"/>
                <w:sz w:val="18"/>
                <w:szCs w:val="18"/>
                <w:highlight w:val="none"/>
                <w:lang w:val="en-US" w:eastAsia="zh-CN"/>
              </w:rPr>
              <w:t>1万</w:t>
            </w:r>
            <w:r>
              <w:rPr>
                <w:rFonts w:hint="eastAsia" w:ascii="楷体" w:hAnsi="楷体" w:eastAsia="楷体"/>
                <w:sz w:val="18"/>
                <w:szCs w:val="18"/>
                <w:highlight w:val="none"/>
                <w:lang w:eastAsia="zh-CN"/>
              </w:rPr>
              <w:t>元/</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lang w:eastAsia="zh-CN"/>
              </w:rPr>
              <w:t>元的整数倍</w:t>
            </w:r>
            <w:r>
              <w:rPr>
                <w:rFonts w:hint="eastAsia" w:ascii="楷体" w:hAnsi="楷体" w:eastAsia="楷体"/>
                <w:sz w:val="18"/>
                <w:szCs w:val="18"/>
                <w:highlight w:val="none"/>
                <w:lang w:val="en-US" w:eastAsia="zh-CN"/>
              </w:rPr>
              <w:t>;</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lang w:eastAsia="zh-CN"/>
              </w:rPr>
            </w:pPr>
            <w:r>
              <w:rPr>
                <w:rFonts w:hint="eastAsia" w:ascii="楷体" w:hAnsi="楷体" w:eastAsia="楷体"/>
                <w:sz w:val="18"/>
                <w:szCs w:val="18"/>
                <w:highlight w:val="none"/>
                <w:lang w:val="en-US" w:eastAsia="zh-CN"/>
              </w:rPr>
              <w:t>晋升财富臻享</w:t>
            </w:r>
            <w:r>
              <w:rPr>
                <w:rFonts w:hint="eastAsia" w:ascii="楷体" w:hAnsi="楷体" w:eastAsia="楷体"/>
                <w:sz w:val="18"/>
                <w:szCs w:val="18"/>
                <w:highlight w:val="none"/>
                <w:lang w:eastAsia="zh-CN"/>
              </w:rPr>
              <w:t>份额：</w:t>
            </w:r>
            <w:r>
              <w:rPr>
                <w:rFonts w:hint="eastAsia" w:ascii="楷体" w:hAnsi="楷体" w:eastAsia="楷体"/>
                <w:sz w:val="18"/>
                <w:szCs w:val="18"/>
                <w:highlight w:val="none"/>
                <w:lang w:val="en-US" w:eastAsia="zh-CN"/>
              </w:rPr>
              <w:t>10万</w:t>
            </w:r>
            <w:r>
              <w:rPr>
                <w:rFonts w:hint="eastAsia" w:ascii="楷体" w:hAnsi="楷体" w:eastAsia="楷体"/>
                <w:sz w:val="18"/>
                <w:szCs w:val="18"/>
                <w:highlight w:val="none"/>
                <w:lang w:eastAsia="zh-CN"/>
              </w:rPr>
              <w:t>元/</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lang w:eastAsia="zh-CN"/>
              </w:rPr>
              <w:t>元的整数倍。</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2018年8月29日</w:t>
            </w:r>
            <w:r>
              <w:rPr>
                <w:rFonts w:hint="eastAsia" w:ascii="楷体" w:hAnsi="楷体" w:eastAsia="楷体" w:cs="宋体"/>
                <w:spacing w:val="-2"/>
                <w:sz w:val="18"/>
                <w:szCs w:val="18"/>
                <w:highlight w:val="none"/>
                <w:lang w:val="en-US" w:eastAsia="zh-CN"/>
              </w:rPr>
              <w:t>至</w:t>
            </w:r>
            <w:r>
              <w:rPr>
                <w:rFonts w:hint="eastAsia" w:ascii="楷体" w:hAnsi="楷体" w:eastAsia="楷体" w:cs="宋体"/>
                <w:spacing w:val="-2"/>
                <w:sz w:val="18"/>
                <w:szCs w:val="18"/>
                <w:highlight w:val="none"/>
              </w:rPr>
              <w:t>2018年9月3日。</w:t>
            </w:r>
          </w:p>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2018年9月4日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r>
              <w:rPr>
                <w:rFonts w:hint="eastAsia" w:ascii="楷体" w:hAnsi="楷体" w:eastAsia="楷体" w:cs="宋体"/>
                <w:b/>
                <w:color w:val="auto"/>
                <w:spacing w:val="-2"/>
                <w:sz w:val="18"/>
                <w:szCs w:val="18"/>
                <w:highlight w:val="none"/>
              </w:rPr>
              <w:t>到期日</w:t>
            </w:r>
          </w:p>
        </w:tc>
        <w:tc>
          <w:tcPr>
            <w:tcW w:w="7937" w:type="dxa"/>
            <w:noWrap w:val="0"/>
            <w:vAlign w:val="top"/>
          </w:tcPr>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2038年9月3日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如遇节假日，顺延至下一工作日。在符合产品说明书约定的条件下，管理人有权调整产品到期日，产品到期日受制于提前终止、延期终止条款。详见下文“产品终止”。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lang w:val="en-US" w:eastAsia="zh-CN"/>
              </w:rPr>
              <w:t>封闭运作期</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2018年9月4日，</w:t>
            </w:r>
            <w:r>
              <w:rPr>
                <w:rFonts w:hint="eastAsia" w:ascii="楷体" w:hAnsi="楷体" w:eastAsia="楷体" w:cs="宋体"/>
                <w:b/>
                <w:bCs/>
                <w:spacing w:val="-2"/>
                <w:sz w:val="18"/>
                <w:szCs w:val="18"/>
                <w:highlight w:val="none"/>
              </w:rPr>
              <w:t>封闭运作期内不可申购/赎回。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top"/>
          </w:tcPr>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b w:val="0"/>
                <w:bCs w:val="0"/>
                <w:spacing w:val="-2"/>
                <w:sz w:val="18"/>
                <w:szCs w:val="18"/>
                <w:highlight w:val="none"/>
                <w:u w:val="none"/>
              </w:rPr>
            </w:pPr>
            <w:r>
              <w:rPr>
                <w:rFonts w:hint="eastAsia" w:ascii="楷体" w:hAnsi="楷体" w:eastAsia="楷体" w:cs="宋体"/>
                <w:b w:val="0"/>
                <w:bCs w:val="0"/>
                <w:spacing w:val="-2"/>
                <w:sz w:val="18"/>
                <w:szCs w:val="18"/>
                <w:highlight w:val="none"/>
                <w:u w:val="none"/>
              </w:rPr>
              <w:t>本产</w:t>
            </w:r>
            <w:r>
              <w:rPr>
                <w:rFonts w:hint="eastAsia" w:ascii="楷体" w:hAnsi="楷体" w:eastAsia="楷体" w:cs="宋体"/>
                <w:b w:val="0"/>
                <w:bCs w:val="0"/>
                <w:spacing w:val="-2"/>
                <w:sz w:val="18"/>
                <w:szCs w:val="18"/>
                <w:highlight w:val="none"/>
                <w:u w:val="none"/>
                <w:lang w:val="en-US" w:eastAsia="zh-CN"/>
              </w:rPr>
              <w:t>品封闭运作期结束后自2018年9月5日起</w:t>
            </w:r>
            <w:r>
              <w:rPr>
                <w:rFonts w:hint="eastAsia" w:ascii="楷体" w:hAnsi="楷体" w:eastAsia="楷体" w:cs="宋体"/>
                <w:b w:val="0"/>
                <w:bCs w:val="0"/>
                <w:spacing w:val="-2"/>
                <w:sz w:val="18"/>
                <w:szCs w:val="18"/>
                <w:highlight w:val="none"/>
                <w:u w:val="none"/>
              </w:rPr>
              <w:t>开放申购，</w:t>
            </w:r>
            <w:r>
              <w:rPr>
                <w:rFonts w:hint="eastAsia" w:ascii="楷体" w:hAnsi="楷体" w:eastAsia="楷体" w:cs="宋体"/>
                <w:b/>
                <w:bCs/>
                <w:spacing w:val="-2"/>
                <w:sz w:val="18"/>
                <w:szCs w:val="18"/>
                <w:highlight w:val="none"/>
                <w:u w:val="single"/>
              </w:rPr>
              <w:t>若</w:t>
            </w:r>
            <w:r>
              <w:rPr>
                <w:rFonts w:hint="eastAsia" w:ascii="楷体" w:hAnsi="楷体" w:eastAsia="楷体" w:cs="宋体"/>
                <w:b/>
                <w:bCs/>
                <w:spacing w:val="-2"/>
                <w:sz w:val="18"/>
                <w:szCs w:val="18"/>
                <w:highlight w:val="none"/>
                <w:u w:val="single"/>
                <w:lang w:val="en-US" w:eastAsia="zh-CN"/>
              </w:rPr>
              <w:t>每周三</w:t>
            </w:r>
            <w:r>
              <w:rPr>
                <w:rFonts w:hint="eastAsia" w:ascii="楷体" w:hAnsi="楷体" w:eastAsia="楷体" w:cs="宋体"/>
                <w:b/>
                <w:bCs/>
                <w:spacing w:val="-2"/>
                <w:sz w:val="18"/>
                <w:szCs w:val="18"/>
                <w:highlight w:val="none"/>
                <w:u w:val="single"/>
              </w:rPr>
              <w:t>与</w:t>
            </w:r>
            <w:r>
              <w:rPr>
                <w:rFonts w:hint="eastAsia" w:ascii="楷体" w:hAnsi="楷体" w:eastAsia="楷体" w:cs="宋体"/>
                <w:b/>
                <w:bCs/>
                <w:spacing w:val="-2"/>
                <w:sz w:val="18"/>
                <w:szCs w:val="18"/>
                <w:highlight w:val="none"/>
                <w:u w:val="single"/>
                <w:lang w:val="en-US" w:eastAsia="zh-CN"/>
              </w:rPr>
              <w:t>每周四</w:t>
            </w:r>
            <w:r>
              <w:rPr>
                <w:rFonts w:hint="eastAsia" w:ascii="楷体" w:hAnsi="楷体" w:eastAsia="楷体" w:cs="宋体"/>
                <w:b/>
                <w:bCs/>
                <w:spacing w:val="-2"/>
                <w:sz w:val="18"/>
                <w:szCs w:val="18"/>
                <w:highlight w:val="none"/>
                <w:u w:val="single"/>
              </w:rPr>
              <w:t>为</w:t>
            </w:r>
            <w:r>
              <w:rPr>
                <w:rFonts w:hint="eastAsia" w:ascii="楷体" w:hAnsi="楷体" w:eastAsia="楷体" w:cs="宋体"/>
                <w:b/>
                <w:bCs/>
                <w:spacing w:val="-2"/>
                <w:sz w:val="18"/>
                <w:szCs w:val="18"/>
                <w:highlight w:val="none"/>
                <w:u w:val="single"/>
                <w:lang w:val="en-US" w:eastAsia="zh-CN"/>
              </w:rPr>
              <w:t>交易</w:t>
            </w:r>
            <w:r>
              <w:rPr>
                <w:rFonts w:hint="eastAsia" w:ascii="楷体" w:hAnsi="楷体" w:eastAsia="楷体" w:cs="宋体"/>
                <w:b/>
                <w:bCs/>
                <w:spacing w:val="-2"/>
                <w:sz w:val="18"/>
                <w:szCs w:val="18"/>
                <w:highlight w:val="none"/>
                <w:u w:val="single"/>
              </w:rPr>
              <w:t>日，则</w:t>
            </w:r>
            <w:r>
              <w:rPr>
                <w:rFonts w:hint="eastAsia" w:ascii="楷体" w:hAnsi="楷体" w:eastAsia="楷体" w:cs="宋体"/>
                <w:b/>
                <w:bCs/>
                <w:spacing w:val="-2"/>
                <w:sz w:val="18"/>
                <w:szCs w:val="18"/>
                <w:highlight w:val="none"/>
                <w:u w:val="single"/>
                <w:lang w:val="en-US" w:eastAsia="zh-CN"/>
              </w:rPr>
              <w:t>每周三</w:t>
            </w:r>
            <w:r>
              <w:rPr>
                <w:rFonts w:hint="eastAsia" w:ascii="楷体" w:hAnsi="楷体" w:eastAsia="楷体" w:cs="宋体"/>
                <w:b/>
                <w:bCs/>
                <w:spacing w:val="-2"/>
                <w:sz w:val="18"/>
                <w:szCs w:val="18"/>
                <w:highlight w:val="none"/>
                <w:u w:val="single"/>
              </w:rPr>
              <w:t>为开放日、</w:t>
            </w:r>
            <w:r>
              <w:rPr>
                <w:rFonts w:hint="eastAsia" w:ascii="楷体" w:hAnsi="楷体" w:eastAsia="楷体" w:cs="宋体"/>
                <w:b/>
                <w:bCs/>
                <w:spacing w:val="-2"/>
                <w:sz w:val="18"/>
                <w:szCs w:val="18"/>
                <w:highlight w:val="none"/>
                <w:u w:val="single"/>
                <w:lang w:val="en-US" w:eastAsia="zh-CN"/>
              </w:rPr>
              <w:t>每周四</w:t>
            </w:r>
            <w:r>
              <w:rPr>
                <w:rFonts w:hint="eastAsia" w:ascii="楷体" w:hAnsi="楷体" w:eastAsia="楷体" w:cs="宋体"/>
                <w:b/>
                <w:bCs/>
                <w:spacing w:val="-2"/>
                <w:sz w:val="18"/>
                <w:szCs w:val="18"/>
                <w:highlight w:val="none"/>
                <w:u w:val="single"/>
              </w:rPr>
              <w:t>为确认日。</w:t>
            </w:r>
            <w:r>
              <w:rPr>
                <w:rFonts w:hint="eastAsia" w:ascii="楷体" w:hAnsi="楷体" w:eastAsia="楷体" w:cs="宋体"/>
                <w:b w:val="0"/>
                <w:bCs w:val="0"/>
                <w:spacing w:val="-2"/>
                <w:sz w:val="18"/>
                <w:szCs w:val="18"/>
                <w:highlight w:val="none"/>
                <w:u w:val="none"/>
              </w:rPr>
              <w:t>开放日前设置一周的预约申购时间，一般</w:t>
            </w:r>
            <w:r>
              <w:rPr>
                <w:rFonts w:hint="eastAsia" w:ascii="楷体" w:hAnsi="楷体" w:eastAsia="楷体" w:cs="宋体"/>
                <w:b w:val="0"/>
                <w:bCs w:val="0"/>
                <w:spacing w:val="-2"/>
                <w:sz w:val="18"/>
                <w:szCs w:val="18"/>
                <w:highlight w:val="none"/>
                <w:u w:val="none"/>
                <w:lang w:val="en-US" w:eastAsia="zh-CN"/>
              </w:rPr>
              <w:t>为</w:t>
            </w:r>
            <w:r>
              <w:rPr>
                <w:rFonts w:hint="eastAsia" w:ascii="楷体" w:hAnsi="楷体" w:eastAsia="楷体" w:cs="宋体"/>
                <w:b w:val="0"/>
                <w:bCs w:val="0"/>
                <w:spacing w:val="-2"/>
                <w:sz w:val="18"/>
                <w:szCs w:val="18"/>
                <w:highlight w:val="none"/>
                <w:u w:val="none"/>
              </w:rPr>
              <w:t>每周四至下周三，具体以各销售机构设置为准。投资者在非开放日的预约申购申请行为统一视为在产品开放日提交申购申请，开放日受理的申购申请由管理人统一在</w:t>
            </w:r>
            <w:r>
              <w:rPr>
                <w:rFonts w:hint="eastAsia" w:ascii="楷体" w:hAnsi="楷体" w:eastAsia="楷体" w:cs="宋体"/>
                <w:b w:val="0"/>
                <w:bCs w:val="0"/>
                <w:spacing w:val="-2"/>
                <w:sz w:val="18"/>
                <w:szCs w:val="18"/>
                <w:highlight w:val="none"/>
                <w:u w:val="none"/>
                <w:lang w:val="en-US" w:eastAsia="zh-CN"/>
              </w:rPr>
              <w:t>确认日</w:t>
            </w:r>
            <w:r>
              <w:rPr>
                <w:rFonts w:hint="eastAsia" w:ascii="楷体" w:hAnsi="楷体" w:eastAsia="楷体" w:cs="宋体"/>
                <w:b w:val="0"/>
                <w:bCs w:val="0"/>
                <w:spacing w:val="-2"/>
                <w:sz w:val="18"/>
                <w:szCs w:val="18"/>
                <w:highlight w:val="none"/>
                <w:u w:val="none"/>
              </w:rPr>
              <w:t>予以确认。申购截止时间不晚于产品开放日17:00（以各销售机构设置的截止时间为准），开放日截止时间前客户提交的申购申请均可以申请撤单。</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若</w:t>
            </w:r>
            <w:r>
              <w:rPr>
                <w:rFonts w:hint="eastAsia" w:ascii="楷体" w:hAnsi="楷体" w:eastAsia="楷体" w:cs="宋体"/>
                <w:b/>
                <w:bCs/>
                <w:spacing w:val="-2"/>
                <w:sz w:val="18"/>
                <w:szCs w:val="18"/>
                <w:highlight w:val="none"/>
                <w:u w:val="single"/>
                <w:lang w:val="en-US" w:eastAsia="zh-CN"/>
              </w:rPr>
              <w:t>周三</w:t>
            </w:r>
            <w:r>
              <w:rPr>
                <w:rFonts w:hint="eastAsia" w:ascii="楷体" w:hAnsi="楷体" w:eastAsia="楷体" w:cs="宋体"/>
                <w:b/>
                <w:bCs/>
                <w:spacing w:val="-2"/>
                <w:sz w:val="18"/>
                <w:szCs w:val="18"/>
                <w:highlight w:val="none"/>
                <w:u w:val="single"/>
              </w:rPr>
              <w:t>或</w:t>
            </w:r>
            <w:r>
              <w:rPr>
                <w:rFonts w:hint="eastAsia" w:ascii="楷体" w:hAnsi="楷体" w:eastAsia="楷体" w:cs="宋体"/>
                <w:b/>
                <w:bCs/>
                <w:spacing w:val="-2"/>
                <w:sz w:val="18"/>
                <w:szCs w:val="18"/>
                <w:highlight w:val="none"/>
                <w:u w:val="single"/>
                <w:lang w:val="en-US" w:eastAsia="zh-CN"/>
              </w:rPr>
              <w:t>周四</w:t>
            </w:r>
            <w:r>
              <w:rPr>
                <w:rFonts w:hint="eastAsia" w:ascii="楷体" w:hAnsi="楷体" w:eastAsia="楷体" w:cs="宋体"/>
                <w:b/>
                <w:bCs/>
                <w:spacing w:val="-2"/>
                <w:sz w:val="18"/>
                <w:szCs w:val="18"/>
                <w:highlight w:val="none"/>
                <w:u w:val="single"/>
              </w:rPr>
              <w:t>为非</w:t>
            </w:r>
            <w:r>
              <w:rPr>
                <w:rFonts w:hint="eastAsia" w:ascii="楷体" w:hAnsi="楷体" w:eastAsia="楷体" w:cs="宋体"/>
                <w:b/>
                <w:bCs/>
                <w:spacing w:val="-2"/>
                <w:sz w:val="18"/>
                <w:szCs w:val="18"/>
                <w:highlight w:val="none"/>
                <w:u w:val="single"/>
                <w:lang w:val="en-US" w:eastAsia="zh-CN"/>
              </w:rPr>
              <w:t>交易</w:t>
            </w:r>
            <w:r>
              <w:rPr>
                <w:rFonts w:hint="eastAsia" w:ascii="楷体" w:hAnsi="楷体" w:eastAsia="楷体" w:cs="宋体"/>
                <w:b/>
                <w:bCs/>
                <w:spacing w:val="-2"/>
                <w:sz w:val="18"/>
                <w:szCs w:val="18"/>
                <w:highlight w:val="none"/>
                <w:u w:val="single"/>
              </w:rPr>
              <w:t>日，则开放日和确认日作相应调整，苏银理财将按说明书约定的信息披露方式予以披露，以相关披露内容为准。其他时间苏银理财不接受客户申购申请。</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b w:val="0"/>
                <w:bCs w:val="0"/>
                <w:spacing w:val="-2"/>
                <w:sz w:val="18"/>
                <w:szCs w:val="18"/>
                <w:highlight w:val="none"/>
                <w:u w:val="none"/>
              </w:rPr>
            </w:pPr>
            <w:r>
              <w:rPr>
                <w:rFonts w:hint="eastAsia" w:ascii="楷体" w:hAnsi="楷体" w:eastAsia="楷体" w:cs="宋体"/>
                <w:b/>
                <w:bCs/>
                <w:spacing w:val="-2"/>
                <w:sz w:val="18"/>
                <w:szCs w:val="18"/>
                <w:highlight w:val="none"/>
                <w:u w:val="single"/>
              </w:rPr>
              <w:t>本产品赎回采用自动赎回</w:t>
            </w:r>
            <w:r>
              <w:rPr>
                <w:rFonts w:hint="eastAsia" w:ascii="楷体" w:hAnsi="楷体" w:eastAsia="楷体" w:cs="宋体"/>
                <w:b w:val="0"/>
                <w:bCs w:val="0"/>
                <w:spacing w:val="-2"/>
                <w:sz w:val="18"/>
                <w:szCs w:val="18"/>
                <w:highlight w:val="none"/>
                <w:u w:val="none"/>
              </w:rPr>
              <w:t>，以</w:t>
            </w:r>
            <w:r>
              <w:rPr>
                <w:rFonts w:hint="eastAsia" w:ascii="楷体" w:hAnsi="楷体" w:eastAsia="楷体" w:cs="宋体"/>
                <w:b w:val="0"/>
                <w:bCs w:val="0"/>
                <w:spacing w:val="-2"/>
                <w:sz w:val="18"/>
                <w:szCs w:val="18"/>
                <w:highlight w:val="none"/>
                <w:u w:val="none"/>
                <w:lang w:val="en-US" w:eastAsia="zh-CN"/>
              </w:rPr>
              <w:t>182</w:t>
            </w:r>
            <w:r>
              <w:rPr>
                <w:rFonts w:hint="eastAsia" w:ascii="楷体" w:hAnsi="楷体" w:eastAsia="楷体" w:cs="宋体"/>
                <w:b w:val="0"/>
                <w:bCs w:val="0"/>
                <w:spacing w:val="-2"/>
                <w:sz w:val="18"/>
                <w:szCs w:val="18"/>
                <w:highlight w:val="none"/>
                <w:u w:val="none"/>
              </w:rPr>
              <w:t>天为1个投资周期，客户份额持有时间达到</w:t>
            </w:r>
            <w:r>
              <w:rPr>
                <w:rFonts w:hint="eastAsia" w:ascii="楷体" w:hAnsi="楷体" w:eastAsia="楷体" w:cs="宋体"/>
                <w:b w:val="0"/>
                <w:bCs w:val="0"/>
                <w:spacing w:val="-2"/>
                <w:sz w:val="18"/>
                <w:szCs w:val="18"/>
                <w:highlight w:val="none"/>
                <w:u w:val="none"/>
                <w:lang w:val="en-US" w:eastAsia="zh-CN"/>
              </w:rPr>
              <w:t>182</w:t>
            </w:r>
            <w:r>
              <w:rPr>
                <w:rFonts w:hint="eastAsia" w:ascii="楷体" w:hAnsi="楷体" w:eastAsia="楷体" w:cs="宋体"/>
                <w:b w:val="0"/>
                <w:bCs w:val="0"/>
                <w:spacing w:val="-2"/>
                <w:sz w:val="18"/>
                <w:szCs w:val="18"/>
                <w:highlight w:val="none"/>
                <w:u w:val="none"/>
              </w:rPr>
              <w:t>天，系统自动发起赎回。</w:t>
            </w:r>
            <w:r>
              <w:rPr>
                <w:rFonts w:hint="eastAsia" w:ascii="楷体" w:hAnsi="楷体" w:eastAsia="楷体" w:cs="宋体"/>
                <w:b/>
                <w:bCs/>
                <w:spacing w:val="-2"/>
                <w:sz w:val="18"/>
                <w:szCs w:val="18"/>
                <w:highlight w:val="none"/>
                <w:u w:val="single"/>
              </w:rPr>
              <w:t>在未按约定运作满足够天数前客户无权提前赎回份额。如份额确认日对应的</w:t>
            </w:r>
            <w:r>
              <w:rPr>
                <w:rFonts w:hint="eastAsia" w:ascii="楷体" w:hAnsi="楷体" w:eastAsia="楷体" w:cs="宋体"/>
                <w:b/>
                <w:bCs/>
                <w:spacing w:val="-2"/>
                <w:sz w:val="18"/>
                <w:szCs w:val="18"/>
                <w:highlight w:val="none"/>
                <w:u w:val="single"/>
                <w:lang w:val="en-US" w:eastAsia="zh-CN"/>
              </w:rPr>
              <w:t>182</w:t>
            </w:r>
            <w:r>
              <w:rPr>
                <w:rFonts w:hint="eastAsia" w:ascii="楷体" w:hAnsi="楷体" w:eastAsia="楷体" w:cs="宋体"/>
                <w:b/>
                <w:bCs/>
                <w:spacing w:val="-2"/>
                <w:sz w:val="18"/>
                <w:szCs w:val="18"/>
                <w:highlight w:val="none"/>
                <w:u w:val="single"/>
              </w:rPr>
              <w:t>天为非</w:t>
            </w:r>
            <w:r>
              <w:rPr>
                <w:rFonts w:hint="eastAsia" w:ascii="楷体" w:hAnsi="楷体" w:eastAsia="楷体" w:cs="宋体"/>
                <w:b/>
                <w:bCs/>
                <w:spacing w:val="-2"/>
                <w:sz w:val="18"/>
                <w:szCs w:val="18"/>
                <w:highlight w:val="none"/>
                <w:u w:val="single"/>
                <w:lang w:val="en-US" w:eastAsia="zh-CN"/>
              </w:rPr>
              <w:t>交易</w:t>
            </w:r>
            <w:r>
              <w:rPr>
                <w:rFonts w:hint="eastAsia" w:ascii="楷体" w:hAnsi="楷体" w:eastAsia="楷体" w:cs="宋体"/>
                <w:b/>
                <w:bCs/>
                <w:spacing w:val="-2"/>
                <w:sz w:val="18"/>
                <w:szCs w:val="18"/>
                <w:highlight w:val="none"/>
                <w:u w:val="single"/>
              </w:rPr>
              <w:t>日，管理人将对自动赎回日进行动态调整，以管理人的公告和系统设置为准，在此情况情形下投资周期可能会略长于或短于</w:t>
            </w:r>
            <w:r>
              <w:rPr>
                <w:rFonts w:hint="eastAsia" w:ascii="楷体" w:hAnsi="楷体" w:eastAsia="楷体" w:cs="宋体"/>
                <w:b/>
                <w:bCs/>
                <w:spacing w:val="-2"/>
                <w:sz w:val="18"/>
                <w:szCs w:val="18"/>
                <w:highlight w:val="none"/>
                <w:u w:val="single"/>
                <w:lang w:val="en-US" w:eastAsia="zh-CN"/>
              </w:rPr>
              <w:t>182</w:t>
            </w:r>
            <w:r>
              <w:rPr>
                <w:rFonts w:hint="eastAsia" w:ascii="楷体" w:hAnsi="楷体" w:eastAsia="楷体" w:cs="宋体"/>
                <w:b/>
                <w:bCs/>
                <w:spacing w:val="-2"/>
                <w:sz w:val="18"/>
                <w:szCs w:val="18"/>
                <w:highlight w:val="none"/>
                <w:u w:val="single"/>
              </w:rPr>
              <w:t>天。苏银理财将提前进行公告，客户可根据自身需要自主选择购买。</w:t>
            </w:r>
            <w:r>
              <w:rPr>
                <w:rFonts w:hint="eastAsia" w:ascii="楷体" w:hAnsi="楷体" w:eastAsia="楷体" w:cs="宋体"/>
                <w:b w:val="0"/>
                <w:bCs w:val="0"/>
                <w:spacing w:val="-2"/>
                <w:sz w:val="18"/>
                <w:szCs w:val="18"/>
                <w:highlight w:val="none"/>
                <w:u w:val="none"/>
              </w:rPr>
              <w:t>自动赎回时按实际赎回日前一</w:t>
            </w:r>
            <w:r>
              <w:rPr>
                <w:rFonts w:hint="eastAsia" w:ascii="楷体" w:hAnsi="楷体" w:eastAsia="楷体" w:cs="宋体"/>
                <w:b w:val="0"/>
                <w:bCs w:val="0"/>
                <w:spacing w:val="-2"/>
                <w:sz w:val="18"/>
                <w:szCs w:val="18"/>
                <w:highlight w:val="none"/>
                <w:u w:val="none"/>
                <w:lang w:val="en-US" w:eastAsia="zh-CN"/>
              </w:rPr>
              <w:t>交易</w:t>
            </w:r>
            <w:r>
              <w:rPr>
                <w:rFonts w:hint="eastAsia" w:ascii="楷体" w:hAnsi="楷体" w:eastAsia="楷体" w:cs="宋体"/>
                <w:b w:val="0"/>
                <w:bCs w:val="0"/>
                <w:spacing w:val="-2"/>
                <w:sz w:val="18"/>
                <w:szCs w:val="18"/>
                <w:highlight w:val="none"/>
                <w:u w:val="none"/>
              </w:rPr>
              <w:t>日产品单位净值计算客户赎回兑付金额，自动赎回不受巨额赎回限制。</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b w:val="0"/>
                <w:bCs w:val="0"/>
                <w:spacing w:val="-2"/>
                <w:sz w:val="18"/>
                <w:szCs w:val="18"/>
                <w:highlight w:val="none"/>
                <w:u w:val="none"/>
              </w:rPr>
            </w:pPr>
            <w:r>
              <w:rPr>
                <w:rFonts w:hint="eastAsia" w:ascii="楷体" w:hAnsi="楷体" w:eastAsia="楷体" w:cs="宋体"/>
                <w:b w:val="0"/>
                <w:bCs w:val="0"/>
                <w:spacing w:val="-2"/>
                <w:sz w:val="18"/>
                <w:szCs w:val="18"/>
                <w:highlight w:val="none"/>
                <w:u w:val="none"/>
              </w:rPr>
              <w:t>管理人有权根据资产运作情况、节假日安排调整开放计划。</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none"/>
              </w:rPr>
              <w:t>本产品所指</w:t>
            </w:r>
            <w:r>
              <w:rPr>
                <w:rFonts w:hint="eastAsia" w:ascii="楷体" w:hAnsi="楷体" w:eastAsia="楷体" w:cs="宋体"/>
                <w:b/>
                <w:bCs/>
                <w:spacing w:val="-2"/>
                <w:sz w:val="18"/>
                <w:szCs w:val="18"/>
                <w:highlight w:val="none"/>
                <w:u w:val="none"/>
                <w:lang w:val="en-US" w:eastAsia="zh-CN"/>
              </w:rPr>
              <w:t>交易</w:t>
            </w:r>
            <w:r>
              <w:rPr>
                <w:rFonts w:hint="eastAsia" w:ascii="楷体" w:hAnsi="楷体" w:eastAsia="楷体" w:cs="宋体"/>
                <w:b/>
                <w:bCs/>
                <w:spacing w:val="-2"/>
                <w:sz w:val="18"/>
                <w:szCs w:val="18"/>
                <w:highlight w:val="none"/>
                <w:u w:val="none"/>
              </w:rPr>
              <w:t>日为上海证券交易所、深圳证券交易所的正常</w:t>
            </w:r>
            <w:r>
              <w:rPr>
                <w:rFonts w:hint="eastAsia" w:ascii="楷体" w:hAnsi="楷体" w:eastAsia="楷体" w:cs="宋体"/>
                <w:b/>
                <w:bCs/>
                <w:spacing w:val="-2"/>
                <w:sz w:val="18"/>
                <w:szCs w:val="18"/>
                <w:highlight w:val="none"/>
                <w:u w:val="none"/>
                <w:lang w:val="en-US" w:eastAsia="zh-CN"/>
              </w:rPr>
              <w:t>开盘</w:t>
            </w:r>
            <w:r>
              <w:rPr>
                <w:rFonts w:hint="eastAsia" w:ascii="楷体" w:hAnsi="楷体" w:eastAsia="楷体" w:cs="宋体"/>
                <w:b/>
                <w:bCs/>
                <w:spacing w:val="-2"/>
                <w:sz w:val="18"/>
                <w:szCs w:val="18"/>
                <w:highlight w:val="none"/>
                <w:u w:val="none"/>
              </w:rPr>
              <w:t>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暂无</w:t>
            </w:r>
            <w:r>
              <w:rPr>
                <w:rFonts w:hint="eastAsia" w:ascii="楷体" w:hAnsi="楷体" w:eastAsia="楷体" w:cs="宋体"/>
                <w:spacing w:val="-2"/>
                <w:sz w:val="18"/>
                <w:szCs w:val="18"/>
                <w:highlight w:val="none"/>
              </w:rPr>
              <w:t>。超过购买上限时，管理人有权拒绝投资者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暂无</w:t>
            </w:r>
            <w:r>
              <w:rPr>
                <w:rFonts w:hint="eastAsia" w:ascii="楷体" w:hAnsi="楷体" w:eastAsia="楷体" w:cs="宋体"/>
                <w:spacing w:val="-2"/>
                <w:sz w:val="18"/>
                <w:szCs w:val="18"/>
                <w:highlight w:val="none"/>
              </w:rPr>
              <w:t>。超过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7937" w:type="dxa"/>
            <w:noWrap w:val="0"/>
            <w:vAlign w:val="center"/>
          </w:tcPr>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7937" w:type="dxa"/>
            <w:noWrap w:val="0"/>
            <w:vAlign w:val="center"/>
          </w:tcPr>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1.管理人</w:t>
            </w:r>
            <w:r>
              <w:rPr>
                <w:rFonts w:hint="eastAsia" w:ascii="楷体" w:hAnsi="楷体" w:eastAsia="楷体" w:cs="宋体"/>
                <w:b/>
                <w:spacing w:val="-2"/>
                <w:sz w:val="18"/>
                <w:szCs w:val="18"/>
                <w:highlight w:val="none"/>
                <w:u w:val="single"/>
              </w:rPr>
              <w:t>参考过往投资经验，依据近期</w:t>
            </w:r>
            <w:r>
              <w:rPr>
                <w:rFonts w:hint="eastAsia" w:ascii="楷体" w:hAnsi="楷体" w:eastAsia="楷体" w:cs="宋体"/>
                <w:b/>
                <w:spacing w:val="-2"/>
                <w:sz w:val="18"/>
                <w:szCs w:val="18"/>
                <w:highlight w:val="none"/>
                <w:u w:val="single"/>
                <w:lang w:val="en-US" w:eastAsia="zh-CN"/>
              </w:rPr>
              <w:t>货币市场工具、债券等</w:t>
            </w:r>
            <w:r>
              <w:rPr>
                <w:rFonts w:hint="eastAsia" w:ascii="楷体" w:hAnsi="楷体" w:eastAsia="楷体" w:cs="宋体"/>
                <w:b/>
                <w:spacing w:val="-2"/>
                <w:sz w:val="18"/>
                <w:szCs w:val="18"/>
                <w:highlight w:val="none"/>
                <w:u w:val="single"/>
              </w:rPr>
              <w:t>资产投资收益水平，在产品说明书约定的投资范围和投资比例内，综合考虑各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lang w:val="en-US" w:eastAsia="zh-CN"/>
              </w:rPr>
              <w:t>2.本产品各类份额可能因收取的销售服务费和投资管理费存在差异，业绩比较基准设置有所不同。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keepNext w:val="0"/>
              <w:keepLines w:val="0"/>
              <w:pageBreakBefore w:val="0"/>
              <w:widowControl w:val="0"/>
              <w:kinsoku/>
              <w:wordWrap/>
              <w:overflowPunct w:val="0"/>
              <w:topLinePunct w:val="0"/>
              <w:autoSpaceDE/>
              <w:autoSpaceDN/>
              <w:bidi w:val="0"/>
              <w:adjustRightInd/>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2.10%-2.90%；代发专享份额：2.15%-2.95%；E50份额：2.15%-2.95%；F份额：2.15%-2.95%；G份额：2.20%-3.00%；S份额：2.15%-2.95%；H份额：2.25%-3.05%；碳账户专享份额：2.15%-2.95%；K份额：2.30%-3.10%；J份额：2.20%-3.00%；芙蓉锦程·优选份额：2.05%-2.85%；Z份额：2.05%-2.85%；Q份额：2.05%-2.85%；JS鑫福款份额：2.10%-2.90%；芙蓉锦程·优选-尊享款份额：2.35%-3.15%；北部湾银行专属份额：2.10%-2.90%；I份额：2.05%-2.85%；鑫福款份额：2.10%-2.90%；JS鑫福优享份额：2.15%-2.95%；JS鑫福尊享份额：2.20%-3.00%；M份额：2.10%-2.90%；N份额：2.20%-3.00%；鑫福优享份额：2.15%-2.95%；鑫福尊享份额：2.20%-3.00%；SZA份额：2.50%-3.30%；C份额：2.10%-2.90%；D份额：2.15%-2.95%；安全卫士份额：2.20%-3.00%；U份额：2.15%-2.95%；V份额：2.25%-3.05%；R份额：2.30%-3.10%；T份额：2.25%-3.05%；晋升财富臻享份额：2.25%-3.05%；柳州银行私行客户专属份额：2.33%-3.13%。</w:t>
            </w:r>
          </w:p>
          <w:p>
            <w:pPr>
              <w:keepNext w:val="0"/>
              <w:keepLines w:val="0"/>
              <w:pageBreakBefore w:val="0"/>
              <w:widowControl w:val="0"/>
              <w:kinsoku/>
              <w:wordWrap/>
              <w:overflowPunct w:val="0"/>
              <w:topLinePunct w:val="0"/>
              <w:autoSpaceDE/>
              <w:autoSpaceDN/>
              <w:bidi w:val="0"/>
              <w:adjustRightInd/>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本产品费用包括托管费、销售服务费、投资管理费、超额业绩报酬（如有）以及产品运作和清算中产生的其他费用等。</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1.托管费率（年化）：</w:t>
            </w:r>
            <w:r>
              <w:rPr>
                <w:rFonts w:hint="eastAsia" w:ascii="楷体" w:hAnsi="楷体" w:eastAsia="楷体" w:cs="宋体"/>
                <w:spacing w:val="-2"/>
                <w:sz w:val="18"/>
                <w:szCs w:val="18"/>
                <w:highlight w:val="none"/>
                <w:lang w:val="en-US" w:eastAsia="zh-CN"/>
              </w:rPr>
              <w:t>0.02</w:t>
            </w:r>
            <w:r>
              <w:rPr>
                <w:rFonts w:hint="eastAsia" w:ascii="楷体" w:hAnsi="楷体" w:eastAsia="楷体" w:cs="宋体"/>
                <w:spacing w:val="-2"/>
                <w:sz w:val="18"/>
                <w:szCs w:val="18"/>
                <w:highlight w:val="none"/>
              </w:rPr>
              <w:t>%。</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2.销售服务费率（年化）：芙蓉锦程·优选</w:t>
            </w:r>
            <w:r>
              <w:rPr>
                <w:rFonts w:hint="eastAsia" w:ascii="楷体" w:hAnsi="楷体" w:eastAsia="楷体" w:cs="宋体"/>
                <w:spacing w:val="-2"/>
                <w:sz w:val="18"/>
                <w:szCs w:val="18"/>
                <w:highlight w:val="none"/>
                <w:lang w:val="en-US" w:eastAsia="zh-CN"/>
              </w:rPr>
              <w:t>/Z/Q/</w:t>
            </w:r>
            <w:r>
              <w:rPr>
                <w:rFonts w:hint="eastAsia" w:ascii="楷体" w:hAnsi="楷体" w:eastAsia="楷体" w:cs="宋体"/>
                <w:spacing w:val="-2"/>
                <w:sz w:val="18"/>
                <w:szCs w:val="18"/>
                <w:highlight w:val="none"/>
              </w:rPr>
              <w:t>芙蓉锦程·优选</w:t>
            </w:r>
            <w:r>
              <w:rPr>
                <w:rFonts w:hint="eastAsia" w:ascii="楷体" w:hAnsi="楷体" w:eastAsia="楷体" w:cs="宋体"/>
                <w:spacing w:val="-2"/>
                <w:sz w:val="18"/>
                <w:szCs w:val="18"/>
                <w:highlight w:val="none"/>
                <w:lang w:val="en-US" w:eastAsia="zh-CN"/>
              </w:rPr>
              <w:t>-尊享款/北部湾银行专属/I/C份额：0.30%，A/代发专享/E50/F/G/S/H/碳账户专享/K/J/JS鑫福款/鑫福款/JS鑫福优享/JS鑫福尊享/M/N/鑫福优享/鑫福尊享/SZA/D/安全卫士/U/V/R/T/晋升财富臻享/柳州银行私行客户专属份额：</w:t>
            </w:r>
            <w:r>
              <w:rPr>
                <w:rFonts w:hint="eastAsia" w:ascii="楷体" w:hAnsi="楷体" w:eastAsia="楷体" w:cs="宋体"/>
                <w:spacing w:val="-2"/>
                <w:sz w:val="18"/>
                <w:szCs w:val="18"/>
                <w:highlight w:val="none"/>
              </w:rPr>
              <w:t>0.20%</w:t>
            </w:r>
            <w:r>
              <w:rPr>
                <w:rFonts w:hint="eastAsia" w:ascii="楷体" w:hAnsi="楷体" w:eastAsia="楷体" w:cs="宋体"/>
                <w:spacing w:val="-2"/>
                <w:sz w:val="18"/>
                <w:szCs w:val="18"/>
                <w:highlight w:val="none"/>
                <w:lang w:val="en-US" w:eastAsia="zh-CN"/>
              </w:rPr>
              <w:t>。</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rPr>
              <w:t>3.投资管理费率（年化）：</w:t>
            </w:r>
            <w:r>
              <w:rPr>
                <w:rFonts w:hint="eastAsia" w:ascii="楷体" w:hAnsi="楷体" w:eastAsia="楷体" w:cs="宋体"/>
                <w:spacing w:val="-2"/>
                <w:sz w:val="18"/>
                <w:szCs w:val="18"/>
                <w:highlight w:val="none"/>
                <w:lang w:val="en-US" w:eastAsia="zh-CN"/>
              </w:rPr>
              <w:t>0.50%</w:t>
            </w:r>
            <w:r>
              <w:rPr>
                <w:rFonts w:hint="eastAsia" w:ascii="楷体" w:hAnsi="楷体" w:eastAsia="楷体" w:cs="宋体"/>
                <w:spacing w:val="-2"/>
                <w:sz w:val="18"/>
                <w:szCs w:val="18"/>
                <w:highlight w:val="none"/>
                <w:lang w:eastAsia="zh-CN"/>
              </w:rPr>
              <w:t>。</w:t>
            </w:r>
          </w:p>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如有）</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val="en-US" w:eastAsia="zh-CN"/>
              </w:rPr>
              <w:t>管理人按投资周期收取超额业绩报酬，若各份额单一投资周期的产品实际投资收益在扣除托管费、销售服务费、投资管理费以及运作产品所必须缴纳的税费后超过各份额业绩比较基准下限，产品管理人将按照超出部分的50%收取超额业绩报酬。</w:t>
            </w:r>
          </w:p>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pStyle w:val="32"/>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收益分配</w:t>
            </w:r>
          </w:p>
        </w:tc>
        <w:tc>
          <w:tcPr>
            <w:tcW w:w="7937" w:type="dxa"/>
            <w:noWrap w:val="0"/>
            <w:vAlign w:val="center"/>
          </w:tcPr>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税款</w:t>
            </w:r>
          </w:p>
        </w:tc>
        <w:tc>
          <w:tcPr>
            <w:tcW w:w="7937" w:type="dxa"/>
            <w:noWrap w:val="0"/>
            <w:vAlign w:val="center"/>
          </w:tcPr>
          <w:p>
            <w:pPr>
              <w:keepNext w:val="0"/>
              <w:keepLines w:val="0"/>
              <w:pageBreakBefore w:val="0"/>
              <w:widowControl w:val="0"/>
              <w:kinsoku/>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val="0"/>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产品管理人</w:t>
      </w:r>
    </w:p>
    <w:p>
      <w:pPr>
        <w:keepNext w:val="0"/>
        <w:keepLines w:val="0"/>
        <w:pageBreakBefore w:val="0"/>
        <w:numPr>
          <w:ilvl w:val="0"/>
          <w:numId w:val="0"/>
        </w:numPr>
        <w:kinsoku/>
        <w:wordWrap/>
        <w:overflowPunct w:val="0"/>
        <w:topLinePunct w:val="0"/>
        <w:autoSpaceDE/>
        <w:autoSpaceDN/>
        <w:bidi w:val="0"/>
        <w:ind w:left="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keepNext w:val="0"/>
        <w:keepLines w:val="0"/>
        <w:pageBreakBefore w:val="0"/>
        <w:numPr>
          <w:ilvl w:val="0"/>
          <w:numId w:val="0"/>
        </w:numPr>
        <w:kinsoku/>
        <w:wordWrap/>
        <w:overflowPunct w:val="0"/>
        <w:topLinePunct w:val="0"/>
        <w:autoSpaceDE/>
        <w:autoSpaceDN/>
        <w:bidi w:val="0"/>
        <w:ind w:left="0" w:firstLine="420" w:firstLineChars="200"/>
        <w:textAlignment w:val="auto"/>
        <w:rPr>
          <w:rFonts w:hint="eastAsia"/>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keepNext w:val="0"/>
        <w:keepLines w:val="0"/>
        <w:pageBreakBefore w:val="0"/>
        <w:widowControl w:val="0"/>
        <w:numPr>
          <w:ilvl w:val="0"/>
          <w:numId w:val="2"/>
        </w:numPr>
        <w:tabs>
          <w:tab w:val="left" w:pos="1134"/>
          <w:tab w:val="clear" w:pos="0"/>
        </w:tabs>
        <w:kinsoku/>
        <w:wordWrap/>
        <w:overflowPunct w:val="0"/>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产品托管人</w:t>
      </w:r>
    </w:p>
    <w:p>
      <w:pPr>
        <w:keepNext w:val="0"/>
        <w:keepLines w:val="0"/>
        <w:pageBreakBefore w:val="0"/>
        <w:numPr>
          <w:ilvl w:val="0"/>
          <w:numId w:val="0"/>
        </w:numPr>
        <w:kinsoku/>
        <w:wordWrap/>
        <w:overflowPunct w:val="0"/>
        <w:topLinePunct w:val="0"/>
        <w:autoSpaceDE/>
        <w:autoSpaceDN/>
        <w:bidi w:val="0"/>
        <w:ind w:firstLine="420" w:firstLineChars="200"/>
        <w:textAlignment w:val="auto"/>
        <w:rPr>
          <w:rFonts w:hint="eastAsia"/>
          <w:highlight w:val="none"/>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highlight w:val="none"/>
          <w:u w:val="single"/>
          <w:lang w:eastAsia="zh-CN"/>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tabs>
          <w:tab w:val="left" w:pos="1134"/>
          <w:tab w:val="clear" w:pos="0"/>
        </w:tabs>
        <w:kinsoku/>
        <w:wordWrap/>
        <w:overflowPunct w:val="0"/>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销售机构</w:t>
      </w:r>
    </w:p>
    <w:p>
      <w:pPr>
        <w:keepNext w:val="0"/>
        <w:keepLines w:val="0"/>
        <w:pageBreakBefore w:val="0"/>
        <w:numPr>
          <w:ilvl w:val="0"/>
          <w:numId w:val="0"/>
        </w:numPr>
        <w:tabs>
          <w:tab w:val="left" w:pos="1134"/>
        </w:tabs>
        <w:kinsoku/>
        <w:wordWrap/>
        <w:overflowPunct w:val="0"/>
        <w:topLinePunct w:val="0"/>
        <w:autoSpaceDE/>
        <w:autoSpaceDN/>
        <w:bidi w:val="0"/>
        <w:ind w:left="0" w:leftChars="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w:t>
      </w:r>
      <w:r>
        <w:rPr>
          <w:rFonts w:hint="eastAsia" w:ascii="楷体" w:hAnsi="楷体" w:eastAsia="楷体"/>
          <w:b w:val="0"/>
          <w:bCs w:val="0"/>
          <w:sz w:val="21"/>
          <w:szCs w:val="21"/>
          <w:highlight w:val="none"/>
          <w:u w:val="none"/>
          <w:lang w:eastAsia="zh-CN"/>
        </w:rPr>
        <w:t>投资和兑付责任</w:t>
      </w:r>
      <w:r>
        <w:rPr>
          <w:rFonts w:hint="eastAsia" w:ascii="楷体" w:hAnsi="楷体" w:eastAsia="楷体"/>
          <w:b w:val="0"/>
          <w:bCs w:val="0"/>
          <w:sz w:val="21"/>
          <w:szCs w:val="21"/>
          <w:highlight w:val="none"/>
          <w:u w:val="none"/>
        </w:rPr>
        <w:t>，产品的</w:t>
      </w:r>
      <w:r>
        <w:rPr>
          <w:rFonts w:hint="eastAsia" w:ascii="楷体" w:hAnsi="楷体" w:eastAsia="楷体"/>
          <w:b w:val="0"/>
          <w:bCs w:val="0"/>
          <w:sz w:val="21"/>
          <w:szCs w:val="21"/>
          <w:highlight w:val="none"/>
          <w:u w:val="none"/>
          <w:lang w:eastAsia="zh-CN"/>
        </w:rPr>
        <w:t>投资和兑付责任</w:t>
      </w:r>
      <w:r>
        <w:rPr>
          <w:rFonts w:hint="eastAsia" w:ascii="楷体" w:hAnsi="楷体" w:eastAsia="楷体"/>
          <w:b w:val="0"/>
          <w:bCs w:val="0"/>
          <w:sz w:val="21"/>
          <w:szCs w:val="21"/>
          <w:highlight w:val="none"/>
          <w:u w:val="none"/>
        </w:rPr>
        <w:t>由管理人承担。</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银行股份有限公司/江苏灌云农村商业银行股份有限公司/江苏泰兴农村商业银行股份有限公司/江苏扬州农村商业银行股份有限公司/江苏仪征农村商业银行股份有限公司/江苏新沂农村商业银行股份有限公司/江苏赣榆农村商业银行股份有限公司/江苏张家港农村商业银行股份有限公司/江苏民丰农村商业银行股份有限公司/江苏沛县农村商业银行股份有限公司/江苏溧水农村商业银行股份有限公司/江苏扬中农村商业银行股份有限公司/苏银理财有限责任公司/江苏句容农村商业银行股份有限公司/江苏高淳农村商业银行股份有限公司/江苏海门农村商业银行股份有限公司/江苏靖江农村商业银行股份有限公司/江苏紫金农村商业银行股份有限公司/江苏洪泽农村商业银行股份有限公司/江苏丹阳农村商业银行股份有限公司/江苏淮安农村商业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代发专享份额：江苏靖江农村商业银行股份有限公司/江苏银行股份有限公司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E50份额：苏银理财有限责任公司/江苏银行股份有限公司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F份额：苏银理财有限责任公司/江苏银行股份有限公司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G份额：苏银理财有限责任公司/江苏银行股份有限公司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S份额：甘肃银行股份有限公司/浙江海宁农村商业银行股份有限公司/宁夏银行股份有限公司/西安银行股份有限公司/上海银行股份有限公司/浙江富阳农村商业银行股份有限公司/浙江瑞安农村商业银行股份有限公司/郑州银行股份有限公司/厦门银行股份有限公司/汉口银行股份有限公司/江苏靖江农村商业银行股份有限公司/浙江德清农村商业银行股份有限公司/浙江嵊州农村商业银行股份有限公司/浙江平湖农村商业银行股份有限公司/齐鲁银行股份有限公司/浙江临海农村商业银行股份有限公司/深圳农村商业银行股份有限公司/浙江义乌农村商业银行股份有限公司/江苏昆山农村商业银行股份有限公司/晋商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H份额：上海银行股份有限公司/汉口银行股份有限公司/郑州银行股份有限公司/苏银理财有限责任公司/厦门银行股份有限公司/深圳农村商业银行股份有限公司/河北银行股份有限公司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碳账户专享份额：江苏银行股份有限公司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K份额：苏银理财有限责任公司/江苏银行股份有限公司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J份额：汉口银行股份有限公司/浙江龙泉农村商业银行股份有限公司/郑州银行股份有限公司/甘肃银行股份有限公司/浙江开化农村商业银行股份有限公司/台州银行股份有限公司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浙江兰溪农村商业银行股份有限公司/浙江嘉善农村商业银行股份有限公司/浙江桐乡农村商业银行股份有限公司/浙江海宁农村商业银行股份有限公司/宁波慈溪农村商业银行股份有限公司/浙江南浔农村商业银行股份有限公司/浙江仙居农村商业银行股份有限公司/浙江温州龙湾农村商业银行股份有限公司/浙江桐庐农村商业银行股份有限公司/宁波甬城农村商业银行股份有限公司/浙江岱山农村商业银行股份有限公司/浙江永康农村商业银行股份有限公司/浙江瑞安农村商业银行股份有限公司/浙江温州鹿城农村商业银行股份有限公司/浙江遂昌农村商业银行股份有限公司/浙江台州路桥农村商业银行股份有限公司/浙江天台农村商业银行股份有限公司/浙江民泰商业银行股份有限公司/宁波北仑农村商业银行股份有限公司/湖州吴兴农村商业银行股份有限公司/宁波宁海农村商业银行股份有限公司/浙江龙泉农村商业银行股份有限公司/浙江江山农村商业银行股份有限公司/浙江嵊州农村商业银行股份有限公司/浙江临海农村商业银行股份有限公司/浙江衢州衢江农村商业银行股份有限公司/浙江上虞农村商业银行股份有限公司/宁波镇海农村商业银行股份有限公司/浙江龙游农村商业银行股份有限公司/浙江台州黄岩农村商业银行股份有限公司/浙江安吉农村商业银行股份有限公司/浙江乐清农村商业银行股份有限公司/浙江禾城农村商业银行股份有限公司/宁波余姚农村商业银行股份有限公司/江苏昆山农村商业银行股份有限公司/浙江温岭农村商业银行股份有限公司/浙江萧山农村商业银行股份有限公司/浙江衢州柯城农村商业银行股份有限公司/浙江绍兴瑞丰农村商业银行股份有限公司/浙江浦江农村商业银行股份有限公司/浙江义乌农村商业银行股份有限公司/兰州银行股份有限公司/浙江永嘉农村商业银行股份有限公司/浙江松阳农村商业银行股份有限公司/齐鲁银行股份有限公司</w:t>
      </w:r>
      <w:bookmarkStart w:id="0" w:name="_GoBack"/>
      <w:bookmarkEnd w:id="0"/>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Q份额：广东南粤银行股份有限公司/深圳农村商业银行股份有限公司/广州农村商业银行股份有限公司/江门农村商业银行股份有限公司/齐鲁银行股份有限公司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鑫福款份额：江苏灌云农村商业银行股份有限公司/江苏灌南农村商业银行股份有限公司/江苏洪泽农村商业银行股份有限公司/江苏建湖农村商业银行股份有限公司/江苏句容农村商业银行股份有限公司/江苏赣榆农村商业银行股份有限公司/江苏启东农村商业银行股份有限公司/江苏江都农村商业银行股份有限公司/江苏海安农村商业银行股份有限公司/江苏滨海农村商业银行股份有限公司/江苏泗阳农村商业银行股份有限公司/江苏宜兴农村商业银行股份有限公司/江苏金湖农村商业银行股份有限公司/江苏高邮农村商业银行股份有限公司/江苏射阳农村商业银行股份有限公司/江苏宝应农村商业银行股份有限公司/苏银理财有限责任公司/江苏镇江农村商业银行股份有限公司/江苏靖江农村商业银行股份有限公司/连云港东方农村商业银行股份有限公司/江苏姜堰农村商业银行股份有限公司/江苏沛县农村商业银行股份有限公司/江苏丰县农村商业银行股份有限公司/江苏泰兴农村商业银行股份有限公司/江苏紫金农村商业银行股份有限公司/江苏仪征农村商业银行股份有限公司/江苏扬中农村商业银行股份有限公司/江苏盐城农村商业银行股份有限公司/徐州农村商业银行股份有限公司/江苏兴化农村商业银行股份有限公司/江苏新沂农村商业银行股份有限公司/江苏沭阳农村商业银行股份有限公司/江苏邳州农村商业银行股份有限公司/江苏南通农村商业银行股份有限公司/江苏溧水农村商业银行股份有限公司/江苏阜宁农村商业银行股份有限公司/江苏东台农村商业银行股份有限公司/江苏东海农村商业银行股份有限公司/江苏丹阳农村商业银行股份有限公司/江苏大丰农村商业银行股份有限公司/江苏张家港农村商业银行股份有限公司/江苏涟水农村商业银行股份有限公司/江苏扬州农村商业银行股份有限公司/江苏睢宁农村商业银行股份有限公司/江苏如皋农村商业银行股份有限公司/江苏高淳农村商业银行股份有限公司/江苏盱眙农村商业银行股份有限公司/江苏海门农村商业银行股份有限公司/江苏响水农村商业银行股份有限公司/江苏淮安农村商业银行股份有限公司/江苏民丰农村商业银行股份有限公司/江苏如东农村商业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芙蓉锦程·优选-尊享款份额：成都银行股份有限公司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北部湾银行专属份额：广西北部湾银行股份有限公司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I份额：台州银行股份有限公司/中山农村商业银行股份有限公司/江苏常熟农村商业银行股份有限公司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鑫福款份额：苏银理财有限责任公司/江苏昆山农村商业银行股份有限公司/江苏江南农村商业银行股份有限公司/江苏常熟农村商业银行股份有限公司/江苏太仓农村商业银行股份有限公司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鑫福优享份额：江苏金湖农村商业银行股份有限公司/江苏姜堰农村商业银行股份有限公司/江苏高淳农村商业银行股份有限公司/江苏张家港农村商业银行股份有限公司/苏银理财有限责任公司/江苏海门农村商业银行股份有限公司/江苏沛县农村商业银行股份有限公司/江苏丰县农村商业银行股份有限公司/江苏泰兴农村商业银行股份有限公司/江苏涟水农村商业银行股份有限公司/江苏仪征农村商业银行股份有限公司/江苏扬中农村商业银行股份有限公司/江苏盐城农村商业银行股份有限公司/徐州农村商业银行股份有限公司/江苏兴化农村商业银行股份有限公司/江苏新沂农村商业银行股份有限公司/江苏沭阳农村商业银行股份有限公司/江苏邳州农村商业银行股份有限公司/江苏南通农村商业银行股份有限公司/江苏溧水农村商业银行股份有限公司/江苏江都农村商业银行股份有限公司/江苏海安农村商业银行股份有限公司/江苏灌云农村商业银行股份有限公司/江苏高邮农村商业银行股份有限公司/江苏射阳农村商业银行股份有限公司/江苏宝应农村商业银行股份有限公司/江苏灌南农村商业银行股份有限公司/江苏赣榆农村商业银行股份有限公司/江苏阜宁农村商业银行股份有限公司/江苏东台农村商业银行股份有限公司/江苏东海农村商业银行股份有限公司/江苏丹阳农村商业银行股份有限公司/江苏大丰农村商业银行股份有限公司/江苏句容农村商业银行股份有限公司/江苏建湖农村商业银行股份有限公司/江苏镇江农村商业银行股份有限公司/江苏泗阳农村商业银行股份有限公司/江苏靖江农村商业银行股份有限公司/江苏紫金农村商业银行股份有限公司/连云港东方农村商业银行股份有限公司/江苏睢宁农村商业银行股份有限公司/江苏如东农村商业银行股份有限公司/江苏扬州农村商业银行股份有限公司/江苏盱眙农村商业银行股份有限公司/江苏淮安农村商业银行股份有限公司/江苏民丰农村商业银行股份有限公司/江苏洪泽农村商业银行股份有限公司/江苏如皋农村商业银行股份有限公司/江苏响水农村商业银行股份有限公司/江苏滨海农村商业银行股份有限公司/江苏启东农村商业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鑫福尊享份额：江苏阜宁农村商业银行股份有限公司/江苏滨海农村商业银行股份有限公司/江苏海门农村商业银行股份有限公司/江苏沛县农村商业银行股份有限公司/江苏丰县农村商业银行股份有限公司/江苏泰兴农村商业银行股份有限公司/江苏涟水农村商业银行股份有限公司/江苏仪征农村商业银行股份有限公司/江苏扬中农村商业银行股份有限公司/江苏盐城农村商业银行股份有限公司/徐州农村商业银行股份有限公司/江苏兴化农村商业银行股份有限公司/江苏新沂农村商业银行股份有限公司/江苏沭阳农村商业银行股份有限公司/江苏邳州农村商业银行股份有限公司/江苏南通农村商业银行股份有限公司/江苏溧水农村商业银行股份有限公司/江苏江都农村商业银行股份有限公司/江苏海安农村商业银行股份有限公司/江苏高淳农村商业银行股份有限公司/江苏张家港农村商业银行股份有限公司/苏银理财有限责任公司/江苏灌云农村商业银行股份有限公司/江苏灌南农村商业银行股份有限公司/江苏赣榆农村商业银行股份有限公司/江苏启东农村商业银行股份有限公司/江苏东台农村商业银行股份有限公司/江苏东海农村商业银行股份有限公司/江苏丹阳农村商业银行股份有限公司/江苏大丰农村商业银行股份有限公司/江苏句容农村商业银行股份有限公司/江苏建湖农村商业银行股份有限公司/江苏镇江农村商业银行股份有限公司/江苏泗阳农村商业银行股份有限公司/江苏靖江农村商业银行股份有限公司/江苏紫金农村商业银行股份有限公司/连云港东方农村商业银行股份有限公司/江苏睢宁农村商业银行股份有限公司/江苏如东农村商业银行股份有限公司/江苏扬州农村商业银行股份有限公司/江苏盱眙农村商业银行股份有限公司/江苏淮安农村商业银行股份有限公司/江苏民丰农村商业银行股份有限公司/江苏洪泽农村商业银行股份有限公司/江苏金湖农村商业银行股份有限公司/江苏姜堰农村商业银行股份有限公司/江苏如皋农村商业银行股份有限公司/江苏高邮农村商业银行股份有限公司/江苏射阳农村商业银行股份有限公司/江苏宝应农村商业银行股份有限公司/江苏响水农村商业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M份额：上海银行股份有限公司/兰州银行股份有限公司/新疆银行股份有限公司/郑州银行股份有限公司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N份额：上海银行股份有限公司/柳州银行股份有限公司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鑫福优享份额：江苏昆山农村商业银行股份有限公司/江苏江南农村商业银行股份有限公司/江苏常熟农村商业银行股份有限公司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鑫福尊享份额：江苏江南农村商业银行股份有限公司/江苏昆山农村商业银行股份有限公司/江苏常熟农村商业银行股份有限公司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SZA份额：江苏银行股份有限公司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C份额：东莞农村商业银行股份有限公司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D份额：深圳农村商业银行股份有限公司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安全卫士份额：江苏银行股份有限公司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U份额：兰州银行股份有限公司/四川天府银行股份有限公司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V份额：柳州银行股份有限公司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R份额：河北银行股份有限公司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T份额：河北银行股份有限公司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晋升财富臻享份额：晋商银行股份有限公司</w:t>
      </w:r>
    </w:p>
    <w:p>
      <w:pPr>
        <w:keepNext w:val="0"/>
        <w:keepLines w:val="0"/>
        <w:pageBreakBefore w:val="0"/>
        <w:numPr>
          <w:ilvl w:val="0"/>
          <w:numId w:val="0"/>
        </w:numPr>
        <w:tabs>
          <w:tab w:val="left" w:pos="993"/>
        </w:tabs>
        <w:kinsoku/>
        <w:wordWrap/>
        <w:overflowPunct w:val="0"/>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柳州银行私行客户专属份额：柳州银行股份有限公司</w:t>
      </w:r>
    </w:p>
    <w:p>
      <w:pPr>
        <w:keepNext w:val="0"/>
        <w:keepLines w:val="0"/>
        <w:pageBreakBefore w:val="0"/>
        <w:widowControl w:val="0"/>
        <w:numPr>
          <w:ilvl w:val="0"/>
          <w:numId w:val="2"/>
        </w:numPr>
        <w:tabs>
          <w:tab w:val="left" w:pos="1134"/>
          <w:tab w:val="clear" w:pos="0"/>
        </w:tabs>
        <w:kinsoku/>
        <w:wordWrap/>
        <w:overflowPunct w:val="0"/>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名词释义</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r>
        <w:rPr>
          <w:rFonts w:hint="eastAsia" w:ascii="楷体" w:hAnsi="楷体" w:eastAsia="楷体" w:cs="Calibri"/>
          <w:sz w:val="21"/>
          <w:szCs w:val="21"/>
          <w:highlight w:val="none"/>
          <w:lang w:eastAsia="zh-CN"/>
        </w:rPr>
        <w:t>。</w:t>
      </w:r>
    </w:p>
    <w:p>
      <w:pPr>
        <w:keepNext w:val="0"/>
        <w:keepLines w:val="0"/>
        <w:pageBreakBefore w:val="0"/>
        <w:widowControl w:val="0"/>
        <w:numPr>
          <w:ilvl w:val="0"/>
          <w:numId w:val="4"/>
        </w:numPr>
        <w:tabs>
          <w:tab w:val="left" w:pos="851"/>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交易日：</w:t>
      </w:r>
      <w:r>
        <w:rPr>
          <w:rFonts w:ascii="楷体" w:hAnsi="楷体" w:eastAsia="楷体" w:cs="Calibri"/>
          <w:color w:val="auto"/>
          <w:sz w:val="21"/>
          <w:szCs w:val="21"/>
          <w:highlight w:val="none"/>
        </w:rPr>
        <w:t>指上海证券交易所和深圳证券交易所的正常开盘交易日</w:t>
      </w:r>
      <w:r>
        <w:rPr>
          <w:rFonts w:hint="eastAsia" w:ascii="楷体" w:hAnsi="楷体" w:eastAsia="楷体" w:cs="Calibri"/>
          <w:color w:val="auto"/>
          <w:sz w:val="21"/>
          <w:szCs w:val="21"/>
          <w:highlight w:val="none"/>
        </w:rPr>
        <w:t>。</w:t>
      </w:r>
    </w:p>
    <w:p>
      <w:pPr>
        <w:keepNext w:val="0"/>
        <w:keepLines w:val="0"/>
        <w:pageBreakBefore w:val="0"/>
        <w:widowControl w:val="0"/>
        <w:numPr>
          <w:ilvl w:val="0"/>
          <w:numId w:val="5"/>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份额登记日/份额确认日：指管理人对投资者提交的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p>
    <w:p>
      <w:pPr>
        <w:keepNext w:val="0"/>
        <w:keepLines w:val="0"/>
        <w:pageBreakBefore w:val="0"/>
        <w:widowControl w:val="0"/>
        <w:numPr>
          <w:ilvl w:val="0"/>
          <w:numId w:val="5"/>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val="0"/>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投资管理</w:t>
      </w:r>
    </w:p>
    <w:p>
      <w:pPr>
        <w:keepNext w:val="0"/>
        <w:keepLines w:val="0"/>
        <w:pageBreakBefore w:val="0"/>
        <w:widowControl w:val="0"/>
        <w:numPr>
          <w:ilvl w:val="0"/>
          <w:numId w:val="6"/>
        </w:numPr>
        <w:tabs>
          <w:tab w:val="left" w:pos="993"/>
          <w:tab w:val="clear" w:pos="0"/>
        </w:tabs>
        <w:kinsoku/>
        <w:wordWrap/>
        <w:overflowPunct w:val="0"/>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投资范围和比例</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范围和投资比例：本理财产品直接或间接投资于现金、银行存款、债券回购、中央银行票据、同业存单、拆借、货币市场基金、债券、在银行间市场和证券交易所市场发行的资产支持证券和监管机构允许投资的其他资产。具体投资比例为：固定收益类资产占产品资产总值比例不低于80%，其他符合监管要求的资产占产品资产总值比例不高于20%。</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keepNext w:val="0"/>
        <w:keepLines w:val="0"/>
        <w:pageBreakBefore w:val="0"/>
        <w:widowControl w:val="0"/>
        <w:numPr>
          <w:ilvl w:val="0"/>
          <w:numId w:val="6"/>
        </w:numPr>
        <w:tabs>
          <w:tab w:val="left" w:pos="993"/>
          <w:tab w:val="clear" w:pos="0"/>
        </w:tabs>
        <w:kinsoku/>
        <w:wordWrap/>
        <w:overflowPunct w:val="0"/>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keepNext w:val="0"/>
        <w:keepLines w:val="0"/>
        <w:pageBreakBefore w:val="0"/>
        <w:numPr>
          <w:ilvl w:val="0"/>
          <w:numId w:val="0"/>
        </w:numPr>
        <w:kinsoku/>
        <w:wordWrap/>
        <w:overflowPunct w:val="0"/>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苏豪弘业期货股份有限公司：苏豪弘业期货股份有限公司成立于1995年，隶属于江苏省国资委全资拥有的国有企业江苏省苏豪控股集团有限公司。公司经营范围涵盖商品期货经纪、金融期货经纪、期货投资咨询、资产管理、基金销售业务。</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江苏省国际信托有限责任公司：江苏省国际信托有限责任公司是经江苏省人民政府和中国银行业监督管理委员会批准设立的非银行金融机构，是江苏省国信集团的主要成员企业之一，专业从事金融信托业务。</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创金合信基金管理有限公司：创金合信基金管理有限公司成立于2014年7月9日，由第一创业证券股份有限公司、深圳市金合信投资合伙企业（有限合伙）共同发起设立，注册地为深圳。</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大家资产管理有限责任公司：大家资产管理有限责任公司，简称“大家资产”，公司2022年年末资产管理总规模10,337亿元，位居保险资管行业前10。大家资产是大家保险集团旗下专业资产管理公司。公司于2011年5月经原中国保险监督管理委员会批准正式设立，注册资本6亿元人民币。</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永诚保险资产管理有限公司：永诚保险资产管理有限公司（简称“永诚资产”）是由永诚财产保险股份有限公司全资发起组建的保险资产管理公司，公司注册于浙江省宁波市，注册资本金为人民币3亿元。</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陆家嘴国际信托有限公司：陆家嘴国际信托有限公司（简称陆家嘴信托或公司）是上海陆家嘴金融发展有限公司控股的信托机构，注册资本为104亿元。公司注册地为青岛，在部分城市设立业务团队。</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长城财富保险资产管理股份有限公司：长城财富保险资产管理股份有限公司（简称长城财富或公司）于2015年3月18日正式开业，是原中国保监会核准的第十九家保险资产管理公司，公司的主要股东为长城人寿保险股份有限公司、北京金融街投资（集团）有限公司等，注册资本为2亿元人民币，注册地深圳。</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安联保险资产管理有限公司：安联保险资产管理有限公司（简称安联资管或公司）于2021年7月27日获得中国银行保险监督管理委员会的开业批复，成为中国获批开业的外资独资保险资产管理公司，注册资本为五亿元人民币，注册地北京。</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lang w:eastAsia="zh-CN"/>
        </w:rPr>
      </w:pPr>
      <w:r>
        <w:rPr>
          <w:rFonts w:hint="eastAsia" w:ascii="楷体" w:hAnsi="楷体" w:eastAsia="楷体"/>
          <w:sz w:val="21"/>
          <w:szCs w:val="21"/>
          <w:highlight w:val="none"/>
          <w:lang w:eastAsia="zh-CN"/>
        </w:rPr>
        <w:t>国投泰康信托有限公司：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鑫证券有限责任公司：华鑫证券有限责任公司于2001年3月成立，注册资本36亿元。公司秉承“以人为本、客户至上、专业专注、创造价值”的核心价值观，以金融科技引领业务发展作为核心战略，致力于为客户提供交易、投融资、财富管理等高品质的服务和产品。</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新华资产管理股份有限公司：新华资产管理股份有限公司成立于2006年5月，是国内首批专业保险资产管理机构，前身为新华人寿保险股份有限公司投资管理中心，控股股东为新华人寿保险股份有限公司。2014年2月，经中国保险监督管理委员会批准，注册资本由1亿元增加至5亿元人民币。</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中国人保资产管理有限公司：中国人保资产管理有限公司成立于2003年7月16日，是经国务院同意、原中国保监会批准设立的境内第一家保险资产管理公司，由中国人民保险集团股份有限公司发起。</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太平洋资产管理有限责任公司：太平洋资产管理有限责任公司（以下简称“太保资产”）于2006年6月经中国保监会批准成立，由中国太平洋保险（集团）股份有限公司控股，注册资本21亿元。</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光大永明资产管理股份有限公司：光大永明资产管理股份有限公司(以下简称“光大永明资产”)于2012年4月11日在北京正式开业,是原中国保监会核准的第十二家保险资产管理公司，目前注册资本金为5亿元人民币。</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紫金信托有限责任公司：紫金信托是江苏省第4家信托公司,其前身是南京市信托投资公司,2010年2月经银监会批准,以南京资金投资控股公司为主导,引入日本住友信托银行、三胞集团、南京高新技术经济开发总公司和江苏金智科技股份有限公司等四家战略投资者重组而成。2010年10月经银监会批准更名为紫金信托有限责任公司。</w:t>
      </w:r>
    </w:p>
    <w:p>
      <w:pPr>
        <w:keepNext w:val="0"/>
        <w:keepLines w:val="0"/>
        <w:pageBreakBefore w:val="0"/>
        <w:widowControl w:val="0"/>
        <w:numPr>
          <w:ilvl w:val="0"/>
          <w:numId w:val="7"/>
        </w:numPr>
        <w:tabs>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云南国际信托有限公司：云南国际信托有限公司，简称“云南信托”，成立于1997年09月03日，目前注册资本22亿元，股东为云南省国有金融资本控股集团有限公司、涌金实业(集团)有限公司、上海纳米创业投资有限公司，持股比例分别为25%、24.5%、23%。经营范围包括资金信托、动产信托、不动产信托、有价证券信托、其他财产和财产权信托等。</w:t>
      </w:r>
    </w:p>
    <w:p>
      <w:pPr>
        <w:keepNext w:val="0"/>
        <w:keepLines w:val="0"/>
        <w:pageBreakBefore w:val="0"/>
        <w:widowControl w:val="0"/>
        <w:numPr>
          <w:ilvl w:val="0"/>
          <w:numId w:val="6"/>
        </w:numPr>
        <w:tabs>
          <w:tab w:val="left" w:pos="993"/>
          <w:tab w:val="clear" w:pos="0"/>
        </w:tabs>
        <w:kinsoku/>
        <w:wordWrap/>
        <w:overflowPunct w:val="0"/>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投资限制</w:t>
      </w:r>
    </w:p>
    <w:p>
      <w:pPr>
        <w:keepNext w:val="0"/>
        <w:keepLines w:val="0"/>
        <w:pageBreakBefore w:val="0"/>
        <w:widowControl w:val="0"/>
        <w:numPr>
          <w:ilvl w:val="0"/>
          <w:numId w:val="8"/>
        </w:numPr>
        <w:kinsoku/>
        <w:wordWrap/>
        <w:overflowPunct w:val="0"/>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val="0"/>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val="0"/>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val="0"/>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val="0"/>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8"/>
        </w:numPr>
        <w:kinsoku/>
        <w:wordWrap/>
        <w:overflowPunct w:val="0"/>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val="0"/>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在开放日前一工作日内，本理财产品7个工作日可变现资产的可变现价值应当不低于本产品净资产的10%。</w:t>
      </w:r>
    </w:p>
    <w:p>
      <w:pPr>
        <w:keepNext w:val="0"/>
        <w:keepLines w:val="0"/>
        <w:pageBreakBefore w:val="0"/>
        <w:widowControl w:val="0"/>
        <w:numPr>
          <w:ilvl w:val="0"/>
          <w:numId w:val="8"/>
        </w:numPr>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本理财产品投资不存在活跃交易市场并且需要采用估值技术确定公允价值的资产比例不得达到或超过本产品净资产的50%。非因管理人主观因素导致突破前款规定比例限制的,本理财产品不得新增投资上述资产。</w:t>
      </w:r>
    </w:p>
    <w:p>
      <w:pPr>
        <w:keepNext w:val="0"/>
        <w:keepLines w:val="0"/>
        <w:pageBreakBefore w:val="0"/>
        <w:widowControl w:val="0"/>
        <w:numPr>
          <w:ilvl w:val="0"/>
          <w:numId w:val="6"/>
        </w:numPr>
        <w:tabs>
          <w:tab w:val="left" w:pos="993"/>
          <w:tab w:val="clear" w:pos="0"/>
        </w:tabs>
        <w:kinsoku/>
        <w:wordWrap/>
        <w:overflowPunct w:val="0"/>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投资管理调整</w:t>
      </w:r>
    </w:p>
    <w:p>
      <w:pPr>
        <w:pStyle w:val="2"/>
        <w:keepNext w:val="0"/>
        <w:keepLines w:val="0"/>
        <w:pageBreakBefore w:val="0"/>
        <w:widowControl w:val="0"/>
        <w:kinsoku/>
        <w:wordWrap/>
        <w:overflowPunct w:val="0"/>
        <w:topLinePunct w:val="0"/>
        <w:autoSpaceDE/>
        <w:autoSpaceDN/>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keepNext w:val="0"/>
        <w:keepLines w:val="0"/>
        <w:pageBreakBefore w:val="0"/>
        <w:kinsoku/>
        <w:wordWrap/>
        <w:overflowPunct w:val="0"/>
        <w:topLinePunct w:val="0"/>
        <w:autoSpaceDE/>
        <w:autoSpaceDN/>
        <w:bidi w:val="0"/>
        <w:ind w:firstLine="420" w:firstLineChars="200"/>
        <w:textAlignment w:val="auto"/>
        <w:rPr>
          <w:rFonts w:hint="eastAsia"/>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widowControl w:val="0"/>
        <w:numPr>
          <w:ilvl w:val="0"/>
          <w:numId w:val="2"/>
        </w:numPr>
        <w:tabs>
          <w:tab w:val="left" w:pos="1134"/>
          <w:tab w:val="clear" w:pos="0"/>
        </w:tabs>
        <w:kinsoku/>
        <w:wordWrap/>
        <w:overflowPunct w:val="0"/>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产品认购</w:t>
      </w:r>
    </w:p>
    <w:p>
      <w:pPr>
        <w:keepNext w:val="0"/>
        <w:keepLines w:val="0"/>
        <w:pageBreakBefore w:val="0"/>
        <w:widowControl w:val="0"/>
        <w:numPr>
          <w:ilvl w:val="0"/>
          <w:numId w:val="9"/>
        </w:numPr>
        <w:tabs>
          <w:tab w:val="left" w:pos="993"/>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认购方式</w:t>
      </w:r>
      <w:r>
        <w:rPr>
          <w:rFonts w:hint="eastAsia" w:ascii="楷体" w:hAnsi="楷体" w:eastAsia="楷体" w:cs="Calibri"/>
          <w:b w:val="0"/>
          <w:bCs w:val="0"/>
          <w:color w:val="auto"/>
          <w:sz w:val="21"/>
          <w:szCs w:val="21"/>
          <w:highlight w:val="none"/>
          <w:lang w:val="en-US" w:eastAsia="zh-CN"/>
        </w:rPr>
        <w:t>及确认</w:t>
      </w:r>
    </w:p>
    <w:p>
      <w:pPr>
        <w:keepNext w:val="0"/>
        <w:keepLines w:val="0"/>
        <w:pageBreakBefore w:val="0"/>
        <w:numPr>
          <w:ilvl w:val="0"/>
          <w:numId w:val="0"/>
        </w:numPr>
        <w:kinsoku/>
        <w:wordWrap/>
        <w:overflowPunct w:val="0"/>
        <w:topLinePunct w:val="0"/>
        <w:autoSpaceDE/>
        <w:autoSpaceDN/>
        <w:bidi w:val="0"/>
        <w:ind w:left="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keepNext w:val="0"/>
        <w:keepLines w:val="0"/>
        <w:pageBreakBefore w:val="0"/>
        <w:widowControl w:val="0"/>
        <w:numPr>
          <w:ilvl w:val="0"/>
          <w:numId w:val="9"/>
        </w:numPr>
        <w:tabs>
          <w:tab w:val="left" w:pos="993"/>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认购份额的计算</w:t>
      </w:r>
    </w:p>
    <w:p>
      <w:pPr>
        <w:keepNext w:val="0"/>
        <w:keepLines w:val="0"/>
        <w:pageBreakBefore w:val="0"/>
        <w:kinsoku/>
        <w:wordWrap/>
        <w:overflowPunct w:val="0"/>
        <w:topLinePunct w:val="0"/>
        <w:autoSpaceDE/>
        <w:autoSpaceDN/>
        <w:bidi w:val="0"/>
        <w:ind w:firstLine="420" w:firstLineChars="200"/>
        <w:textAlignment w:val="auto"/>
        <w:rPr>
          <w:rFonts w:hint="eastAsia"/>
          <w:highlight w:val="none"/>
        </w:rPr>
      </w:pP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认购金额</w:t>
      </w:r>
      <w:r>
        <w:rPr>
          <w:rFonts w:ascii="楷体" w:hAnsi="楷体" w:eastAsia="楷体"/>
          <w:color w:val="auto"/>
          <w:sz w:val="21"/>
          <w:szCs w:val="21"/>
          <w:highlight w:val="none"/>
        </w:rPr>
        <w:t>/</w:t>
      </w:r>
      <w:r>
        <w:rPr>
          <w:rFonts w:hint="eastAsia" w:ascii="楷体" w:hAnsi="楷体" w:eastAsia="楷体"/>
          <w:color w:val="auto"/>
          <w:sz w:val="21"/>
          <w:szCs w:val="21"/>
          <w:highlight w:val="none"/>
        </w:rPr>
        <w:t>产品</w:t>
      </w:r>
      <w:r>
        <w:rPr>
          <w:rFonts w:hint="eastAsia" w:ascii="楷体" w:hAnsi="楷体" w:eastAsia="楷体"/>
          <w:color w:val="auto"/>
          <w:sz w:val="21"/>
          <w:szCs w:val="21"/>
          <w:highlight w:val="none"/>
          <w:lang w:val="en-US" w:eastAsia="zh-CN"/>
        </w:rPr>
        <w:t>份额面值，</w:t>
      </w: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以四舍五入的方法保留到小数点后两位。</w:t>
      </w:r>
    </w:p>
    <w:p>
      <w:pPr>
        <w:keepNext w:val="0"/>
        <w:keepLines w:val="0"/>
        <w:pageBreakBefore w:val="0"/>
        <w:widowControl w:val="0"/>
        <w:numPr>
          <w:ilvl w:val="0"/>
          <w:numId w:val="2"/>
        </w:numPr>
        <w:tabs>
          <w:tab w:val="left" w:pos="1134"/>
          <w:tab w:val="clear" w:pos="0"/>
        </w:tabs>
        <w:kinsoku/>
        <w:wordWrap/>
        <w:overflowPunct w:val="0"/>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产品申购、赎回</w:t>
      </w:r>
    </w:p>
    <w:p>
      <w:pPr>
        <w:keepNext w:val="0"/>
        <w:keepLines w:val="0"/>
        <w:pageBreakBefore w:val="0"/>
        <w:widowControl w:val="0"/>
        <w:numPr>
          <w:ilvl w:val="0"/>
          <w:numId w:val="10"/>
        </w:numPr>
        <w:tabs>
          <w:tab w:val="left" w:pos="993"/>
          <w:tab w:val="clear" w:pos="420"/>
        </w:tabs>
        <w:kinsoku/>
        <w:wordWrap/>
        <w:overflowPunct w:val="0"/>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产品申购</w:t>
      </w:r>
    </w:p>
    <w:p>
      <w:pPr>
        <w:keepNext w:val="0"/>
        <w:keepLines w:val="0"/>
        <w:pageBreakBefore w:val="0"/>
        <w:numPr>
          <w:ilvl w:val="0"/>
          <w:numId w:val="0"/>
        </w:numPr>
        <w:tabs>
          <w:tab w:val="left" w:pos="728"/>
        </w:tabs>
        <w:kinsoku/>
        <w:wordWrap/>
        <w:overflowPunct w:val="0"/>
        <w:topLinePunct w:val="0"/>
        <w:autoSpaceDE/>
        <w:autoSpaceDN/>
        <w:bidi w:val="0"/>
        <w:ind w:left="0" w:leftChars="0" w:firstLine="420" w:firstLineChars="200"/>
        <w:textAlignment w:val="auto"/>
        <w:rPr>
          <w:rFonts w:hint="eastAsia" w:ascii="楷体" w:hAnsi="楷体" w:eastAsia="楷体" w:cs="宋体"/>
          <w:b/>
          <w:spacing w:val="-2"/>
          <w:kern w:val="0"/>
          <w:szCs w:val="21"/>
          <w:highlight w:val="none"/>
          <w:u w:val="single"/>
        </w:rPr>
      </w:pPr>
      <w:r>
        <w:rPr>
          <w:rFonts w:hint="eastAsia" w:ascii="楷体" w:hAnsi="楷体" w:eastAsia="楷体" w:cs="Calibri"/>
          <w:sz w:val="21"/>
          <w:szCs w:val="21"/>
          <w:highlight w:val="none"/>
        </w:rPr>
        <w:t>本产品封闭期结束后</w:t>
      </w:r>
      <w:r>
        <w:rPr>
          <w:rFonts w:hint="eastAsia" w:ascii="楷体" w:hAnsi="楷体" w:eastAsia="楷体" w:cs="Calibri"/>
          <w:sz w:val="21"/>
          <w:szCs w:val="21"/>
          <w:highlight w:val="none"/>
          <w:lang w:val="en-US" w:eastAsia="zh-CN"/>
        </w:rPr>
        <w:t>开放申购，若每周三与每周四为交易日，</w:t>
      </w:r>
      <w:r>
        <w:rPr>
          <w:rFonts w:hint="eastAsia" w:ascii="楷体" w:hAnsi="楷体" w:eastAsia="楷体" w:cs="宋体"/>
          <w:spacing w:val="-2"/>
          <w:kern w:val="0"/>
          <w:szCs w:val="21"/>
          <w:highlight w:val="none"/>
          <w:lang w:val="en-US" w:eastAsia="zh-CN"/>
        </w:rPr>
        <w:t>则每周三</w:t>
      </w:r>
      <w:r>
        <w:rPr>
          <w:rFonts w:hint="eastAsia" w:ascii="楷体" w:hAnsi="楷体" w:eastAsia="楷体" w:cs="宋体"/>
          <w:spacing w:val="-2"/>
          <w:kern w:val="0"/>
          <w:szCs w:val="21"/>
          <w:highlight w:val="none"/>
        </w:rPr>
        <w:t>为产品开放日</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lang w:val="en-US" w:eastAsia="zh-CN"/>
        </w:rPr>
        <w:t>每周四</w:t>
      </w:r>
      <w:r>
        <w:rPr>
          <w:rFonts w:hint="eastAsia" w:ascii="楷体" w:hAnsi="楷体" w:eastAsia="楷体" w:cs="宋体"/>
          <w:spacing w:val="-2"/>
          <w:kern w:val="0"/>
          <w:szCs w:val="21"/>
          <w:highlight w:val="none"/>
        </w:rPr>
        <w:t>至</w:t>
      </w:r>
      <w:r>
        <w:rPr>
          <w:rFonts w:hint="eastAsia" w:ascii="楷体" w:hAnsi="楷体" w:eastAsia="楷体" w:cs="宋体"/>
          <w:spacing w:val="-2"/>
          <w:kern w:val="0"/>
          <w:szCs w:val="21"/>
          <w:highlight w:val="none"/>
          <w:lang w:val="en-US" w:eastAsia="zh-CN"/>
        </w:rPr>
        <w:t>下周三开放预约申购</w:t>
      </w:r>
      <w:r>
        <w:rPr>
          <w:rFonts w:hint="eastAsia" w:ascii="楷体" w:hAnsi="楷体" w:eastAsia="楷体" w:cs="宋体"/>
          <w:spacing w:val="-2"/>
          <w:kern w:val="0"/>
          <w:szCs w:val="21"/>
          <w:highlight w:val="none"/>
        </w:rPr>
        <w:t>（以各销售机构设置的预约期为准）</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rPr>
        <w:t>投资者</w:t>
      </w:r>
      <w:r>
        <w:rPr>
          <w:rFonts w:hint="eastAsia" w:ascii="楷体" w:hAnsi="楷体" w:eastAsia="楷体" w:cs="宋体"/>
          <w:spacing w:val="-2"/>
          <w:kern w:val="0"/>
          <w:szCs w:val="21"/>
          <w:highlight w:val="none"/>
          <w:lang w:val="en-US" w:eastAsia="zh-CN"/>
        </w:rPr>
        <w:t>的</w:t>
      </w:r>
      <w:r>
        <w:rPr>
          <w:rFonts w:hint="eastAsia" w:ascii="楷体" w:hAnsi="楷体" w:eastAsia="楷体" w:cs="宋体"/>
          <w:spacing w:val="-2"/>
          <w:kern w:val="0"/>
          <w:szCs w:val="21"/>
          <w:highlight w:val="none"/>
        </w:rPr>
        <w:t>预约申购申请统一视为在产品开放日提交</w:t>
      </w:r>
      <w:r>
        <w:rPr>
          <w:rFonts w:hint="eastAsia" w:ascii="楷体" w:hAnsi="楷体" w:eastAsia="楷体" w:cs="宋体"/>
          <w:spacing w:val="-2"/>
          <w:kern w:val="0"/>
          <w:szCs w:val="21"/>
          <w:highlight w:val="none"/>
          <w:lang w:val="en-US" w:eastAsia="zh-CN"/>
        </w:rPr>
        <w:t>的</w:t>
      </w:r>
      <w:r>
        <w:rPr>
          <w:rFonts w:hint="eastAsia" w:ascii="楷体" w:hAnsi="楷体" w:eastAsia="楷体" w:cs="宋体"/>
          <w:spacing w:val="-2"/>
          <w:kern w:val="0"/>
          <w:szCs w:val="21"/>
          <w:highlight w:val="none"/>
        </w:rPr>
        <w:t>申购申请</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rPr>
        <w:t>申购截止时间不晚于产品开放日</w:t>
      </w:r>
      <w:r>
        <w:rPr>
          <w:rFonts w:hint="eastAsia" w:ascii="楷体" w:hAnsi="楷体" w:eastAsia="楷体" w:cs="宋体"/>
          <w:spacing w:val="-2"/>
          <w:kern w:val="0"/>
          <w:szCs w:val="21"/>
          <w:highlight w:val="none"/>
          <w:lang w:val="en-US" w:eastAsia="zh-CN"/>
        </w:rPr>
        <w:t>闭市时间</w:t>
      </w:r>
      <w:r>
        <w:rPr>
          <w:rFonts w:hint="eastAsia" w:ascii="楷体" w:hAnsi="楷体" w:eastAsia="楷体" w:cs="宋体"/>
          <w:spacing w:val="-2"/>
          <w:kern w:val="0"/>
          <w:szCs w:val="21"/>
          <w:highlight w:val="none"/>
        </w:rPr>
        <w:t>（以各销售机构设置的截止时间为准），</w:t>
      </w:r>
      <w:r>
        <w:rPr>
          <w:rFonts w:hint="eastAsia" w:ascii="楷体" w:hAnsi="楷体" w:eastAsia="楷体" w:cs="宋体"/>
          <w:spacing w:val="-2"/>
          <w:kern w:val="0"/>
          <w:szCs w:val="21"/>
          <w:highlight w:val="none"/>
          <w:lang w:val="en-US" w:eastAsia="zh-CN"/>
        </w:rPr>
        <w:t>开放日闭市后的</w:t>
      </w:r>
      <w:r>
        <w:rPr>
          <w:rFonts w:hint="eastAsia" w:ascii="楷体" w:hAnsi="楷体" w:eastAsia="楷体" w:cs="宋体"/>
          <w:spacing w:val="-2"/>
          <w:kern w:val="0"/>
          <w:szCs w:val="21"/>
          <w:highlight w:val="none"/>
        </w:rPr>
        <w:t>申购申请</w:t>
      </w:r>
      <w:r>
        <w:rPr>
          <w:rFonts w:hint="eastAsia" w:ascii="楷体" w:hAnsi="楷体" w:eastAsia="楷体" w:cs="宋体"/>
          <w:spacing w:val="-2"/>
          <w:kern w:val="0"/>
          <w:szCs w:val="21"/>
          <w:highlight w:val="none"/>
          <w:lang w:val="en-US" w:eastAsia="zh-CN"/>
        </w:rPr>
        <w:t>视为下一开放日申购，</w:t>
      </w:r>
      <w:r>
        <w:rPr>
          <w:rFonts w:hint="eastAsia" w:ascii="楷体" w:hAnsi="楷体" w:eastAsia="楷体" w:cs="宋体"/>
          <w:spacing w:val="-2"/>
          <w:kern w:val="0"/>
          <w:szCs w:val="21"/>
          <w:highlight w:val="none"/>
        </w:rPr>
        <w:t>开放日</w:t>
      </w:r>
      <w:r>
        <w:rPr>
          <w:rFonts w:hint="eastAsia" w:ascii="楷体" w:hAnsi="楷体" w:eastAsia="楷体" w:cs="宋体"/>
          <w:spacing w:val="-2"/>
          <w:kern w:val="0"/>
          <w:szCs w:val="21"/>
          <w:highlight w:val="none"/>
          <w:lang w:val="en-US" w:eastAsia="zh-CN"/>
        </w:rPr>
        <w:t>闭市时间</w:t>
      </w:r>
      <w:r>
        <w:rPr>
          <w:rFonts w:hint="eastAsia" w:ascii="楷体" w:hAnsi="楷体" w:eastAsia="楷体" w:cs="宋体"/>
          <w:spacing w:val="-2"/>
          <w:kern w:val="0"/>
          <w:szCs w:val="21"/>
          <w:highlight w:val="none"/>
        </w:rPr>
        <w:t>前客户提交的申购申请可以申请撤单。每</w:t>
      </w:r>
      <w:r>
        <w:rPr>
          <w:rFonts w:hint="eastAsia" w:ascii="楷体" w:hAnsi="楷体" w:eastAsia="楷体" w:cs="宋体"/>
          <w:spacing w:val="-2"/>
          <w:kern w:val="0"/>
          <w:szCs w:val="21"/>
          <w:highlight w:val="none"/>
          <w:lang w:val="en-US" w:eastAsia="zh-CN"/>
        </w:rPr>
        <w:t>周四</w:t>
      </w:r>
      <w:r>
        <w:rPr>
          <w:rFonts w:hint="eastAsia" w:ascii="楷体" w:hAnsi="楷体" w:eastAsia="楷体" w:cs="宋体"/>
          <w:spacing w:val="-2"/>
          <w:kern w:val="0"/>
          <w:szCs w:val="21"/>
          <w:highlight w:val="none"/>
        </w:rPr>
        <w:t>为份额确认日，开放日受理的申购申请由管理人统一在</w:t>
      </w:r>
      <w:r>
        <w:rPr>
          <w:rFonts w:hint="eastAsia" w:ascii="楷体" w:hAnsi="楷体" w:eastAsia="楷体" w:cs="宋体"/>
          <w:spacing w:val="-2"/>
          <w:kern w:val="0"/>
          <w:szCs w:val="21"/>
          <w:highlight w:val="none"/>
          <w:lang w:val="en-US" w:eastAsia="zh-CN"/>
        </w:rPr>
        <w:t>周四</w:t>
      </w:r>
      <w:r>
        <w:rPr>
          <w:rFonts w:hint="eastAsia" w:ascii="楷体" w:hAnsi="楷体" w:eastAsia="楷体" w:cs="宋体"/>
          <w:spacing w:val="-2"/>
          <w:kern w:val="0"/>
          <w:szCs w:val="21"/>
          <w:highlight w:val="none"/>
        </w:rPr>
        <w:t>予以确认。</w:t>
      </w:r>
      <w:r>
        <w:rPr>
          <w:rFonts w:hint="eastAsia" w:ascii="楷体" w:hAnsi="楷体" w:eastAsia="楷体" w:cs="宋体"/>
          <w:b/>
          <w:spacing w:val="-2"/>
          <w:kern w:val="0"/>
          <w:szCs w:val="21"/>
          <w:highlight w:val="none"/>
          <w:u w:val="single"/>
        </w:rPr>
        <w:t>若</w:t>
      </w:r>
      <w:r>
        <w:rPr>
          <w:rFonts w:hint="eastAsia" w:ascii="楷体" w:hAnsi="楷体" w:eastAsia="楷体" w:cs="宋体"/>
          <w:b/>
          <w:spacing w:val="-2"/>
          <w:kern w:val="0"/>
          <w:szCs w:val="21"/>
          <w:highlight w:val="none"/>
          <w:u w:val="single"/>
          <w:lang w:val="en-US" w:eastAsia="zh-CN"/>
        </w:rPr>
        <w:t>周三或周四</w:t>
      </w:r>
      <w:r>
        <w:rPr>
          <w:rFonts w:hint="eastAsia" w:ascii="楷体" w:hAnsi="楷体" w:eastAsia="楷体" w:cs="宋体"/>
          <w:b/>
          <w:spacing w:val="-2"/>
          <w:kern w:val="0"/>
          <w:szCs w:val="21"/>
          <w:highlight w:val="none"/>
          <w:u w:val="single"/>
        </w:rPr>
        <w:t>为非</w:t>
      </w:r>
      <w:r>
        <w:rPr>
          <w:rFonts w:hint="eastAsia" w:ascii="楷体" w:hAnsi="楷体" w:eastAsia="楷体" w:cs="宋体"/>
          <w:b/>
          <w:spacing w:val="-2"/>
          <w:kern w:val="0"/>
          <w:szCs w:val="21"/>
          <w:highlight w:val="none"/>
          <w:u w:val="single"/>
          <w:lang w:val="en-US" w:eastAsia="zh-CN"/>
        </w:rPr>
        <w:t>交易</w:t>
      </w:r>
      <w:r>
        <w:rPr>
          <w:rFonts w:hint="eastAsia" w:ascii="楷体" w:hAnsi="楷体" w:eastAsia="楷体" w:cs="宋体"/>
          <w:b/>
          <w:spacing w:val="-2"/>
          <w:kern w:val="0"/>
          <w:szCs w:val="21"/>
          <w:highlight w:val="none"/>
          <w:u w:val="single"/>
        </w:rPr>
        <w:t>日，则开放日和确认日作相应调整，苏银理财将按说明书约定的信息披露方式予以披露，以相关披露内容为准。</w:t>
      </w:r>
    </w:p>
    <w:p>
      <w:pPr>
        <w:numPr>
          <w:ilvl w:val="0"/>
          <w:numId w:val="0"/>
        </w:numPr>
        <w:tabs>
          <w:tab w:val="left" w:pos="728"/>
        </w:tabs>
        <w:ind w:left="0" w:leftChars="0" w:firstLine="420" w:firstLineChars="200"/>
        <w:rPr>
          <w:rFonts w:hint="eastAsia" w:ascii="楷体" w:hAnsi="楷体" w:eastAsia="楷体"/>
          <w:sz w:val="21"/>
          <w:szCs w:val="21"/>
          <w:highlight w:val="none"/>
        </w:rPr>
      </w:pPr>
      <w:r>
        <w:rPr>
          <w:rFonts w:hint="eastAsia" w:ascii="楷体" w:hAnsi="楷体" w:eastAsia="楷体" w:cs="Calibri"/>
          <w:sz w:val="21"/>
          <w:szCs w:val="21"/>
        </w:rPr>
        <w:t>投资者提出申购申请时，须备足购买资金</w:t>
      </w:r>
      <w:r>
        <w:rPr>
          <w:rFonts w:hint="eastAsia" w:ascii="楷体" w:hAnsi="楷体" w:eastAsia="楷体" w:cs="Calibri"/>
          <w:sz w:val="21"/>
          <w:szCs w:val="21"/>
          <w:lang w:eastAsia="zh-CN"/>
        </w:rPr>
        <w:t>，</w:t>
      </w:r>
      <w:r>
        <w:rPr>
          <w:rFonts w:hint="eastAsia" w:ascii="楷体" w:hAnsi="楷体" w:eastAsia="楷体" w:cs="Calibri"/>
          <w:sz w:val="21"/>
          <w:szCs w:val="21"/>
        </w:rPr>
        <w:t>投资者申购本产品时采用“未知价”原则</w:t>
      </w:r>
      <w:r>
        <w:rPr>
          <w:rFonts w:hint="eastAsia" w:ascii="楷体" w:hAnsi="楷体" w:eastAsia="楷体" w:cs="Calibri"/>
          <w:sz w:val="21"/>
          <w:szCs w:val="21"/>
          <w:lang w:eastAsia="zh-CN"/>
        </w:rPr>
        <w:t>。</w:t>
      </w: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rPr>
      </w:pPr>
      <w:r>
        <w:rPr>
          <w:rFonts w:hint="eastAsia" w:ascii="楷体" w:hAnsi="楷体" w:eastAsia="楷体" w:cs="Calibri"/>
          <w:sz w:val="21"/>
          <w:szCs w:val="21"/>
          <w:highlight w:val="none"/>
          <w:lang w:val="en-US" w:eastAsia="zh-CN"/>
        </w:rPr>
        <w:t>申购份额的计算：申购份额=申购金额/开放日产品单位净值，申购份额以四舍五入的方法保留到小数点后两位</w:t>
      </w:r>
    </w:p>
    <w:p>
      <w:pPr>
        <w:keepNext w:val="0"/>
        <w:keepLines w:val="0"/>
        <w:pageBreakBefore w:val="0"/>
        <w:widowControl w:val="0"/>
        <w:numPr>
          <w:ilvl w:val="0"/>
          <w:numId w:val="10"/>
        </w:numPr>
        <w:tabs>
          <w:tab w:val="left" w:pos="993"/>
          <w:tab w:val="clear" w:pos="420"/>
        </w:tabs>
        <w:kinsoku/>
        <w:wordWrap/>
        <w:overflowPunct w:val="0"/>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产品赎回</w:t>
      </w:r>
    </w:p>
    <w:p>
      <w:pPr>
        <w:ind w:firstLine="420" w:firstLineChars="200"/>
        <w:rPr>
          <w:rFonts w:hint="eastAsia" w:ascii="楷体" w:hAnsi="楷体" w:eastAsia="楷体" w:cs="Calibri"/>
          <w:sz w:val="21"/>
          <w:szCs w:val="21"/>
          <w:highlight w:val="none"/>
          <w:lang w:val="en-US" w:eastAsia="zh-CN"/>
        </w:rPr>
      </w:pPr>
      <w:r>
        <w:rPr>
          <w:rFonts w:hint="eastAsia" w:ascii="楷体" w:hAnsi="楷体" w:eastAsia="楷体" w:cs="Calibri"/>
          <w:sz w:val="21"/>
          <w:szCs w:val="21"/>
          <w:highlight w:val="none"/>
        </w:rPr>
        <w:t>本产品</w:t>
      </w:r>
      <w:r>
        <w:rPr>
          <w:rFonts w:hint="eastAsia" w:ascii="楷体" w:hAnsi="楷体" w:eastAsia="楷体" w:cs="Calibri"/>
          <w:sz w:val="21"/>
          <w:szCs w:val="21"/>
          <w:highlight w:val="none"/>
          <w:lang w:val="en-US" w:eastAsia="zh-CN"/>
        </w:rPr>
        <w:t>赎回采用</w:t>
      </w:r>
      <w:r>
        <w:rPr>
          <w:rFonts w:hint="eastAsia" w:ascii="楷体" w:hAnsi="楷体" w:eastAsia="楷体" w:cs="宋体"/>
          <w:spacing w:val="-2"/>
          <w:kern w:val="0"/>
          <w:szCs w:val="21"/>
          <w:highlight w:val="none"/>
        </w:rPr>
        <w:t>自动赎回</w:t>
      </w:r>
      <w:r>
        <w:rPr>
          <w:rFonts w:hint="eastAsia" w:ascii="楷体" w:hAnsi="楷体" w:eastAsia="楷体" w:cs="宋体"/>
          <w:spacing w:val="-2"/>
          <w:kern w:val="0"/>
          <w:szCs w:val="21"/>
          <w:highlight w:val="none"/>
          <w:lang w:val="en-US" w:eastAsia="zh-CN"/>
        </w:rPr>
        <w:t>模式</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rPr>
        <w:t>以</w:t>
      </w:r>
      <w:r>
        <w:rPr>
          <w:rFonts w:hint="eastAsia" w:ascii="楷体" w:hAnsi="楷体" w:eastAsia="楷体" w:cs="宋体"/>
          <w:spacing w:val="-2"/>
          <w:kern w:val="0"/>
          <w:szCs w:val="21"/>
          <w:highlight w:val="none"/>
          <w:lang w:val="en-US" w:eastAsia="zh-CN"/>
        </w:rPr>
        <w:t>182</w:t>
      </w:r>
      <w:r>
        <w:rPr>
          <w:rFonts w:hint="eastAsia" w:ascii="楷体" w:hAnsi="楷体" w:eastAsia="楷体" w:cs="宋体"/>
          <w:spacing w:val="-2"/>
          <w:kern w:val="0"/>
          <w:szCs w:val="21"/>
          <w:highlight w:val="none"/>
        </w:rPr>
        <w:t>天为1个投资周期，客户份额持有时间达到</w:t>
      </w:r>
      <w:r>
        <w:rPr>
          <w:rFonts w:hint="eastAsia" w:ascii="楷体" w:hAnsi="楷体" w:eastAsia="楷体" w:cs="宋体"/>
          <w:spacing w:val="-2"/>
          <w:kern w:val="0"/>
          <w:szCs w:val="21"/>
          <w:highlight w:val="none"/>
          <w:lang w:val="en-US" w:eastAsia="zh-CN"/>
        </w:rPr>
        <w:t>182</w:t>
      </w:r>
      <w:r>
        <w:rPr>
          <w:rFonts w:hint="eastAsia" w:ascii="楷体" w:hAnsi="楷体" w:eastAsia="楷体" w:cs="宋体"/>
          <w:spacing w:val="-2"/>
          <w:kern w:val="0"/>
          <w:szCs w:val="21"/>
          <w:highlight w:val="none"/>
        </w:rPr>
        <w:t>天，系统自动发起赎回。</w:t>
      </w:r>
      <w:r>
        <w:rPr>
          <w:rFonts w:hint="eastAsia" w:ascii="楷体" w:hAnsi="楷体" w:eastAsia="楷体" w:cs="宋体"/>
          <w:b/>
          <w:spacing w:val="-2"/>
          <w:kern w:val="0"/>
          <w:szCs w:val="21"/>
          <w:highlight w:val="none"/>
          <w:u w:val="single"/>
        </w:rPr>
        <w:t>在未按约定运作满足够天数前客户无权提前赎回份额。如份额确认日对应的</w:t>
      </w:r>
      <w:r>
        <w:rPr>
          <w:rFonts w:hint="eastAsia" w:ascii="楷体" w:hAnsi="楷体" w:eastAsia="楷体" w:cs="宋体"/>
          <w:b/>
          <w:spacing w:val="-2"/>
          <w:kern w:val="0"/>
          <w:szCs w:val="21"/>
          <w:highlight w:val="none"/>
          <w:u w:val="single"/>
          <w:lang w:val="en-US" w:eastAsia="zh-CN"/>
        </w:rPr>
        <w:t>182</w:t>
      </w:r>
      <w:r>
        <w:rPr>
          <w:rFonts w:hint="eastAsia" w:ascii="楷体" w:hAnsi="楷体" w:eastAsia="楷体" w:cs="宋体"/>
          <w:b/>
          <w:spacing w:val="-2"/>
          <w:kern w:val="0"/>
          <w:szCs w:val="21"/>
          <w:highlight w:val="none"/>
          <w:u w:val="single"/>
        </w:rPr>
        <w:t>天为非</w:t>
      </w:r>
      <w:r>
        <w:rPr>
          <w:rFonts w:hint="eastAsia" w:ascii="楷体" w:hAnsi="楷体" w:eastAsia="楷体" w:cs="宋体"/>
          <w:b/>
          <w:spacing w:val="-2"/>
          <w:kern w:val="0"/>
          <w:szCs w:val="21"/>
          <w:highlight w:val="none"/>
          <w:u w:val="single"/>
          <w:lang w:val="en-US" w:eastAsia="zh-CN"/>
        </w:rPr>
        <w:t>交易</w:t>
      </w:r>
      <w:r>
        <w:rPr>
          <w:rFonts w:hint="eastAsia" w:ascii="楷体" w:hAnsi="楷体" w:eastAsia="楷体" w:cs="宋体"/>
          <w:b/>
          <w:spacing w:val="-2"/>
          <w:kern w:val="0"/>
          <w:szCs w:val="21"/>
          <w:highlight w:val="none"/>
          <w:u w:val="single"/>
        </w:rPr>
        <w:t>日，</w:t>
      </w:r>
      <w:r>
        <w:rPr>
          <w:rFonts w:hint="eastAsia" w:ascii="楷体" w:hAnsi="楷体" w:eastAsia="楷体" w:cs="宋体"/>
          <w:b/>
          <w:spacing w:val="-2"/>
          <w:kern w:val="0"/>
          <w:szCs w:val="21"/>
          <w:highlight w:val="none"/>
          <w:u w:val="single"/>
          <w:lang w:val="en-US" w:eastAsia="zh-CN"/>
        </w:rPr>
        <w:t>管理人</w:t>
      </w:r>
      <w:r>
        <w:rPr>
          <w:rFonts w:hint="eastAsia" w:ascii="楷体" w:hAnsi="楷体" w:eastAsia="楷体" w:cs="宋体"/>
          <w:b/>
          <w:spacing w:val="-2"/>
          <w:kern w:val="0"/>
          <w:szCs w:val="21"/>
          <w:highlight w:val="none"/>
          <w:u w:val="single"/>
        </w:rPr>
        <w:t>将对自动赎回日进行动态调整，以</w:t>
      </w:r>
      <w:r>
        <w:rPr>
          <w:rFonts w:hint="eastAsia" w:ascii="楷体" w:hAnsi="楷体" w:eastAsia="楷体" w:cs="宋体"/>
          <w:b/>
          <w:spacing w:val="-2"/>
          <w:kern w:val="0"/>
          <w:szCs w:val="21"/>
          <w:highlight w:val="none"/>
          <w:u w:val="single"/>
          <w:lang w:val="en-US" w:eastAsia="zh-CN"/>
        </w:rPr>
        <w:t>管理人</w:t>
      </w:r>
      <w:r>
        <w:rPr>
          <w:rFonts w:hint="eastAsia" w:ascii="楷体" w:hAnsi="楷体" w:eastAsia="楷体" w:cs="宋体"/>
          <w:b/>
          <w:spacing w:val="-2"/>
          <w:kern w:val="0"/>
          <w:szCs w:val="21"/>
          <w:highlight w:val="none"/>
          <w:u w:val="single"/>
        </w:rPr>
        <w:t>的公告和系统设置为准，在此情况情形下投资周期可能会略长于或短于</w:t>
      </w:r>
      <w:r>
        <w:rPr>
          <w:rFonts w:hint="eastAsia" w:ascii="楷体" w:hAnsi="楷体" w:eastAsia="楷体" w:cs="宋体"/>
          <w:b/>
          <w:spacing w:val="-2"/>
          <w:kern w:val="0"/>
          <w:szCs w:val="21"/>
          <w:highlight w:val="none"/>
          <w:u w:val="single"/>
          <w:lang w:val="en-US" w:eastAsia="zh-CN"/>
        </w:rPr>
        <w:t>182</w:t>
      </w:r>
      <w:r>
        <w:rPr>
          <w:rFonts w:hint="eastAsia" w:ascii="楷体" w:hAnsi="楷体" w:eastAsia="楷体" w:cs="宋体"/>
          <w:b/>
          <w:spacing w:val="-2"/>
          <w:kern w:val="0"/>
          <w:szCs w:val="21"/>
          <w:highlight w:val="none"/>
          <w:u w:val="single"/>
        </w:rPr>
        <w:t>天</w:t>
      </w:r>
      <w:r>
        <w:rPr>
          <w:rFonts w:hint="eastAsia" w:ascii="楷体" w:hAnsi="楷体" w:eastAsia="楷体" w:cs="宋体"/>
          <w:spacing w:val="-2"/>
          <w:kern w:val="0"/>
          <w:szCs w:val="21"/>
          <w:highlight w:val="none"/>
        </w:rPr>
        <w:t>。</w:t>
      </w:r>
      <w:r>
        <w:rPr>
          <w:rFonts w:hint="eastAsia" w:ascii="楷体" w:hAnsi="楷体" w:eastAsia="楷体" w:cs="宋体"/>
          <w:b/>
          <w:color w:val="auto"/>
          <w:spacing w:val="-2"/>
          <w:kern w:val="0"/>
          <w:szCs w:val="21"/>
          <w:highlight w:val="none"/>
          <w:u w:val="single"/>
        </w:rPr>
        <w:t>苏银理财将</w:t>
      </w:r>
      <w:r>
        <w:rPr>
          <w:rFonts w:hint="eastAsia" w:ascii="楷体" w:hAnsi="楷体" w:eastAsia="楷体" w:cs="宋体"/>
          <w:b/>
          <w:color w:val="auto"/>
          <w:spacing w:val="-2"/>
          <w:kern w:val="0"/>
          <w:szCs w:val="21"/>
          <w:highlight w:val="none"/>
          <w:u w:val="single"/>
          <w:lang w:val="en-US" w:eastAsia="zh-CN"/>
        </w:rPr>
        <w:t>提前进行公告，客户可根据自身需要自主选择购买</w:t>
      </w:r>
      <w:r>
        <w:rPr>
          <w:rFonts w:hint="eastAsia" w:ascii="楷体" w:hAnsi="楷体" w:eastAsia="楷体" w:cs="宋体"/>
          <w:spacing w:val="-2"/>
          <w:kern w:val="0"/>
          <w:szCs w:val="21"/>
          <w:highlight w:val="none"/>
        </w:rPr>
        <w:t>。自动赎回时按实际赎回日前一工作日产品单位净值计算客户赎回兑付金额，自动赎回不受巨额赎回限制。</w:t>
      </w:r>
    </w:p>
    <w:p>
      <w:pPr>
        <w:numPr>
          <w:ilvl w:val="0"/>
          <w:numId w:val="0"/>
        </w:numPr>
        <w:tabs>
          <w:tab w:val="left" w:pos="993"/>
        </w:tabs>
        <w:ind w:left="0" w:leftChars="0"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rPr>
        <w:t>赎回金额的计算</w:t>
      </w:r>
      <w:r>
        <w:rPr>
          <w:rFonts w:hint="eastAsia" w:ascii="楷体" w:hAnsi="楷体" w:eastAsia="楷体" w:cs="Calibri"/>
          <w:sz w:val="21"/>
          <w:szCs w:val="21"/>
          <w:highlight w:val="none"/>
          <w:lang w:eastAsia="zh-CN"/>
        </w:rPr>
        <w:t>：</w:t>
      </w:r>
      <w:r>
        <w:rPr>
          <w:rFonts w:hint="eastAsia" w:ascii="楷体" w:hAnsi="楷体" w:eastAsia="楷体"/>
          <w:sz w:val="21"/>
          <w:szCs w:val="21"/>
          <w:highlight w:val="none"/>
        </w:rPr>
        <w:t>赎回金额=赎回份额*赎回日前一工作日产品单位净值-超额业绩报酬（</w:t>
      </w:r>
      <w:r>
        <w:rPr>
          <w:rFonts w:hint="eastAsia" w:ascii="楷体" w:hAnsi="楷体" w:eastAsia="楷体"/>
          <w:sz w:val="21"/>
          <w:szCs w:val="21"/>
          <w:highlight w:val="none"/>
          <w:lang w:val="en-US" w:eastAsia="zh-CN"/>
        </w:rPr>
        <w:t>如</w:t>
      </w:r>
      <w:r>
        <w:rPr>
          <w:rFonts w:hint="eastAsia" w:ascii="楷体" w:hAnsi="楷体" w:eastAsia="楷体"/>
          <w:sz w:val="21"/>
          <w:szCs w:val="21"/>
          <w:highlight w:val="none"/>
        </w:rPr>
        <w:t>有）</w:t>
      </w:r>
    </w:p>
    <w:p>
      <w:pPr>
        <w:keepNext w:val="0"/>
        <w:keepLines w:val="0"/>
        <w:pageBreakBefore w:val="0"/>
        <w:kinsoku/>
        <w:wordWrap/>
        <w:overflowPunct w:val="0"/>
        <w:topLinePunct w:val="0"/>
        <w:autoSpaceDE/>
        <w:autoSpaceDN/>
        <w:bidi w:val="0"/>
        <w:ind w:firstLine="422" w:firstLineChars="200"/>
        <w:textAlignment w:val="auto"/>
        <w:rPr>
          <w:rFonts w:hint="eastAsia" w:ascii="楷体" w:hAnsi="楷体" w:eastAsia="楷体"/>
          <w:b w:val="0"/>
          <w:bCs/>
          <w:sz w:val="21"/>
          <w:szCs w:val="21"/>
          <w:highlight w:val="none"/>
        </w:rPr>
      </w:pPr>
      <w:r>
        <w:rPr>
          <w:rFonts w:hint="eastAsia" w:ascii="楷体" w:hAnsi="楷体" w:eastAsia="楷体"/>
          <w:b/>
          <w:bCs/>
          <w:sz w:val="21"/>
          <w:szCs w:val="21"/>
          <w:highlight w:val="none"/>
          <w:u w:val="single"/>
        </w:rPr>
        <w:t>投资者持仓份额的产品净值可能含有未收取超额业绩报酬，赎回兑付金额以实际入账金额为准。</w:t>
      </w:r>
      <w:r>
        <w:rPr>
          <w:rFonts w:hint="eastAsia" w:ascii="楷体" w:hAnsi="楷体" w:eastAsia="楷体"/>
          <w:sz w:val="21"/>
          <w:szCs w:val="21"/>
          <w:highlight w:val="none"/>
        </w:rPr>
        <w:t>赎回金额以四舍五入的方法保留到小数点后两位</w:t>
      </w:r>
      <w:r>
        <w:rPr>
          <w:rFonts w:hint="eastAsia" w:ascii="楷体" w:hAnsi="楷体" w:eastAsia="楷体"/>
          <w:b w:val="0"/>
          <w:bCs/>
          <w:sz w:val="21"/>
          <w:szCs w:val="21"/>
          <w:highlight w:val="none"/>
        </w:rPr>
        <w:t>。</w:t>
      </w:r>
    </w:p>
    <w:p>
      <w:pPr>
        <w:keepNext w:val="0"/>
        <w:keepLines w:val="0"/>
        <w:pageBreakBefore w:val="0"/>
        <w:widowControl w:val="0"/>
        <w:numPr>
          <w:ilvl w:val="0"/>
          <w:numId w:val="10"/>
        </w:numPr>
        <w:tabs>
          <w:tab w:val="left" w:pos="993"/>
          <w:tab w:val="clear" w:pos="420"/>
        </w:tabs>
        <w:kinsoku/>
        <w:wordWrap/>
        <w:overflowPunct w:val="0"/>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巨额赎回：详见“产品要素”。</w:t>
      </w:r>
    </w:p>
    <w:p>
      <w:pPr>
        <w:keepNext w:val="0"/>
        <w:keepLines w:val="0"/>
        <w:pageBreakBefore w:val="0"/>
        <w:widowControl w:val="0"/>
        <w:numPr>
          <w:ilvl w:val="0"/>
          <w:numId w:val="10"/>
        </w:numPr>
        <w:tabs>
          <w:tab w:val="left" w:pos="993"/>
          <w:tab w:val="clear" w:pos="420"/>
        </w:tabs>
        <w:kinsoku/>
        <w:wordWrap/>
        <w:overflowPunct w:val="0"/>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特殊情形及处理</w:t>
      </w:r>
    </w:p>
    <w:p>
      <w:pPr>
        <w:keepNext w:val="0"/>
        <w:keepLines w:val="0"/>
        <w:pageBreakBefore w:val="0"/>
        <w:kinsoku/>
        <w:wordWrap/>
        <w:overflowPunct w:val="0"/>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keepNext w:val="0"/>
        <w:keepLines w:val="0"/>
        <w:pageBreakBefore w:val="0"/>
        <w:numPr>
          <w:ilvl w:val="0"/>
          <w:numId w:val="0"/>
        </w:numPr>
        <w:tabs>
          <w:tab w:val="left" w:pos="728"/>
        </w:tabs>
        <w:kinsoku/>
        <w:wordWrap/>
        <w:overflowPunct w:val="0"/>
        <w:topLinePunct w:val="0"/>
        <w:autoSpaceDE/>
        <w:autoSpaceDN/>
        <w:bidi w:val="0"/>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kinsoku/>
        <w:wordWrap/>
        <w:overflowPunct w:val="0"/>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keepNext w:val="0"/>
        <w:keepLines w:val="0"/>
        <w:pageBreakBefore w:val="0"/>
        <w:kinsoku/>
        <w:wordWrap/>
        <w:overflowPunct w:val="0"/>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keepNext w:val="0"/>
        <w:keepLines w:val="0"/>
        <w:pageBreakBefore w:val="0"/>
        <w:numPr>
          <w:ilvl w:val="0"/>
          <w:numId w:val="0"/>
        </w:numPr>
        <w:tabs>
          <w:tab w:val="left" w:pos="728"/>
        </w:tabs>
        <w:kinsoku/>
        <w:wordWrap/>
        <w:overflowPunct w:val="0"/>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kinsoku/>
        <w:wordWrap/>
        <w:overflowPunct w:val="0"/>
        <w:topLinePunct w:val="0"/>
        <w:autoSpaceDE/>
        <w:autoSpaceDN/>
        <w:bidi w:val="0"/>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val="0"/>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产品终止</w:t>
      </w:r>
    </w:p>
    <w:p>
      <w:pPr>
        <w:keepNext w:val="0"/>
        <w:keepLines w:val="0"/>
        <w:pageBreakBefore w:val="0"/>
        <w:widowControl w:val="0"/>
        <w:numPr>
          <w:ilvl w:val="0"/>
          <w:numId w:val="11"/>
        </w:numPr>
        <w:tabs>
          <w:tab w:val="left" w:pos="993"/>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keepNext w:val="0"/>
        <w:keepLines w:val="0"/>
        <w:pageBreakBefore w:val="0"/>
        <w:numPr>
          <w:ilvl w:val="0"/>
          <w:numId w:val="0"/>
        </w:numPr>
        <w:kinsoku/>
        <w:wordWrap/>
        <w:overflowPunct w:val="0"/>
        <w:topLinePunct w:val="0"/>
        <w:autoSpaceDE/>
        <w:autoSpaceDN/>
        <w:bidi w:val="0"/>
        <w:ind w:left="0"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keepNext w:val="0"/>
        <w:keepLines w:val="0"/>
        <w:pageBreakBefore w:val="0"/>
        <w:widowControl w:val="0"/>
        <w:numPr>
          <w:ilvl w:val="0"/>
          <w:numId w:val="11"/>
        </w:numPr>
        <w:tabs>
          <w:tab w:val="left" w:pos="993"/>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keepNext w:val="0"/>
        <w:keepLines w:val="0"/>
        <w:pageBreakBefore w:val="0"/>
        <w:widowControl w:val="0"/>
        <w:numPr>
          <w:ilvl w:val="0"/>
          <w:numId w:val="0"/>
        </w:numPr>
        <w:tabs>
          <w:tab w:val="left" w:pos="1092"/>
        </w:tabs>
        <w:kinsoku/>
        <w:wordWrap/>
        <w:overflowPunct w:val="0"/>
        <w:topLinePunct w:val="0"/>
        <w:autoSpaceDE/>
        <w:autoSpaceDN/>
        <w:bidi w:val="0"/>
        <w:ind w:firstLine="420" w:firstLineChars="200"/>
        <w:jc w:val="both"/>
        <w:textAlignment w:val="auto"/>
        <w:rPr>
          <w:rFonts w:hint="eastAsia" w:ascii="楷体" w:hAnsi="楷体" w:eastAsia="楷体" w:cs="Calibri"/>
          <w:sz w:val="24"/>
          <w:szCs w:val="24"/>
          <w:highlight w:val="none"/>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134"/>
          <w:tab w:val="clear" w:pos="0"/>
        </w:tabs>
        <w:kinsoku/>
        <w:wordWrap/>
        <w:overflowPunct w:val="0"/>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lang w:val="en-US" w:eastAsia="zh-CN"/>
        </w:rPr>
      </w:pPr>
      <w:r>
        <w:rPr>
          <w:rFonts w:hint="eastAsia" w:ascii="楷体" w:hAnsi="楷体" w:eastAsia="楷体" w:cs="Times New Roman"/>
          <w:b/>
          <w:sz w:val="21"/>
          <w:szCs w:val="21"/>
          <w:highlight w:val="none"/>
          <w:lang w:val="en-US" w:eastAsia="zh-CN"/>
        </w:rPr>
        <w:t>情景示例</w:t>
      </w:r>
    </w:p>
    <w:p>
      <w:pPr>
        <w:keepNext w:val="0"/>
        <w:keepLines w:val="0"/>
        <w:pageBreakBefore w:val="0"/>
        <w:tabs>
          <w:tab w:val="left" w:pos="993"/>
        </w:tabs>
        <w:kinsoku/>
        <w:wordWrap/>
        <w:overflowPunct w:val="0"/>
        <w:topLinePunct w:val="0"/>
        <w:autoSpaceDE/>
        <w:autoSpaceDN/>
        <w:bidi w:val="0"/>
        <w:ind w:left="480"/>
        <w:textAlignment w:val="auto"/>
        <w:rPr>
          <w:rFonts w:hint="eastAsia" w:ascii="楷体" w:hAnsi="楷体" w:eastAsia="楷体" w:cs="Calibri"/>
          <w:b/>
          <w:sz w:val="21"/>
          <w:szCs w:val="21"/>
          <w:highlight w:val="none"/>
          <w:u w:val="single"/>
        </w:rPr>
      </w:pPr>
      <w:r>
        <w:rPr>
          <w:rFonts w:hint="eastAsia" w:ascii="楷体" w:hAnsi="楷体" w:eastAsia="楷体" w:cs="Calibri"/>
          <w:b/>
          <w:sz w:val="21"/>
          <w:szCs w:val="21"/>
          <w:highlight w:val="none"/>
          <w:u w:val="single"/>
        </w:rPr>
        <w:t>以下示例均为假设情况，不代表本产品实际投资业绩。</w:t>
      </w:r>
    </w:p>
    <w:p>
      <w:pPr>
        <w:keepNext w:val="0"/>
        <w:keepLines w:val="0"/>
        <w:pageBreakBefore w:val="0"/>
        <w:widowControl w:val="0"/>
        <w:numPr>
          <w:ilvl w:val="0"/>
          <w:numId w:val="12"/>
        </w:numPr>
        <w:tabs>
          <w:tab w:val="left" w:pos="728"/>
        </w:tabs>
        <w:kinsoku/>
        <w:wordWrap/>
        <w:overflowPunct w:val="0"/>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情景一</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sz w:val="21"/>
          <w:szCs w:val="21"/>
          <w:highlight w:val="none"/>
          <w:lang w:val="en-US" w:eastAsia="zh-CN"/>
        </w:rPr>
      </w:pPr>
      <w:r>
        <w:rPr>
          <w:rFonts w:ascii="楷体" w:hAnsi="楷体" w:eastAsia="楷体"/>
          <w:sz w:val="21"/>
          <w:szCs w:val="21"/>
          <w:highlight w:val="none"/>
        </w:rPr>
        <w:t>假定投资者</w:t>
      </w:r>
      <w:r>
        <w:rPr>
          <w:rFonts w:hint="eastAsia" w:ascii="楷体" w:hAnsi="楷体" w:eastAsia="楷体"/>
          <w:sz w:val="21"/>
          <w:szCs w:val="21"/>
          <w:highlight w:val="none"/>
        </w:rPr>
        <w:t>申购1</w:t>
      </w:r>
      <w:r>
        <w:rPr>
          <w:rFonts w:ascii="楷体" w:hAnsi="楷体" w:eastAsia="楷体"/>
          <w:sz w:val="21"/>
          <w:szCs w:val="21"/>
          <w:highlight w:val="none"/>
        </w:rPr>
        <w:t>0000元</w:t>
      </w:r>
      <w:r>
        <w:rPr>
          <w:rFonts w:hint="eastAsia" w:ascii="楷体" w:hAnsi="楷体" w:eastAsia="楷体"/>
          <w:sz w:val="21"/>
          <w:szCs w:val="21"/>
          <w:highlight w:val="none"/>
          <w:lang w:val="en-US" w:eastAsia="zh-CN"/>
        </w:rPr>
        <w:t>本产品</w:t>
      </w:r>
      <w:r>
        <w:rPr>
          <w:rFonts w:ascii="楷体" w:hAnsi="楷体" w:eastAsia="楷体"/>
          <w:sz w:val="21"/>
          <w:szCs w:val="21"/>
          <w:highlight w:val="none"/>
        </w:rPr>
        <w:t>，</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w:t>
      </w:r>
      <w:r>
        <w:rPr>
          <w:rFonts w:ascii="楷体" w:hAnsi="楷体" w:eastAsia="楷体"/>
          <w:sz w:val="21"/>
          <w:szCs w:val="21"/>
          <w:highlight w:val="none"/>
        </w:rPr>
        <w:t>为</w:t>
      </w:r>
      <w:r>
        <w:rPr>
          <w:rFonts w:hint="eastAsia" w:ascii="楷体" w:hAnsi="楷体" w:eastAsia="楷体"/>
          <w:sz w:val="21"/>
          <w:szCs w:val="21"/>
          <w:highlight w:val="none"/>
        </w:rPr>
        <w:t>1.034613</w:t>
      </w:r>
      <w:r>
        <w:rPr>
          <w:rFonts w:ascii="楷体" w:hAnsi="楷体" w:eastAsia="楷体"/>
          <w:sz w:val="21"/>
          <w:szCs w:val="21"/>
          <w:highlight w:val="none"/>
        </w:rPr>
        <w:t>，</w:t>
      </w:r>
      <w:r>
        <w:rPr>
          <w:rFonts w:hint="eastAsia" w:ascii="楷体" w:hAnsi="楷体" w:eastAsia="楷体"/>
          <w:sz w:val="21"/>
          <w:szCs w:val="21"/>
          <w:highlight w:val="none"/>
        </w:rPr>
        <w:t>投资者申购确认份额为9665.45份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持有到期自动赎回全部份额</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产品单位净值为1.051812</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对应超额28.27元</w:t>
      </w:r>
      <w:r>
        <w:rPr>
          <w:rFonts w:hint="eastAsia" w:ascii="楷体" w:hAnsi="楷体" w:eastAsia="楷体"/>
          <w:sz w:val="21"/>
          <w:szCs w:val="21"/>
          <w:highlight w:val="none"/>
          <w:lang w:eastAsia="zh-CN"/>
        </w:rPr>
        <w:t>。</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/1.034613=9665.45份</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投资者赎回兑付金额=9665.45</w:t>
      </w:r>
      <w:r>
        <w:rPr>
          <w:rFonts w:ascii="楷体" w:hAnsi="楷体" w:eastAsia="楷体"/>
          <w:sz w:val="21"/>
          <w:szCs w:val="21"/>
          <w:highlight w:val="none"/>
        </w:rPr>
        <w:t>×</w:t>
      </w:r>
      <w:r>
        <w:rPr>
          <w:rFonts w:hint="eastAsia" w:ascii="楷体" w:hAnsi="楷体" w:eastAsia="楷体"/>
          <w:sz w:val="21"/>
          <w:szCs w:val="21"/>
          <w:highlight w:val="none"/>
        </w:rPr>
        <w:t>1.051812</w:t>
      </w:r>
      <w:r>
        <w:rPr>
          <w:rFonts w:hint="eastAsia" w:ascii="楷体" w:hAnsi="楷体" w:eastAsia="楷体"/>
          <w:sz w:val="21"/>
          <w:szCs w:val="21"/>
          <w:highlight w:val="none"/>
          <w:lang w:val="en-US" w:eastAsia="zh-CN"/>
        </w:rPr>
        <w:t>-28.27</w:t>
      </w:r>
      <w:r>
        <w:rPr>
          <w:rFonts w:hint="eastAsia" w:ascii="楷体" w:hAnsi="楷体" w:eastAsia="楷体"/>
          <w:sz w:val="21"/>
          <w:szCs w:val="21"/>
          <w:highlight w:val="none"/>
        </w:rPr>
        <w:t>=</w:t>
      </w:r>
      <w:r>
        <w:rPr>
          <w:rFonts w:hint="eastAsia" w:ascii="楷体" w:hAnsi="楷体" w:eastAsia="楷体"/>
          <w:sz w:val="21"/>
          <w:szCs w:val="21"/>
          <w:highlight w:val="none"/>
          <w:lang w:val="en-US" w:eastAsia="zh-CN"/>
        </w:rPr>
        <w:t>10137.97</w:t>
      </w:r>
      <w:r>
        <w:rPr>
          <w:rFonts w:hint="eastAsia" w:ascii="楷体" w:hAnsi="楷体" w:eastAsia="楷体"/>
          <w:sz w:val="21"/>
          <w:szCs w:val="21"/>
          <w:highlight w:val="none"/>
        </w:rPr>
        <w:t>元</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w:t>
      </w:r>
      <w:r>
        <w:rPr>
          <w:rFonts w:ascii="楷体" w:hAnsi="楷体" w:eastAsia="楷体"/>
          <w:sz w:val="21"/>
          <w:szCs w:val="21"/>
          <w:highlight w:val="none"/>
        </w:rPr>
        <w:t>投资收益金额=</w:t>
      </w:r>
      <w:r>
        <w:rPr>
          <w:rFonts w:hint="eastAsia" w:ascii="楷体" w:hAnsi="楷体" w:eastAsia="楷体"/>
          <w:sz w:val="21"/>
          <w:szCs w:val="21"/>
          <w:highlight w:val="none"/>
          <w:lang w:val="en-US" w:eastAsia="zh-CN"/>
        </w:rPr>
        <w:t>10137.97</w:t>
      </w:r>
      <w:r>
        <w:rPr>
          <w:rFonts w:ascii="楷体" w:hAnsi="楷体" w:eastAsia="楷体"/>
          <w:sz w:val="21"/>
          <w:szCs w:val="21"/>
          <w:highlight w:val="none"/>
        </w:rPr>
        <w:t>-</w:t>
      </w:r>
      <w:r>
        <w:rPr>
          <w:rFonts w:hint="eastAsia" w:ascii="楷体" w:hAnsi="楷体" w:eastAsia="楷体"/>
          <w:sz w:val="21"/>
          <w:szCs w:val="21"/>
          <w:highlight w:val="none"/>
        </w:rPr>
        <w:t>10000=</w:t>
      </w:r>
      <w:r>
        <w:rPr>
          <w:rFonts w:hint="eastAsia" w:ascii="楷体" w:hAnsi="楷体" w:eastAsia="楷体"/>
          <w:sz w:val="21"/>
          <w:szCs w:val="21"/>
          <w:highlight w:val="none"/>
          <w:lang w:val="en-US" w:eastAsia="zh-CN"/>
        </w:rPr>
        <w:t>137.97</w:t>
      </w:r>
      <w:r>
        <w:rPr>
          <w:rFonts w:hint="eastAsia" w:ascii="楷体" w:hAnsi="楷体" w:eastAsia="楷体"/>
          <w:sz w:val="21"/>
          <w:szCs w:val="21"/>
          <w:highlight w:val="none"/>
        </w:rPr>
        <w:t>元</w:t>
      </w:r>
    </w:p>
    <w:p>
      <w:pPr>
        <w:keepNext w:val="0"/>
        <w:keepLines w:val="0"/>
        <w:pageBreakBefore w:val="0"/>
        <w:widowControl w:val="0"/>
        <w:numPr>
          <w:ilvl w:val="0"/>
          <w:numId w:val="12"/>
        </w:numPr>
        <w:tabs>
          <w:tab w:val="left" w:pos="728"/>
        </w:tabs>
        <w:kinsoku/>
        <w:wordWrap/>
        <w:overflowPunct w:val="0"/>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情景二</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sz w:val="21"/>
          <w:szCs w:val="21"/>
          <w:highlight w:val="none"/>
          <w:lang w:val="en-US" w:eastAsia="zh-CN"/>
        </w:rPr>
      </w:pPr>
      <w:r>
        <w:rPr>
          <w:rFonts w:ascii="楷体" w:hAnsi="楷体" w:eastAsia="楷体"/>
          <w:sz w:val="21"/>
          <w:szCs w:val="21"/>
          <w:highlight w:val="none"/>
        </w:rPr>
        <w:t>假定投资者</w:t>
      </w:r>
      <w:r>
        <w:rPr>
          <w:rFonts w:hint="eastAsia" w:ascii="楷体" w:hAnsi="楷体" w:eastAsia="楷体"/>
          <w:sz w:val="21"/>
          <w:szCs w:val="21"/>
          <w:highlight w:val="none"/>
        </w:rPr>
        <w:t>申购1</w:t>
      </w:r>
      <w:r>
        <w:rPr>
          <w:rFonts w:ascii="楷体" w:hAnsi="楷体" w:eastAsia="楷体"/>
          <w:sz w:val="21"/>
          <w:szCs w:val="21"/>
          <w:highlight w:val="none"/>
        </w:rPr>
        <w:t>0000元</w:t>
      </w:r>
      <w:r>
        <w:rPr>
          <w:rFonts w:hint="eastAsia" w:ascii="楷体" w:hAnsi="楷体" w:eastAsia="楷体"/>
          <w:sz w:val="21"/>
          <w:szCs w:val="21"/>
          <w:highlight w:val="none"/>
          <w:lang w:val="en-US" w:eastAsia="zh-CN"/>
        </w:rPr>
        <w:t>本产品</w:t>
      </w:r>
      <w:r>
        <w:rPr>
          <w:rFonts w:ascii="楷体" w:hAnsi="楷体" w:eastAsia="楷体"/>
          <w:sz w:val="21"/>
          <w:szCs w:val="21"/>
          <w:highlight w:val="none"/>
        </w:rPr>
        <w:t>，</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w:t>
      </w:r>
      <w:r>
        <w:rPr>
          <w:rFonts w:ascii="楷体" w:hAnsi="楷体" w:eastAsia="楷体"/>
          <w:sz w:val="21"/>
          <w:szCs w:val="21"/>
          <w:highlight w:val="none"/>
        </w:rPr>
        <w:t>为</w:t>
      </w:r>
      <w:r>
        <w:rPr>
          <w:rFonts w:hint="eastAsia" w:ascii="楷体" w:hAnsi="楷体" w:eastAsia="楷体"/>
          <w:sz w:val="21"/>
          <w:szCs w:val="21"/>
          <w:highlight w:val="none"/>
        </w:rPr>
        <w:t>1.034613</w:t>
      </w:r>
      <w:r>
        <w:rPr>
          <w:rFonts w:ascii="楷体" w:hAnsi="楷体" w:eastAsia="楷体"/>
          <w:sz w:val="21"/>
          <w:szCs w:val="21"/>
          <w:highlight w:val="none"/>
        </w:rPr>
        <w:t>，</w:t>
      </w:r>
      <w:r>
        <w:rPr>
          <w:rFonts w:hint="eastAsia" w:ascii="楷体" w:hAnsi="楷体" w:eastAsia="楷体"/>
          <w:sz w:val="21"/>
          <w:szCs w:val="21"/>
          <w:highlight w:val="none"/>
        </w:rPr>
        <w:t>投资者申购确认份额为9665.45份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持有到期自动赎回全部份额</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产品单位净值为1.045832</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无超额</w:t>
      </w:r>
      <w:r>
        <w:rPr>
          <w:rFonts w:hint="eastAsia" w:ascii="楷体" w:hAnsi="楷体" w:eastAsia="楷体"/>
          <w:sz w:val="21"/>
          <w:szCs w:val="21"/>
          <w:highlight w:val="none"/>
          <w:lang w:eastAsia="zh-CN"/>
        </w:rPr>
        <w:t>。</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/1.034613=9665.45份</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投资者赎回兑付金额=9665.45</w:t>
      </w:r>
      <w:r>
        <w:rPr>
          <w:rFonts w:ascii="楷体" w:hAnsi="楷体" w:eastAsia="楷体"/>
          <w:sz w:val="21"/>
          <w:szCs w:val="21"/>
          <w:highlight w:val="none"/>
        </w:rPr>
        <w:t>×</w:t>
      </w:r>
      <w:r>
        <w:rPr>
          <w:rFonts w:hint="eastAsia" w:ascii="楷体" w:hAnsi="楷体" w:eastAsia="楷体"/>
          <w:sz w:val="21"/>
          <w:szCs w:val="21"/>
          <w:highlight w:val="none"/>
        </w:rPr>
        <w:t>1.045832=</w:t>
      </w:r>
      <w:r>
        <w:rPr>
          <w:rFonts w:hint="eastAsia" w:ascii="楷体" w:hAnsi="楷体" w:eastAsia="楷体"/>
          <w:sz w:val="21"/>
          <w:szCs w:val="21"/>
          <w:highlight w:val="none"/>
          <w:lang w:val="en-US" w:eastAsia="zh-CN"/>
        </w:rPr>
        <w:t>10108.44</w:t>
      </w:r>
      <w:r>
        <w:rPr>
          <w:rFonts w:hint="eastAsia" w:ascii="楷体" w:hAnsi="楷体" w:eastAsia="楷体"/>
          <w:sz w:val="21"/>
          <w:szCs w:val="21"/>
          <w:highlight w:val="none"/>
        </w:rPr>
        <w:t>元</w:t>
      </w:r>
    </w:p>
    <w:p>
      <w:pPr>
        <w:keepNext w:val="0"/>
        <w:keepLines w:val="0"/>
        <w:pageBreakBefore w:val="0"/>
        <w:kinsoku/>
        <w:wordWrap/>
        <w:overflowPunct w:val="0"/>
        <w:topLinePunct w:val="0"/>
        <w:autoSpaceDE/>
        <w:autoSpaceDN/>
        <w:bidi w:val="0"/>
        <w:ind w:firstLine="420" w:firstLineChars="200"/>
        <w:textAlignment w:val="auto"/>
        <w:rPr>
          <w:rFonts w:hint="eastAsia"/>
        </w:rPr>
      </w:pPr>
      <w:r>
        <w:rPr>
          <w:rFonts w:hint="eastAsia" w:ascii="楷体" w:hAnsi="楷体" w:eastAsia="楷体"/>
          <w:sz w:val="21"/>
          <w:szCs w:val="21"/>
          <w:highlight w:val="none"/>
        </w:rPr>
        <w:t>投资者</w:t>
      </w:r>
      <w:r>
        <w:rPr>
          <w:rFonts w:ascii="楷体" w:hAnsi="楷体" w:eastAsia="楷体"/>
          <w:sz w:val="21"/>
          <w:szCs w:val="21"/>
          <w:highlight w:val="none"/>
        </w:rPr>
        <w:t>投资收益金额=</w:t>
      </w:r>
      <w:r>
        <w:rPr>
          <w:rFonts w:hint="eastAsia" w:ascii="楷体" w:hAnsi="楷体" w:eastAsia="楷体"/>
          <w:sz w:val="21"/>
          <w:szCs w:val="21"/>
          <w:highlight w:val="none"/>
          <w:lang w:val="en-US" w:eastAsia="zh-CN"/>
        </w:rPr>
        <w:t>10108.44</w:t>
      </w:r>
      <w:r>
        <w:rPr>
          <w:rFonts w:ascii="楷体" w:hAnsi="楷体" w:eastAsia="楷体"/>
          <w:sz w:val="21"/>
          <w:szCs w:val="21"/>
          <w:highlight w:val="none"/>
        </w:rPr>
        <w:t>-</w:t>
      </w:r>
      <w:r>
        <w:rPr>
          <w:rFonts w:hint="eastAsia" w:ascii="楷体" w:hAnsi="楷体" w:eastAsia="楷体"/>
          <w:sz w:val="21"/>
          <w:szCs w:val="21"/>
          <w:highlight w:val="none"/>
        </w:rPr>
        <w:t>10000=</w:t>
      </w:r>
      <w:r>
        <w:rPr>
          <w:rFonts w:hint="eastAsia" w:ascii="楷体" w:hAnsi="楷体" w:eastAsia="楷体"/>
          <w:sz w:val="21"/>
          <w:szCs w:val="21"/>
          <w:highlight w:val="none"/>
          <w:lang w:val="en-US" w:eastAsia="zh-CN"/>
        </w:rPr>
        <w:t>108.44</w:t>
      </w:r>
      <w:r>
        <w:rPr>
          <w:rFonts w:hint="eastAsia" w:ascii="楷体" w:hAnsi="楷体" w:eastAsia="楷体"/>
          <w:sz w:val="21"/>
          <w:szCs w:val="21"/>
          <w:highlight w:val="none"/>
        </w:rPr>
        <w:t>元</w:t>
      </w:r>
    </w:p>
    <w:p>
      <w:pPr>
        <w:keepNext w:val="0"/>
        <w:keepLines w:val="0"/>
        <w:pageBreakBefore w:val="0"/>
        <w:widowControl w:val="0"/>
        <w:numPr>
          <w:ilvl w:val="0"/>
          <w:numId w:val="12"/>
        </w:numPr>
        <w:tabs>
          <w:tab w:val="left" w:pos="728"/>
        </w:tabs>
        <w:kinsoku/>
        <w:wordWrap/>
        <w:overflowPunct w:val="0"/>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w:t>
      </w:r>
      <w:r>
        <w:rPr>
          <w:rFonts w:hint="eastAsia" w:ascii="楷体" w:hAnsi="楷体" w:eastAsia="楷体" w:cs="Calibri"/>
          <w:sz w:val="21"/>
          <w:szCs w:val="21"/>
          <w:highlight w:val="none"/>
          <w:lang w:val="en-US" w:eastAsia="zh-CN"/>
        </w:rPr>
        <w:t>三</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rPr>
        <w:t>假定投资者申购10000元</w:t>
      </w:r>
      <w:r>
        <w:rPr>
          <w:rFonts w:hint="eastAsia" w:ascii="楷体" w:hAnsi="楷体" w:eastAsia="楷体"/>
          <w:sz w:val="21"/>
          <w:szCs w:val="21"/>
          <w:highlight w:val="none"/>
          <w:lang w:val="en-US" w:eastAsia="zh-CN"/>
        </w:rPr>
        <w:t>本产品</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产品单位净值为1.034613，投资者申购确认份额为9665.45份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持有到期自动赎回全部份额</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产品单位净值为1.03</w:t>
      </w:r>
      <w:r>
        <w:rPr>
          <w:rFonts w:hint="eastAsia" w:ascii="楷体" w:hAnsi="楷体" w:eastAsia="楷体"/>
          <w:sz w:val="21"/>
          <w:szCs w:val="21"/>
          <w:highlight w:val="none"/>
          <w:lang w:val="en-US" w:eastAsia="zh-CN"/>
        </w:rPr>
        <w:t>34</w:t>
      </w:r>
      <w:r>
        <w:rPr>
          <w:rFonts w:hint="eastAsia" w:ascii="楷体" w:hAnsi="楷体" w:eastAsia="楷体"/>
          <w:sz w:val="21"/>
          <w:szCs w:val="21"/>
          <w:highlight w:val="none"/>
        </w:rPr>
        <w:t>13</w:t>
      </w:r>
      <w:r>
        <w:rPr>
          <w:rFonts w:hint="eastAsia" w:ascii="楷体" w:hAnsi="楷体" w:eastAsia="楷体"/>
          <w:sz w:val="21"/>
          <w:szCs w:val="21"/>
          <w:highlight w:val="none"/>
          <w:lang w:eastAsia="zh-CN"/>
        </w:rPr>
        <w:t>。</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投资者申购确认份额=10000/1.034613=9665.45份</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投资者赎回兑付金额=9665.45×1.03</w:t>
      </w:r>
      <w:r>
        <w:rPr>
          <w:rFonts w:hint="eastAsia" w:ascii="楷体" w:hAnsi="楷体" w:eastAsia="楷体"/>
          <w:sz w:val="21"/>
          <w:szCs w:val="21"/>
          <w:highlight w:val="none"/>
          <w:lang w:val="en-US" w:eastAsia="zh-CN"/>
        </w:rPr>
        <w:t>34</w:t>
      </w:r>
      <w:r>
        <w:rPr>
          <w:rFonts w:hint="eastAsia" w:ascii="楷体" w:hAnsi="楷体" w:eastAsia="楷体"/>
          <w:sz w:val="21"/>
          <w:szCs w:val="21"/>
          <w:highlight w:val="none"/>
        </w:rPr>
        <w:t>13=</w:t>
      </w:r>
      <w:r>
        <w:rPr>
          <w:rFonts w:hint="eastAsia" w:ascii="楷体" w:hAnsi="楷体" w:eastAsia="楷体"/>
          <w:sz w:val="21"/>
          <w:szCs w:val="21"/>
          <w:highlight w:val="none"/>
          <w:lang w:val="en-US" w:eastAsia="zh-CN"/>
        </w:rPr>
        <w:t>9988.40</w:t>
      </w:r>
      <w:r>
        <w:rPr>
          <w:rFonts w:hint="eastAsia" w:ascii="楷体" w:hAnsi="楷体" w:eastAsia="楷体"/>
          <w:sz w:val="21"/>
          <w:szCs w:val="21"/>
          <w:highlight w:val="none"/>
        </w:rPr>
        <w:t>元</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投资者投资收益金额=</w:t>
      </w:r>
      <w:r>
        <w:rPr>
          <w:rFonts w:hint="eastAsia" w:ascii="楷体" w:hAnsi="楷体" w:eastAsia="楷体"/>
          <w:sz w:val="21"/>
          <w:szCs w:val="21"/>
          <w:highlight w:val="none"/>
          <w:lang w:val="en-US" w:eastAsia="zh-CN"/>
        </w:rPr>
        <w:t>9988.40</w:t>
      </w:r>
      <w:r>
        <w:rPr>
          <w:rFonts w:hint="eastAsia" w:ascii="楷体" w:hAnsi="楷体" w:eastAsia="楷体"/>
          <w:sz w:val="21"/>
          <w:szCs w:val="21"/>
          <w:highlight w:val="none"/>
        </w:rPr>
        <w:t>-10000=-</w:t>
      </w:r>
      <w:r>
        <w:rPr>
          <w:rFonts w:hint="eastAsia" w:ascii="楷体" w:hAnsi="楷体" w:eastAsia="楷体"/>
          <w:sz w:val="21"/>
          <w:szCs w:val="21"/>
          <w:highlight w:val="none"/>
          <w:lang w:val="en-US" w:eastAsia="zh-CN"/>
        </w:rPr>
        <w:t>11.60</w:t>
      </w:r>
      <w:r>
        <w:rPr>
          <w:rFonts w:hint="eastAsia" w:ascii="楷体" w:hAnsi="楷体" w:eastAsia="楷体"/>
          <w:sz w:val="21"/>
          <w:szCs w:val="21"/>
          <w:highlight w:val="none"/>
        </w:rPr>
        <w:t>元</w:t>
      </w:r>
    </w:p>
    <w:p>
      <w:pPr>
        <w:keepNext w:val="0"/>
        <w:keepLines w:val="0"/>
        <w:pageBreakBefore w:val="0"/>
        <w:kinsoku/>
        <w:wordWrap/>
        <w:overflowPunct w:val="0"/>
        <w:topLinePunct w:val="0"/>
        <w:autoSpaceDE/>
        <w:autoSpaceDN/>
        <w:bidi w:val="0"/>
        <w:ind w:firstLine="369" w:firstLineChars="176"/>
        <w:textAlignment w:val="auto"/>
        <w:rPr>
          <w:rFonts w:hint="eastAsia" w:ascii="楷体" w:hAnsi="楷体" w:eastAsia="楷体" w:cs="Calibri"/>
          <w:sz w:val="21"/>
          <w:szCs w:val="21"/>
          <w:highlight w:val="none"/>
        </w:rPr>
      </w:pPr>
      <w:r>
        <w:rPr>
          <w:rFonts w:hint="eastAsia" w:ascii="楷体" w:hAnsi="楷体" w:eastAsia="楷体"/>
          <w:sz w:val="21"/>
          <w:szCs w:val="21"/>
          <w:highlight w:val="none"/>
        </w:rPr>
        <w:t>投资者投资本理财产品实际亏损</w:t>
      </w:r>
      <w:r>
        <w:rPr>
          <w:rFonts w:hint="eastAsia" w:ascii="楷体" w:hAnsi="楷体" w:eastAsia="楷体"/>
          <w:sz w:val="21"/>
          <w:szCs w:val="21"/>
          <w:highlight w:val="none"/>
          <w:lang w:val="en-US" w:eastAsia="zh-CN"/>
        </w:rPr>
        <w:t>11.60</w:t>
      </w:r>
      <w:r>
        <w:rPr>
          <w:rFonts w:hint="eastAsia" w:ascii="楷体" w:hAnsi="楷体" w:eastAsia="楷体"/>
          <w:sz w:val="21"/>
          <w:szCs w:val="21"/>
          <w:highlight w:val="none"/>
        </w:rPr>
        <w:t>元，</w:t>
      </w:r>
      <w:r>
        <w:rPr>
          <w:rFonts w:hint="eastAsia" w:ascii="楷体" w:hAnsi="楷体" w:eastAsia="楷体"/>
          <w:b/>
          <w:sz w:val="21"/>
          <w:szCs w:val="21"/>
          <w:highlight w:val="none"/>
          <w:u w:val="single"/>
        </w:rPr>
        <w:t>最不利的情形下，投资者可能损失100%本金。</w:t>
      </w:r>
    </w:p>
    <w:p>
      <w:pPr>
        <w:keepNext w:val="0"/>
        <w:keepLines w:val="0"/>
        <w:pageBreakBefore w:val="0"/>
        <w:kinsoku/>
        <w:wordWrap/>
        <w:overflowPunct w:val="0"/>
        <w:topLinePunct w:val="0"/>
        <w:autoSpaceDE/>
        <w:autoSpaceDN/>
        <w:bidi w:val="0"/>
        <w:ind w:firstLine="373" w:firstLineChars="177"/>
        <w:textAlignment w:val="auto"/>
        <w:rPr>
          <w:rFonts w:hint="eastAsia" w:ascii="楷体" w:hAnsi="楷体" w:eastAsia="楷体"/>
          <w:sz w:val="21"/>
          <w:szCs w:val="21"/>
          <w:highlight w:val="none"/>
        </w:rPr>
      </w:pPr>
      <w:r>
        <w:rPr>
          <w:rFonts w:hint="eastAsia" w:ascii="楷体" w:hAnsi="楷体" w:eastAsia="楷体"/>
          <w:b/>
          <w:sz w:val="21"/>
          <w:szCs w:val="21"/>
          <w:highlight w:val="none"/>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134"/>
          <w:tab w:val="clear" w:pos="0"/>
        </w:tabs>
        <w:kinsoku/>
        <w:wordWrap/>
        <w:overflowPunct w:val="0"/>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产品费用</w:t>
      </w:r>
    </w:p>
    <w:p>
      <w:pPr>
        <w:keepNext w:val="0"/>
        <w:keepLines w:val="0"/>
        <w:pageBreakBefore w:val="0"/>
        <w:numPr>
          <w:ilvl w:val="0"/>
          <w:numId w:val="0"/>
        </w:numPr>
        <w:kinsoku/>
        <w:wordWrap/>
        <w:overflowPunct w:val="0"/>
        <w:topLinePunct w:val="0"/>
        <w:autoSpaceDE/>
        <w:autoSpaceDN/>
        <w:bidi w:val="0"/>
        <w:ind w:left="0" w:firstLine="420" w:firstLineChars="200"/>
        <w:textAlignment w:val="auto"/>
        <w:rPr>
          <w:rFonts w:hint="default" w:ascii="楷体" w:hAnsi="楷体" w:eastAsia="楷体" w:cs="Calibri"/>
          <w:color w:val="auto"/>
          <w:sz w:val="21"/>
          <w:szCs w:val="21"/>
          <w:highlight w:val="none"/>
        </w:rPr>
      </w:pPr>
      <w:r>
        <w:rPr>
          <w:rFonts w:hint="eastAsia" w:ascii="楷体" w:hAnsi="楷体" w:eastAsia="楷体"/>
          <w:color w:val="auto"/>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color w:val="auto"/>
          <w:sz w:val="21"/>
          <w:szCs w:val="21"/>
          <w:highlight w:val="none"/>
        </w:rPr>
        <w:t>计提方法</w:t>
      </w:r>
      <w:r>
        <w:rPr>
          <w:rFonts w:hint="eastAsia" w:ascii="楷体" w:hAnsi="楷体" w:eastAsia="楷体" w:cs="Calibri"/>
          <w:color w:val="auto"/>
          <w:sz w:val="21"/>
          <w:szCs w:val="21"/>
          <w:highlight w:val="none"/>
          <w:lang w:val="en-US" w:eastAsia="zh-CN"/>
        </w:rPr>
        <w:t>如下:</w:t>
      </w:r>
    </w:p>
    <w:p>
      <w:pPr>
        <w:keepNext w:val="0"/>
        <w:keepLines w:val="0"/>
        <w:pageBreakBefore w:val="0"/>
        <w:widowControl w:val="0"/>
        <w:numPr>
          <w:ilvl w:val="0"/>
          <w:numId w:val="13"/>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3"/>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3"/>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r>
        <w:rPr>
          <w:rFonts w:hint="eastAsia" w:ascii="楷体" w:hAnsi="楷体" w:eastAsia="楷体" w:cs="Calibri"/>
          <w:color w:val="auto"/>
          <w:sz w:val="21"/>
          <w:szCs w:val="21"/>
          <w:highlight w:val="none"/>
          <w:lang w:eastAsia="zh-CN"/>
        </w:rPr>
        <w:t>。</w:t>
      </w:r>
    </w:p>
    <w:p>
      <w:pPr>
        <w:keepNext w:val="0"/>
        <w:keepLines w:val="0"/>
        <w:pageBreakBefore w:val="0"/>
        <w:widowControl w:val="0"/>
        <w:numPr>
          <w:ilvl w:val="0"/>
          <w:numId w:val="13"/>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详见“产品要素”。</w:t>
      </w:r>
    </w:p>
    <w:p>
      <w:pPr>
        <w:keepNext w:val="0"/>
        <w:keepLines w:val="0"/>
        <w:pageBreakBefore w:val="0"/>
        <w:widowControl w:val="0"/>
        <w:numPr>
          <w:ilvl w:val="0"/>
          <w:numId w:val="13"/>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3"/>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本产品不收取认购费用、申购费用、赎回费用。</w:t>
      </w:r>
    </w:p>
    <w:p>
      <w:pPr>
        <w:keepNext w:val="0"/>
        <w:keepLines w:val="0"/>
        <w:pageBreakBefore w:val="0"/>
        <w:widowControl w:val="0"/>
        <w:numPr>
          <w:ilvl w:val="0"/>
          <w:numId w:val="13"/>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lang w:val="en-US" w:eastAsia="zh-CN"/>
        </w:rPr>
        <w:t>费用计算</w:t>
      </w:r>
      <w:r>
        <w:rPr>
          <w:rFonts w:hint="eastAsia" w:ascii="楷体" w:hAnsi="楷体" w:eastAsia="楷体" w:cs="楷体"/>
          <w:color w:val="auto"/>
          <w:sz w:val="21"/>
          <w:szCs w:val="21"/>
          <w:highlight w:val="none"/>
        </w:rPr>
        <w:t>四舍五入保留至小数点后两位</w:t>
      </w:r>
      <w:r>
        <w:rPr>
          <w:rFonts w:hint="eastAsia" w:ascii="楷体" w:hAnsi="楷体" w:eastAsia="楷体" w:cs="楷体"/>
          <w:color w:val="auto"/>
          <w:sz w:val="21"/>
          <w:szCs w:val="21"/>
          <w:highlight w:val="none"/>
          <w:lang w:eastAsia="zh-CN"/>
        </w:rPr>
        <w:t>。</w:t>
      </w:r>
    </w:p>
    <w:p>
      <w:pPr>
        <w:keepNext w:val="0"/>
        <w:keepLines w:val="0"/>
        <w:pageBreakBefore w:val="0"/>
        <w:kinsoku/>
        <w:wordWrap/>
        <w:overflowPunct w:val="0"/>
        <w:topLinePunct w:val="0"/>
        <w:autoSpaceDE/>
        <w:autoSpaceDN/>
        <w:bidi w:val="0"/>
        <w:ind w:firstLine="420" w:firstLineChars="200"/>
        <w:textAlignment w:val="auto"/>
        <w:rPr>
          <w:rFonts w:hint="eastAsia"/>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highlight w:val="none"/>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134"/>
          <w:tab w:val="clear" w:pos="0"/>
        </w:tabs>
        <w:kinsoku/>
        <w:wordWrap/>
        <w:overflowPunct w:val="0"/>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产品估值</w:t>
      </w:r>
    </w:p>
    <w:p>
      <w:pPr>
        <w:keepNext w:val="0"/>
        <w:keepLines w:val="0"/>
        <w:pageBreakBefore w:val="0"/>
        <w:widowControl w:val="0"/>
        <w:numPr>
          <w:ilvl w:val="0"/>
          <w:numId w:val="14"/>
        </w:numPr>
        <w:tabs>
          <w:tab w:val="left" w:pos="993"/>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估值对象</w:t>
      </w:r>
    </w:p>
    <w:p>
      <w:pPr>
        <w:keepNext w:val="0"/>
        <w:keepLines w:val="0"/>
        <w:pageBreakBefore w:val="0"/>
        <w:kinsoku/>
        <w:wordWrap/>
        <w:overflowPunct w:val="0"/>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本产品所拥有的各类证券、银行存款、应收款项及其它资产及负债。</w:t>
      </w:r>
    </w:p>
    <w:p>
      <w:pPr>
        <w:keepNext w:val="0"/>
        <w:keepLines w:val="0"/>
        <w:pageBreakBefore w:val="0"/>
        <w:widowControl w:val="0"/>
        <w:numPr>
          <w:ilvl w:val="0"/>
          <w:numId w:val="14"/>
        </w:numPr>
        <w:tabs>
          <w:tab w:val="left" w:pos="993"/>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估值要求</w:t>
      </w:r>
    </w:p>
    <w:p>
      <w:pPr>
        <w:keepNext w:val="0"/>
        <w:keepLines w:val="0"/>
        <w:pageBreakBefore w:val="0"/>
        <w:widowControl w:val="0"/>
        <w:numPr>
          <w:ilvl w:val="0"/>
          <w:numId w:val="15"/>
        </w:numPr>
        <w:tabs>
          <w:tab w:val="left" w:pos="728"/>
          <w:tab w:val="clear" w:pos="0"/>
        </w:tabs>
        <w:kinsoku/>
        <w:wordWrap/>
        <w:overflowPunct w:val="0"/>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p>
    <w:p>
      <w:pPr>
        <w:keepNext w:val="0"/>
        <w:keepLines w:val="0"/>
        <w:pageBreakBefore w:val="0"/>
        <w:widowControl w:val="0"/>
        <w:numPr>
          <w:ilvl w:val="0"/>
          <w:numId w:val="15"/>
        </w:numPr>
        <w:tabs>
          <w:tab w:val="left" w:pos="728"/>
          <w:tab w:val="clear" w:pos="0"/>
        </w:tabs>
        <w:kinsoku/>
        <w:wordWrap/>
        <w:overflowPunct w:val="0"/>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本产品单位净值精确到小数点后</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位，小数点</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位后截位。</w:t>
      </w:r>
    </w:p>
    <w:p>
      <w:pPr>
        <w:keepNext w:val="0"/>
        <w:keepLines w:val="0"/>
        <w:pageBreakBefore w:val="0"/>
        <w:widowControl w:val="0"/>
        <w:numPr>
          <w:ilvl w:val="0"/>
          <w:numId w:val="14"/>
        </w:numPr>
        <w:tabs>
          <w:tab w:val="left" w:pos="993"/>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估值方法</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1.存款类资产、货币市场工具：以本金列示，逐日计提利息。</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2.货币市场基金：以估值截止时间点能够取得的最新每万份收益进行估值。</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3.债券类资产：按公允价值进行估值，采用市价、第三方估值机构提供的估值价格、合理的估值技术或监管机构认可的其他估值方法进行估值。</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4.权益类资产：按公允价值进行估值，采用市价、第三方估值机构提供的估值价格、合理的估值技术或监管机构认可的其他估值方法进行估值。</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5.证券、基金、保险等资产管理计划和信托计划等资产（不含货币市场基金）：按照证券、基金、保险等资产管理计划和信托计划的管理人和托管人共同确认的最新净值或投资收益进行估值。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6.其他资产：按公允价值进行估值，采用合理的估值技术或监管机构认可的估值方法进行估值。</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如有新增事项或变更事项，按国家最新规定或管理人最新约定进行估值。</w:t>
      </w:r>
    </w:p>
    <w:p>
      <w:pPr>
        <w:keepNext w:val="0"/>
        <w:keepLines w:val="0"/>
        <w:pageBreakBefore w:val="0"/>
        <w:widowControl w:val="0"/>
        <w:numPr>
          <w:ilvl w:val="0"/>
          <w:numId w:val="14"/>
        </w:numPr>
        <w:tabs>
          <w:tab w:val="left" w:pos="993"/>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估值错误的处理</w:t>
      </w:r>
    </w:p>
    <w:p>
      <w:pPr>
        <w:keepNext w:val="0"/>
        <w:keepLines w:val="0"/>
        <w:pageBreakBefore w:val="0"/>
        <w:kinsoku/>
        <w:wordWrap/>
        <w:overflowPunct w:val="0"/>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4"/>
        </w:numPr>
        <w:tabs>
          <w:tab w:val="left" w:pos="993"/>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暂停估值</w:t>
      </w:r>
    </w:p>
    <w:p>
      <w:pPr>
        <w:keepNext w:val="0"/>
        <w:keepLines w:val="0"/>
        <w:pageBreakBefore w:val="0"/>
        <w:kinsoku/>
        <w:wordWrap/>
        <w:overflowPunct w:val="0"/>
        <w:topLinePunct w:val="0"/>
        <w:autoSpaceDE/>
        <w:autoSpaceDN/>
        <w:bidi w:val="0"/>
        <w:ind w:firstLine="420" w:firstLineChars="200"/>
        <w:textAlignment w:val="auto"/>
        <w:rPr>
          <w:rFonts w:hint="eastAsia"/>
          <w:highlight w:val="none"/>
        </w:rPr>
      </w:pPr>
      <w:r>
        <w:rPr>
          <w:rFonts w:hint="eastAsia" w:ascii="楷体" w:hAnsi="楷体" w:eastAsia="楷体"/>
          <w:b w:val="0"/>
          <w:bCs w:val="0"/>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134"/>
          <w:tab w:val="clear" w:pos="0"/>
        </w:tabs>
        <w:kinsoku/>
        <w:wordWrap/>
        <w:overflowPunct w:val="0"/>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信息披露</w:t>
      </w:r>
    </w:p>
    <w:p>
      <w:pPr>
        <w:keepNext w:val="0"/>
        <w:keepLines w:val="0"/>
        <w:pageBreakBefore w:val="0"/>
        <w:widowControl w:val="0"/>
        <w:numPr>
          <w:ilvl w:val="0"/>
          <w:numId w:val="16"/>
        </w:numPr>
        <w:tabs>
          <w:tab w:val="left" w:pos="993"/>
          <w:tab w:val="clear" w:pos="420"/>
        </w:tabs>
        <w:kinsoku/>
        <w:wordWrap/>
        <w:overflowPunct w:val="0"/>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方式</w:t>
      </w:r>
    </w:p>
    <w:p>
      <w:pPr>
        <w:keepNext w:val="0"/>
        <w:keepLines w:val="0"/>
        <w:pageBreakBefore w:val="0"/>
        <w:widowControl w:val="0"/>
        <w:numPr>
          <w:ilvl w:val="0"/>
          <w:numId w:val="17"/>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通过苏银理财有限责任公司官方网站（</w:t>
      </w:r>
      <w:r>
        <w:rPr>
          <w:rFonts w:ascii="楷体" w:hAnsi="楷体" w:eastAsia="楷体" w:cs="Calibri"/>
          <w:b w:val="0"/>
          <w:bCs w:val="0"/>
          <w:sz w:val="21"/>
          <w:szCs w:val="21"/>
          <w:highlight w:val="none"/>
        </w:rPr>
        <w:t>www</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suyinwealth</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com</w:t>
      </w:r>
      <w:r>
        <w:rPr>
          <w:rFonts w:hint="eastAsia" w:ascii="楷体" w:hAnsi="楷体" w:eastAsia="楷体" w:cs="Calibri"/>
          <w:b w:val="0"/>
          <w:bCs w:val="0"/>
          <w:sz w:val="21"/>
          <w:szCs w:val="21"/>
          <w:highlight w:val="none"/>
        </w:rPr>
        <w:t>）进行信息披露。</w:t>
      </w:r>
    </w:p>
    <w:p>
      <w:pPr>
        <w:keepNext w:val="0"/>
        <w:keepLines w:val="0"/>
        <w:pageBreakBefore w:val="0"/>
        <w:widowControl w:val="0"/>
        <w:numPr>
          <w:ilvl w:val="0"/>
          <w:numId w:val="17"/>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将信息披露内容发送销售机构，由销售机构通过</w:t>
      </w:r>
      <w:r>
        <w:rPr>
          <w:rFonts w:hint="eastAsia" w:ascii="楷体" w:hAnsi="楷体" w:eastAsia="楷体" w:cs="Calibri"/>
          <w:b w:val="0"/>
          <w:bCs w:val="0"/>
          <w:sz w:val="21"/>
          <w:szCs w:val="21"/>
          <w:highlight w:val="none"/>
          <w:lang w:val="en-US" w:eastAsia="zh-CN"/>
        </w:rPr>
        <w:t>短信及</w:t>
      </w:r>
      <w:r>
        <w:rPr>
          <w:rFonts w:hint="eastAsia" w:ascii="楷体" w:hAnsi="楷体" w:eastAsia="楷体" w:cs="Calibri"/>
          <w:b w:val="0"/>
          <w:bCs w:val="0"/>
          <w:sz w:val="21"/>
          <w:szCs w:val="21"/>
          <w:highlight w:val="none"/>
        </w:rPr>
        <w:t>销售机构电子渠道和营业网点</w:t>
      </w:r>
      <w:r>
        <w:rPr>
          <w:rFonts w:hint="eastAsia" w:ascii="楷体" w:hAnsi="楷体" w:eastAsia="楷体" w:cs="Calibri"/>
          <w:b w:val="0"/>
          <w:bCs w:val="0"/>
          <w:sz w:val="21"/>
          <w:szCs w:val="21"/>
          <w:highlight w:val="none"/>
          <w:lang w:val="en-US" w:eastAsia="zh-CN"/>
        </w:rPr>
        <w:t>等方式</w:t>
      </w:r>
      <w:r>
        <w:rPr>
          <w:rFonts w:hint="eastAsia" w:ascii="楷体" w:hAnsi="楷体" w:eastAsia="楷体" w:cs="Calibri"/>
          <w:b w:val="0"/>
          <w:bCs w:val="0"/>
          <w:sz w:val="21"/>
          <w:szCs w:val="21"/>
          <w:highlight w:val="none"/>
        </w:rPr>
        <w:t>进行信息披露。</w:t>
      </w:r>
    </w:p>
    <w:p>
      <w:pPr>
        <w:keepNext w:val="0"/>
        <w:keepLines w:val="0"/>
        <w:pageBreakBefore w:val="0"/>
        <w:numPr>
          <w:ilvl w:val="0"/>
          <w:numId w:val="0"/>
        </w:numPr>
        <w:kinsoku/>
        <w:wordWrap/>
        <w:overflowPunct w:val="0"/>
        <w:topLinePunct w:val="0"/>
        <w:autoSpaceDE/>
        <w:autoSpaceDN/>
        <w:bidi w:val="0"/>
        <w:ind w:left="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b w:val="0"/>
          <w:bCs w:val="0"/>
          <w:sz w:val="21"/>
          <w:szCs w:val="21"/>
          <w:highlight w:val="none"/>
        </w:rPr>
        <w:t>相关信息在发布或发出之日视为通知已送达投资者并生效，</w:t>
      </w:r>
      <w:r>
        <w:rPr>
          <w:rFonts w:hint="eastAsia" w:ascii="楷体" w:hAnsi="楷体" w:eastAsia="楷体"/>
          <w:b w:val="0"/>
          <w:bCs w:val="0"/>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b w:val="0"/>
          <w:bCs w:val="0"/>
          <w:sz w:val="21"/>
          <w:szCs w:val="21"/>
          <w:highlight w:val="none"/>
        </w:rPr>
        <w:t>请</w:t>
      </w:r>
      <w:r>
        <w:rPr>
          <w:rFonts w:hint="eastAsia" w:ascii="楷体" w:hAnsi="楷体" w:eastAsia="楷体"/>
          <w:b w:val="0"/>
          <w:bCs w:val="0"/>
          <w:sz w:val="21"/>
          <w:szCs w:val="21"/>
          <w:highlight w:val="none"/>
          <w:lang w:val="en-US" w:eastAsia="zh-CN"/>
        </w:rPr>
        <w:t>投资者</w:t>
      </w:r>
      <w:r>
        <w:rPr>
          <w:rFonts w:hint="eastAsia" w:ascii="楷体" w:hAnsi="楷体" w:eastAsia="楷体"/>
          <w:b w:val="0"/>
          <w:bCs w:val="0"/>
          <w:sz w:val="21"/>
          <w:szCs w:val="21"/>
          <w:highlight w:val="none"/>
        </w:rPr>
        <w:t>及时登陆苏银理财有限责任</w:t>
      </w:r>
      <w:r>
        <w:rPr>
          <w:rFonts w:hint="eastAsia" w:ascii="楷体" w:hAnsi="楷体" w:eastAsia="楷体"/>
          <w:b w:val="0"/>
          <w:bCs w:val="0"/>
          <w:sz w:val="21"/>
          <w:szCs w:val="21"/>
          <w:highlight w:val="none"/>
          <w:lang w:val="en-US" w:eastAsia="zh-CN"/>
        </w:rPr>
        <w:t>公司</w:t>
      </w:r>
      <w:r>
        <w:rPr>
          <w:rFonts w:hint="eastAsia" w:ascii="楷体" w:hAnsi="楷体" w:eastAsia="楷体"/>
          <w:b w:val="0"/>
          <w:bCs w:val="0"/>
          <w:sz w:val="21"/>
          <w:szCs w:val="21"/>
          <w:highlight w:val="none"/>
        </w:rPr>
        <w:t>官方网站或者向销售机构查询获取披露信息</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6"/>
        </w:numPr>
        <w:tabs>
          <w:tab w:val="left" w:pos="993"/>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内容及时间</w:t>
      </w:r>
    </w:p>
    <w:p>
      <w:pPr>
        <w:keepNext w:val="0"/>
        <w:keepLines w:val="0"/>
        <w:pageBreakBefore w:val="0"/>
        <w:widowControl w:val="0"/>
        <w:numPr>
          <w:ilvl w:val="0"/>
          <w:numId w:val="18"/>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8"/>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8"/>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8"/>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8"/>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8"/>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8"/>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8"/>
        </w:numPr>
        <w:tabs>
          <w:tab w:val="left" w:pos="728"/>
          <w:tab w:val="clear" w:pos="420"/>
        </w:tabs>
        <w:kinsoku/>
        <w:wordWrap/>
        <w:overflowPunct w:val="0"/>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134"/>
          <w:tab w:val="clear" w:pos="0"/>
        </w:tabs>
        <w:kinsoku/>
        <w:wordWrap/>
        <w:overflowPunct w:val="0"/>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其他</w:t>
      </w:r>
    </w:p>
    <w:p>
      <w:pPr>
        <w:keepNext w:val="0"/>
        <w:keepLines w:val="0"/>
        <w:pageBreakBefore w:val="0"/>
        <w:widowControl w:val="0"/>
        <w:numPr>
          <w:ilvl w:val="0"/>
          <w:numId w:val="19"/>
        </w:numPr>
        <w:tabs>
          <w:tab w:val="left" w:pos="993"/>
          <w:tab w:val="clear" w:pos="420"/>
        </w:tabs>
        <w:kinsoku/>
        <w:wordWrap/>
        <w:overflowPunct w:val="0"/>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追索条款</w:t>
      </w:r>
    </w:p>
    <w:p>
      <w:pPr>
        <w:keepNext w:val="0"/>
        <w:keepLines w:val="0"/>
        <w:pageBreakBefore w:val="0"/>
        <w:kinsoku/>
        <w:wordWrap/>
        <w:overflowPunct w:val="0"/>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keepNext w:val="0"/>
        <w:keepLines w:val="0"/>
        <w:pageBreakBefore w:val="0"/>
        <w:widowControl w:val="0"/>
        <w:numPr>
          <w:ilvl w:val="0"/>
          <w:numId w:val="19"/>
        </w:numPr>
        <w:tabs>
          <w:tab w:val="left" w:pos="993"/>
          <w:tab w:val="clear" w:pos="420"/>
        </w:tabs>
        <w:kinsoku/>
        <w:wordWrap/>
        <w:overflowPunct w:val="0"/>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信息安全</w:t>
      </w:r>
    </w:p>
    <w:p>
      <w:pPr>
        <w:keepNext w:val="0"/>
        <w:keepLines w:val="0"/>
        <w:pageBreakBefore w:val="0"/>
        <w:kinsoku/>
        <w:wordWrap/>
        <w:overflowPunct w:val="0"/>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苏银理财及</w:t>
      </w:r>
      <w:r>
        <w:rPr>
          <w:rFonts w:hint="eastAsia" w:ascii="楷体" w:hAnsi="楷体" w:eastAsia="楷体"/>
          <w:b w:val="0"/>
          <w:bCs w:val="0"/>
          <w:color w:val="auto"/>
          <w:sz w:val="21"/>
          <w:szCs w:val="21"/>
          <w:highlight w:val="none"/>
          <w:lang w:val="en-US" w:eastAsia="zh-CN"/>
        </w:rPr>
        <w:t>销售</w:t>
      </w:r>
      <w:r>
        <w:rPr>
          <w:rFonts w:hint="eastAsia" w:ascii="楷体" w:hAnsi="楷体" w:eastAsia="楷体"/>
          <w:b w:val="0"/>
          <w:bCs w:val="0"/>
          <w:color w:val="auto"/>
          <w:sz w:val="21"/>
          <w:szCs w:val="21"/>
          <w:highlight w:val="none"/>
        </w:rPr>
        <w:t>机构将据相关法律、法规严格履行投资者信息保密责任，除监管机构或司法机关等有权机构外，不得对其他第三方提供任何投资者信息。</w:t>
      </w:r>
    </w:p>
    <w:p>
      <w:pPr>
        <w:keepNext w:val="0"/>
        <w:keepLines w:val="0"/>
        <w:pageBreakBefore w:val="0"/>
        <w:widowControl w:val="0"/>
        <w:numPr>
          <w:ilvl w:val="0"/>
          <w:numId w:val="19"/>
        </w:numPr>
        <w:tabs>
          <w:tab w:val="left" w:pos="993"/>
          <w:tab w:val="clear" w:pos="420"/>
        </w:tabs>
        <w:kinsoku/>
        <w:wordWrap/>
        <w:overflowPunct w:val="0"/>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争议解决</w:t>
      </w:r>
    </w:p>
    <w:p>
      <w:pPr>
        <w:keepNext w:val="0"/>
        <w:keepLines w:val="0"/>
        <w:pageBreakBefore w:val="0"/>
        <w:kinsoku/>
        <w:wordWrap/>
        <w:overflowPunct w:val="0"/>
        <w:topLinePunct w:val="0"/>
        <w:autoSpaceDE/>
        <w:autoSpaceDN/>
        <w:bidi w:val="0"/>
        <w:adjustRightInd w:val="0"/>
        <w:ind w:firstLine="420" w:firstLineChars="200"/>
        <w:textAlignment w:val="auto"/>
        <w:rPr>
          <w:rFonts w:hint="eastAsia" w:ascii="楷体" w:hAnsi="楷体" w:eastAsia="楷体"/>
          <w:sz w:val="24"/>
          <w:szCs w:val="24"/>
          <w:highlight w:val="none"/>
        </w:rPr>
      </w:pP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highlight w:val="none"/>
          <w:lang w:val="en-US" w:eastAsia="zh-CN"/>
        </w:rPr>
        <w:t>因本产品说明书</w:t>
      </w:r>
      <w:r>
        <w:rPr>
          <w:rFonts w:hint="eastAsia" w:ascii="楷体" w:hAnsi="楷体" w:eastAsia="楷体"/>
          <w:b w:val="0"/>
          <w:bCs w:val="0"/>
          <w:color w:val="auto"/>
          <w:sz w:val="21"/>
          <w:szCs w:val="21"/>
          <w:highlight w:val="none"/>
        </w:rPr>
        <w:t>引起的或与</w:t>
      </w: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635" b="190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3175" b="698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3175" b="698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3175" b="698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9EF6621"/>
    <w:multiLevelType w:val="multilevel"/>
    <w:tmpl w:val="89EF6621"/>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9C08A8C"/>
    <w:multiLevelType w:val="multilevel"/>
    <w:tmpl w:val="A9C08A8C"/>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D34E8ACE"/>
    <w:multiLevelType w:val="multilevel"/>
    <w:tmpl w:val="D34E8ACE"/>
    <w:lvl w:ilvl="0" w:tentative="0">
      <w:start w:val="1"/>
      <w:numFmt w:val="chineseCounting"/>
      <w:suff w:val="nothing"/>
      <w:lvlText w:val="（%1）"/>
      <w:lvlJc w:val="left"/>
      <w:pPr>
        <w:tabs>
          <w:tab w:val="left" w:pos="0"/>
        </w:tabs>
        <w:ind w:left="420" w:hanging="42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D4FA9CD1"/>
    <w:multiLevelType w:val="singleLevel"/>
    <w:tmpl w:val="D4FA9CD1"/>
    <w:lvl w:ilvl="0" w:tentative="0">
      <w:start w:val="1"/>
      <w:numFmt w:val="decimalEnclosedCircleChinese"/>
      <w:suff w:val="nothing"/>
      <w:lvlText w:val="%1"/>
      <w:lvlJc w:val="left"/>
      <w:pPr>
        <w:tabs>
          <w:tab w:val="left" w:pos="0"/>
        </w:tabs>
        <w:ind w:left="0" w:firstLine="0"/>
      </w:pPr>
      <w:rPr>
        <w:rFonts w:hint="eastAsia" w:ascii="楷体" w:hAnsi="楷体" w:eastAsia="楷体" w:cs="楷体"/>
      </w:rPr>
    </w:lvl>
  </w:abstractNum>
  <w:abstractNum w:abstractNumId="6">
    <w:nsid w:val="D55A4D67"/>
    <w:multiLevelType w:val="multilevel"/>
    <w:tmpl w:val="D55A4D67"/>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F9EB37A1"/>
    <w:multiLevelType w:val="multilevel"/>
    <w:tmpl w:val="F9EB37A1"/>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FABDD487"/>
    <w:multiLevelType w:val="multilevel"/>
    <w:tmpl w:val="FABDD487"/>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FFB76D11"/>
    <w:multiLevelType w:val="multilevel"/>
    <w:tmpl w:val="FFB76D11"/>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2F62CAAB"/>
    <w:multiLevelType w:val="singleLevel"/>
    <w:tmpl w:val="2F62CAAB"/>
    <w:lvl w:ilvl="0" w:tentative="0">
      <w:start w:val="1"/>
      <w:numFmt w:val="decimal"/>
      <w:suff w:val="nothing"/>
      <w:lvlText w:val="%1."/>
      <w:lvlJc w:val="left"/>
      <w:pPr>
        <w:tabs>
          <w:tab w:val="left" w:pos="0"/>
        </w:tabs>
        <w:ind w:left="0" w:firstLine="0"/>
      </w:pPr>
      <w:rPr>
        <w:rFonts w:hint="default"/>
      </w:rPr>
    </w:lvl>
  </w:abstractNum>
  <w:abstractNum w:abstractNumId="13">
    <w:nsid w:val="3603F780"/>
    <w:multiLevelType w:val="multilevel"/>
    <w:tmpl w:val="3603F780"/>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15">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6">
    <w:nsid w:val="537C70F8"/>
    <w:multiLevelType w:val="multilevel"/>
    <w:tmpl w:val="537C70F8"/>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63B36EF9"/>
    <w:multiLevelType w:val="multilevel"/>
    <w:tmpl w:val="63B36EF9"/>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66CD7663"/>
    <w:multiLevelType w:val="multilevel"/>
    <w:tmpl w:val="66CD7663"/>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4"/>
  </w:num>
  <w:num w:numId="2">
    <w:abstractNumId w:val="16"/>
  </w:num>
  <w:num w:numId="3">
    <w:abstractNumId w:val="4"/>
  </w:num>
  <w:num w:numId="4">
    <w:abstractNumId w:val="3"/>
  </w:num>
  <w:num w:numId="5">
    <w:abstractNumId w:val="10"/>
  </w:num>
  <w:num w:numId="6">
    <w:abstractNumId w:val="6"/>
  </w:num>
  <w:num w:numId="7">
    <w:abstractNumId w:val="5"/>
  </w:num>
  <w:num w:numId="8">
    <w:abstractNumId w:val="15"/>
  </w:num>
  <w:num w:numId="9">
    <w:abstractNumId w:val="17"/>
  </w:num>
  <w:num w:numId="10">
    <w:abstractNumId w:val="9"/>
  </w:num>
  <w:num w:numId="11">
    <w:abstractNumId w:val="11"/>
  </w:num>
  <w:num w:numId="12">
    <w:abstractNumId w:val="1"/>
  </w:num>
  <w:num w:numId="13">
    <w:abstractNumId w:val="0"/>
  </w:num>
  <w:num w:numId="14">
    <w:abstractNumId w:val="18"/>
  </w:num>
  <w:num w:numId="15">
    <w:abstractNumId w:val="12"/>
  </w:num>
  <w:num w:numId="16">
    <w:abstractNumId w:val="2"/>
  </w:num>
  <w:num w:numId="17">
    <w:abstractNumId w:val="13"/>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2F"/>
    <w:rsid w:val="00001D6B"/>
    <w:rsid w:val="00001E2F"/>
    <w:rsid w:val="00002389"/>
    <w:rsid w:val="000025C6"/>
    <w:rsid w:val="00003606"/>
    <w:rsid w:val="000043F8"/>
    <w:rsid w:val="000048B0"/>
    <w:rsid w:val="00004FA3"/>
    <w:rsid w:val="00005B01"/>
    <w:rsid w:val="00007563"/>
    <w:rsid w:val="00007F77"/>
    <w:rsid w:val="000101E4"/>
    <w:rsid w:val="0001103A"/>
    <w:rsid w:val="000120EF"/>
    <w:rsid w:val="000130AA"/>
    <w:rsid w:val="000131EF"/>
    <w:rsid w:val="00013628"/>
    <w:rsid w:val="00014334"/>
    <w:rsid w:val="00015A92"/>
    <w:rsid w:val="00015D58"/>
    <w:rsid w:val="00016232"/>
    <w:rsid w:val="00017AB0"/>
    <w:rsid w:val="000202D4"/>
    <w:rsid w:val="0002052D"/>
    <w:rsid w:val="000206F2"/>
    <w:rsid w:val="00020A6F"/>
    <w:rsid w:val="00021007"/>
    <w:rsid w:val="00022C9F"/>
    <w:rsid w:val="00023BA8"/>
    <w:rsid w:val="0002422A"/>
    <w:rsid w:val="000247F9"/>
    <w:rsid w:val="00027967"/>
    <w:rsid w:val="00027E0E"/>
    <w:rsid w:val="00027E61"/>
    <w:rsid w:val="00027F48"/>
    <w:rsid w:val="0003072E"/>
    <w:rsid w:val="00030D69"/>
    <w:rsid w:val="00031806"/>
    <w:rsid w:val="00031F80"/>
    <w:rsid w:val="00033EF7"/>
    <w:rsid w:val="00034890"/>
    <w:rsid w:val="000348C1"/>
    <w:rsid w:val="00035097"/>
    <w:rsid w:val="00036482"/>
    <w:rsid w:val="000372DB"/>
    <w:rsid w:val="00037CC9"/>
    <w:rsid w:val="000405B1"/>
    <w:rsid w:val="00042DCC"/>
    <w:rsid w:val="00043D5F"/>
    <w:rsid w:val="000461C3"/>
    <w:rsid w:val="000469D0"/>
    <w:rsid w:val="00046E92"/>
    <w:rsid w:val="00050975"/>
    <w:rsid w:val="00050DF3"/>
    <w:rsid w:val="00050E5A"/>
    <w:rsid w:val="00051317"/>
    <w:rsid w:val="00051703"/>
    <w:rsid w:val="0005219D"/>
    <w:rsid w:val="000532AB"/>
    <w:rsid w:val="00053BD9"/>
    <w:rsid w:val="00054854"/>
    <w:rsid w:val="000554B0"/>
    <w:rsid w:val="00055892"/>
    <w:rsid w:val="00056102"/>
    <w:rsid w:val="00056289"/>
    <w:rsid w:val="00057D3B"/>
    <w:rsid w:val="00060571"/>
    <w:rsid w:val="00061D74"/>
    <w:rsid w:val="00062791"/>
    <w:rsid w:val="000636A6"/>
    <w:rsid w:val="00063EE4"/>
    <w:rsid w:val="0006404F"/>
    <w:rsid w:val="00064F2B"/>
    <w:rsid w:val="000650CF"/>
    <w:rsid w:val="000656DE"/>
    <w:rsid w:val="0006590E"/>
    <w:rsid w:val="00066F56"/>
    <w:rsid w:val="000677EE"/>
    <w:rsid w:val="000679B3"/>
    <w:rsid w:val="00067F18"/>
    <w:rsid w:val="00070D08"/>
    <w:rsid w:val="000713B1"/>
    <w:rsid w:val="00071418"/>
    <w:rsid w:val="00071581"/>
    <w:rsid w:val="00072647"/>
    <w:rsid w:val="0007293A"/>
    <w:rsid w:val="00072D1F"/>
    <w:rsid w:val="0007366C"/>
    <w:rsid w:val="00074189"/>
    <w:rsid w:val="00074306"/>
    <w:rsid w:val="00077C7D"/>
    <w:rsid w:val="000807AE"/>
    <w:rsid w:val="00080C2C"/>
    <w:rsid w:val="00081AD6"/>
    <w:rsid w:val="0008269B"/>
    <w:rsid w:val="00083410"/>
    <w:rsid w:val="0008386F"/>
    <w:rsid w:val="000853F6"/>
    <w:rsid w:val="000867A8"/>
    <w:rsid w:val="00087036"/>
    <w:rsid w:val="00087EDB"/>
    <w:rsid w:val="000914A2"/>
    <w:rsid w:val="000918B5"/>
    <w:rsid w:val="00093C11"/>
    <w:rsid w:val="00094566"/>
    <w:rsid w:val="00094631"/>
    <w:rsid w:val="00094EA8"/>
    <w:rsid w:val="0009533A"/>
    <w:rsid w:val="00096382"/>
    <w:rsid w:val="00096F94"/>
    <w:rsid w:val="0009795C"/>
    <w:rsid w:val="00097F80"/>
    <w:rsid w:val="000A0CF5"/>
    <w:rsid w:val="000A1E61"/>
    <w:rsid w:val="000A2D2D"/>
    <w:rsid w:val="000A2E68"/>
    <w:rsid w:val="000A326F"/>
    <w:rsid w:val="000A45AB"/>
    <w:rsid w:val="000A5306"/>
    <w:rsid w:val="000A5A45"/>
    <w:rsid w:val="000A5AC2"/>
    <w:rsid w:val="000B0078"/>
    <w:rsid w:val="000B22CD"/>
    <w:rsid w:val="000B2615"/>
    <w:rsid w:val="000B28FE"/>
    <w:rsid w:val="000B3B58"/>
    <w:rsid w:val="000B3EFD"/>
    <w:rsid w:val="000B4253"/>
    <w:rsid w:val="000B52D9"/>
    <w:rsid w:val="000B659B"/>
    <w:rsid w:val="000B6AEF"/>
    <w:rsid w:val="000B6E9F"/>
    <w:rsid w:val="000C12E3"/>
    <w:rsid w:val="000C42F9"/>
    <w:rsid w:val="000C44FD"/>
    <w:rsid w:val="000C54ED"/>
    <w:rsid w:val="000C6143"/>
    <w:rsid w:val="000C6B07"/>
    <w:rsid w:val="000C7382"/>
    <w:rsid w:val="000D0059"/>
    <w:rsid w:val="000D08F8"/>
    <w:rsid w:val="000D10C9"/>
    <w:rsid w:val="000D1F0D"/>
    <w:rsid w:val="000D2387"/>
    <w:rsid w:val="000D35BD"/>
    <w:rsid w:val="000D4F83"/>
    <w:rsid w:val="000D71CF"/>
    <w:rsid w:val="000D7225"/>
    <w:rsid w:val="000D722C"/>
    <w:rsid w:val="000D7809"/>
    <w:rsid w:val="000E0485"/>
    <w:rsid w:val="000E2E7D"/>
    <w:rsid w:val="000E34A7"/>
    <w:rsid w:val="000E34F3"/>
    <w:rsid w:val="000E400B"/>
    <w:rsid w:val="000E4205"/>
    <w:rsid w:val="000E575B"/>
    <w:rsid w:val="000E6227"/>
    <w:rsid w:val="000E6310"/>
    <w:rsid w:val="000E7CF6"/>
    <w:rsid w:val="000E7E08"/>
    <w:rsid w:val="000E7E53"/>
    <w:rsid w:val="000F0433"/>
    <w:rsid w:val="000F0802"/>
    <w:rsid w:val="000F0B34"/>
    <w:rsid w:val="000F1D3C"/>
    <w:rsid w:val="000F2129"/>
    <w:rsid w:val="000F3DD2"/>
    <w:rsid w:val="000F4243"/>
    <w:rsid w:val="000F4ABF"/>
    <w:rsid w:val="000F5B66"/>
    <w:rsid w:val="000F5FF6"/>
    <w:rsid w:val="000F65C5"/>
    <w:rsid w:val="000F7056"/>
    <w:rsid w:val="000F7D2C"/>
    <w:rsid w:val="000F7F9F"/>
    <w:rsid w:val="00100F0C"/>
    <w:rsid w:val="001025A3"/>
    <w:rsid w:val="0010303D"/>
    <w:rsid w:val="001030B4"/>
    <w:rsid w:val="001036A0"/>
    <w:rsid w:val="0010457E"/>
    <w:rsid w:val="001065F5"/>
    <w:rsid w:val="00106AD4"/>
    <w:rsid w:val="00106C25"/>
    <w:rsid w:val="00106C69"/>
    <w:rsid w:val="00110417"/>
    <w:rsid w:val="00110A34"/>
    <w:rsid w:val="00111670"/>
    <w:rsid w:val="001116B6"/>
    <w:rsid w:val="00111E3E"/>
    <w:rsid w:val="001126F6"/>
    <w:rsid w:val="001128B8"/>
    <w:rsid w:val="00113CAA"/>
    <w:rsid w:val="0011567D"/>
    <w:rsid w:val="00115E7F"/>
    <w:rsid w:val="00121925"/>
    <w:rsid w:val="00122F58"/>
    <w:rsid w:val="0012352A"/>
    <w:rsid w:val="00123893"/>
    <w:rsid w:val="001238E9"/>
    <w:rsid w:val="0012411A"/>
    <w:rsid w:val="001242DE"/>
    <w:rsid w:val="00125B8C"/>
    <w:rsid w:val="0012647A"/>
    <w:rsid w:val="00126CA4"/>
    <w:rsid w:val="0013007E"/>
    <w:rsid w:val="00130849"/>
    <w:rsid w:val="00130EED"/>
    <w:rsid w:val="00130F7B"/>
    <w:rsid w:val="00132F8C"/>
    <w:rsid w:val="001334DD"/>
    <w:rsid w:val="0013364F"/>
    <w:rsid w:val="00133916"/>
    <w:rsid w:val="00133B98"/>
    <w:rsid w:val="00133F17"/>
    <w:rsid w:val="0013472F"/>
    <w:rsid w:val="00134733"/>
    <w:rsid w:val="001359ED"/>
    <w:rsid w:val="00136031"/>
    <w:rsid w:val="00136174"/>
    <w:rsid w:val="0013788B"/>
    <w:rsid w:val="0014066A"/>
    <w:rsid w:val="00140B25"/>
    <w:rsid w:val="00141246"/>
    <w:rsid w:val="001416EE"/>
    <w:rsid w:val="0014279A"/>
    <w:rsid w:val="00142AE4"/>
    <w:rsid w:val="001450DF"/>
    <w:rsid w:val="00145CA6"/>
    <w:rsid w:val="0014734D"/>
    <w:rsid w:val="00152B36"/>
    <w:rsid w:val="001530B2"/>
    <w:rsid w:val="001539BE"/>
    <w:rsid w:val="001543E7"/>
    <w:rsid w:val="00155147"/>
    <w:rsid w:val="00155B77"/>
    <w:rsid w:val="001602D7"/>
    <w:rsid w:val="00160569"/>
    <w:rsid w:val="001607BE"/>
    <w:rsid w:val="00161E2F"/>
    <w:rsid w:val="001624A3"/>
    <w:rsid w:val="001624CE"/>
    <w:rsid w:val="001624DA"/>
    <w:rsid w:val="00162BF5"/>
    <w:rsid w:val="001635F5"/>
    <w:rsid w:val="001639EF"/>
    <w:rsid w:val="001640D4"/>
    <w:rsid w:val="00165E23"/>
    <w:rsid w:val="00166B3A"/>
    <w:rsid w:val="00166CD4"/>
    <w:rsid w:val="00170099"/>
    <w:rsid w:val="00170194"/>
    <w:rsid w:val="00170927"/>
    <w:rsid w:val="0017092A"/>
    <w:rsid w:val="00170984"/>
    <w:rsid w:val="001722CD"/>
    <w:rsid w:val="001725B6"/>
    <w:rsid w:val="00172ACA"/>
    <w:rsid w:val="00172D8B"/>
    <w:rsid w:val="00172F57"/>
    <w:rsid w:val="00173177"/>
    <w:rsid w:val="00174417"/>
    <w:rsid w:val="001749CF"/>
    <w:rsid w:val="00175CEC"/>
    <w:rsid w:val="00176B8E"/>
    <w:rsid w:val="00176DCF"/>
    <w:rsid w:val="00177BCC"/>
    <w:rsid w:val="0018035B"/>
    <w:rsid w:val="00180DEC"/>
    <w:rsid w:val="00181CB9"/>
    <w:rsid w:val="0018251A"/>
    <w:rsid w:val="00183891"/>
    <w:rsid w:val="0018458D"/>
    <w:rsid w:val="001846FB"/>
    <w:rsid w:val="00185658"/>
    <w:rsid w:val="00185919"/>
    <w:rsid w:val="00190AA2"/>
    <w:rsid w:val="0019215D"/>
    <w:rsid w:val="00194059"/>
    <w:rsid w:val="00194E69"/>
    <w:rsid w:val="00197DD9"/>
    <w:rsid w:val="001A05F5"/>
    <w:rsid w:val="001A2CFB"/>
    <w:rsid w:val="001A46C0"/>
    <w:rsid w:val="001A57DB"/>
    <w:rsid w:val="001A586B"/>
    <w:rsid w:val="001A73F1"/>
    <w:rsid w:val="001A743E"/>
    <w:rsid w:val="001B043A"/>
    <w:rsid w:val="001B146C"/>
    <w:rsid w:val="001B1D26"/>
    <w:rsid w:val="001B1E1E"/>
    <w:rsid w:val="001B2F76"/>
    <w:rsid w:val="001B2F82"/>
    <w:rsid w:val="001B396B"/>
    <w:rsid w:val="001B4715"/>
    <w:rsid w:val="001B4B9C"/>
    <w:rsid w:val="001B5E33"/>
    <w:rsid w:val="001B7D0D"/>
    <w:rsid w:val="001B7F23"/>
    <w:rsid w:val="001C13E9"/>
    <w:rsid w:val="001C20D1"/>
    <w:rsid w:val="001C319E"/>
    <w:rsid w:val="001C3F7D"/>
    <w:rsid w:val="001C4148"/>
    <w:rsid w:val="001C5E04"/>
    <w:rsid w:val="001C78FF"/>
    <w:rsid w:val="001C7AE7"/>
    <w:rsid w:val="001D016F"/>
    <w:rsid w:val="001D03B6"/>
    <w:rsid w:val="001D0B29"/>
    <w:rsid w:val="001D1C27"/>
    <w:rsid w:val="001D204E"/>
    <w:rsid w:val="001D27D0"/>
    <w:rsid w:val="001D2A8B"/>
    <w:rsid w:val="001D2BA1"/>
    <w:rsid w:val="001D3862"/>
    <w:rsid w:val="001D3D33"/>
    <w:rsid w:val="001D438D"/>
    <w:rsid w:val="001D49AC"/>
    <w:rsid w:val="001D4BC9"/>
    <w:rsid w:val="001D4FE1"/>
    <w:rsid w:val="001D77C6"/>
    <w:rsid w:val="001D7888"/>
    <w:rsid w:val="001D78FF"/>
    <w:rsid w:val="001E0387"/>
    <w:rsid w:val="001E1E57"/>
    <w:rsid w:val="001E1FC6"/>
    <w:rsid w:val="001E223F"/>
    <w:rsid w:val="001E2B6E"/>
    <w:rsid w:val="001E4374"/>
    <w:rsid w:val="001E4A82"/>
    <w:rsid w:val="001E4C0D"/>
    <w:rsid w:val="001E4E95"/>
    <w:rsid w:val="001E5FBA"/>
    <w:rsid w:val="001E631F"/>
    <w:rsid w:val="001F0A69"/>
    <w:rsid w:val="001F1728"/>
    <w:rsid w:val="001F1774"/>
    <w:rsid w:val="001F24A4"/>
    <w:rsid w:val="001F2658"/>
    <w:rsid w:val="001F3560"/>
    <w:rsid w:val="001F3AD6"/>
    <w:rsid w:val="001F3CCB"/>
    <w:rsid w:val="001F46D5"/>
    <w:rsid w:val="001F4F46"/>
    <w:rsid w:val="001F5B12"/>
    <w:rsid w:val="001F5C21"/>
    <w:rsid w:val="001F6073"/>
    <w:rsid w:val="001F63BD"/>
    <w:rsid w:val="001F6775"/>
    <w:rsid w:val="001F69BF"/>
    <w:rsid w:val="002005FF"/>
    <w:rsid w:val="00200A0E"/>
    <w:rsid w:val="00200DF8"/>
    <w:rsid w:val="002016BF"/>
    <w:rsid w:val="002024E9"/>
    <w:rsid w:val="00203A58"/>
    <w:rsid w:val="002054DB"/>
    <w:rsid w:val="00206282"/>
    <w:rsid w:val="0020639A"/>
    <w:rsid w:val="00206ED3"/>
    <w:rsid w:val="0020755B"/>
    <w:rsid w:val="00210354"/>
    <w:rsid w:val="00210857"/>
    <w:rsid w:val="00210AFE"/>
    <w:rsid w:val="00210D30"/>
    <w:rsid w:val="002119A2"/>
    <w:rsid w:val="00213962"/>
    <w:rsid w:val="00216601"/>
    <w:rsid w:val="0022162D"/>
    <w:rsid w:val="002222A4"/>
    <w:rsid w:val="002224F0"/>
    <w:rsid w:val="00224B8A"/>
    <w:rsid w:val="00224F31"/>
    <w:rsid w:val="0022633B"/>
    <w:rsid w:val="00226F9D"/>
    <w:rsid w:val="00230F4A"/>
    <w:rsid w:val="00231C72"/>
    <w:rsid w:val="002320C7"/>
    <w:rsid w:val="0023523A"/>
    <w:rsid w:val="00235E45"/>
    <w:rsid w:val="0023664F"/>
    <w:rsid w:val="002366EB"/>
    <w:rsid w:val="00236A4E"/>
    <w:rsid w:val="00236EB7"/>
    <w:rsid w:val="00237631"/>
    <w:rsid w:val="00237FDB"/>
    <w:rsid w:val="0024053C"/>
    <w:rsid w:val="0024338D"/>
    <w:rsid w:val="00243629"/>
    <w:rsid w:val="002436C1"/>
    <w:rsid w:val="00243788"/>
    <w:rsid w:val="00243DF5"/>
    <w:rsid w:val="002441BB"/>
    <w:rsid w:val="00245106"/>
    <w:rsid w:val="00245D03"/>
    <w:rsid w:val="0024688C"/>
    <w:rsid w:val="00247A7D"/>
    <w:rsid w:val="00250DAF"/>
    <w:rsid w:val="0025150E"/>
    <w:rsid w:val="0025215F"/>
    <w:rsid w:val="00252B51"/>
    <w:rsid w:val="00252FF1"/>
    <w:rsid w:val="00253264"/>
    <w:rsid w:val="00253997"/>
    <w:rsid w:val="00253A8D"/>
    <w:rsid w:val="0025423C"/>
    <w:rsid w:val="00254A3C"/>
    <w:rsid w:val="00254A8B"/>
    <w:rsid w:val="00254B4A"/>
    <w:rsid w:val="00255254"/>
    <w:rsid w:val="00256E57"/>
    <w:rsid w:val="0025744E"/>
    <w:rsid w:val="00262060"/>
    <w:rsid w:val="00264A42"/>
    <w:rsid w:val="00265E97"/>
    <w:rsid w:val="0026641B"/>
    <w:rsid w:val="0026713D"/>
    <w:rsid w:val="002672C8"/>
    <w:rsid w:val="00267CC6"/>
    <w:rsid w:val="00270665"/>
    <w:rsid w:val="002723A5"/>
    <w:rsid w:val="00272B03"/>
    <w:rsid w:val="00272C53"/>
    <w:rsid w:val="00272E20"/>
    <w:rsid w:val="00273681"/>
    <w:rsid w:val="00274587"/>
    <w:rsid w:val="0027510A"/>
    <w:rsid w:val="00276883"/>
    <w:rsid w:val="00276B00"/>
    <w:rsid w:val="002770C9"/>
    <w:rsid w:val="00277C1F"/>
    <w:rsid w:val="00280589"/>
    <w:rsid w:val="00281EF2"/>
    <w:rsid w:val="002821D7"/>
    <w:rsid w:val="00282E61"/>
    <w:rsid w:val="00282F20"/>
    <w:rsid w:val="00282F5C"/>
    <w:rsid w:val="002835E9"/>
    <w:rsid w:val="00283E39"/>
    <w:rsid w:val="00286571"/>
    <w:rsid w:val="00286A20"/>
    <w:rsid w:val="00287B11"/>
    <w:rsid w:val="0029004F"/>
    <w:rsid w:val="00291B4A"/>
    <w:rsid w:val="00291B84"/>
    <w:rsid w:val="00291C31"/>
    <w:rsid w:val="00292B5E"/>
    <w:rsid w:val="002932FC"/>
    <w:rsid w:val="00293A89"/>
    <w:rsid w:val="00293FBC"/>
    <w:rsid w:val="00294431"/>
    <w:rsid w:val="00294B49"/>
    <w:rsid w:val="00295538"/>
    <w:rsid w:val="00297034"/>
    <w:rsid w:val="002A2202"/>
    <w:rsid w:val="002A23E0"/>
    <w:rsid w:val="002A2E20"/>
    <w:rsid w:val="002A32DF"/>
    <w:rsid w:val="002A336C"/>
    <w:rsid w:val="002A4DD2"/>
    <w:rsid w:val="002A5B1C"/>
    <w:rsid w:val="002A7DF5"/>
    <w:rsid w:val="002A7E94"/>
    <w:rsid w:val="002B0795"/>
    <w:rsid w:val="002B082C"/>
    <w:rsid w:val="002B1D8F"/>
    <w:rsid w:val="002B2620"/>
    <w:rsid w:val="002B313B"/>
    <w:rsid w:val="002B3225"/>
    <w:rsid w:val="002B3AAF"/>
    <w:rsid w:val="002B5694"/>
    <w:rsid w:val="002B5A73"/>
    <w:rsid w:val="002B6012"/>
    <w:rsid w:val="002B73E8"/>
    <w:rsid w:val="002B7DD3"/>
    <w:rsid w:val="002C021F"/>
    <w:rsid w:val="002C108C"/>
    <w:rsid w:val="002C10DD"/>
    <w:rsid w:val="002C1C8A"/>
    <w:rsid w:val="002C2056"/>
    <w:rsid w:val="002C23F7"/>
    <w:rsid w:val="002C3367"/>
    <w:rsid w:val="002C5770"/>
    <w:rsid w:val="002C608B"/>
    <w:rsid w:val="002C68E0"/>
    <w:rsid w:val="002C7CB4"/>
    <w:rsid w:val="002C7E29"/>
    <w:rsid w:val="002D2324"/>
    <w:rsid w:val="002D29FD"/>
    <w:rsid w:val="002D2A0A"/>
    <w:rsid w:val="002D2AEC"/>
    <w:rsid w:val="002D2C1F"/>
    <w:rsid w:val="002D2EE2"/>
    <w:rsid w:val="002D4E9A"/>
    <w:rsid w:val="002E0399"/>
    <w:rsid w:val="002E05A6"/>
    <w:rsid w:val="002E1111"/>
    <w:rsid w:val="002E1382"/>
    <w:rsid w:val="002E4764"/>
    <w:rsid w:val="002E6F55"/>
    <w:rsid w:val="002F04F7"/>
    <w:rsid w:val="002F0E4E"/>
    <w:rsid w:val="002F1300"/>
    <w:rsid w:val="002F344B"/>
    <w:rsid w:val="002F38F0"/>
    <w:rsid w:val="002F530E"/>
    <w:rsid w:val="002F582F"/>
    <w:rsid w:val="002F6206"/>
    <w:rsid w:val="002F709A"/>
    <w:rsid w:val="002F77A8"/>
    <w:rsid w:val="002F7F72"/>
    <w:rsid w:val="00301619"/>
    <w:rsid w:val="00301AD3"/>
    <w:rsid w:val="00302755"/>
    <w:rsid w:val="003038BD"/>
    <w:rsid w:val="00303C11"/>
    <w:rsid w:val="00304C13"/>
    <w:rsid w:val="003055CF"/>
    <w:rsid w:val="00305A15"/>
    <w:rsid w:val="00306353"/>
    <w:rsid w:val="00306D41"/>
    <w:rsid w:val="00307094"/>
    <w:rsid w:val="00307342"/>
    <w:rsid w:val="00310272"/>
    <w:rsid w:val="00310A72"/>
    <w:rsid w:val="00311C18"/>
    <w:rsid w:val="0031298C"/>
    <w:rsid w:val="0031385E"/>
    <w:rsid w:val="00313D52"/>
    <w:rsid w:val="00314235"/>
    <w:rsid w:val="003210D3"/>
    <w:rsid w:val="0032273F"/>
    <w:rsid w:val="00322BC7"/>
    <w:rsid w:val="00324E2B"/>
    <w:rsid w:val="003259F5"/>
    <w:rsid w:val="0032607C"/>
    <w:rsid w:val="00326E7B"/>
    <w:rsid w:val="003271C0"/>
    <w:rsid w:val="0033166C"/>
    <w:rsid w:val="00331675"/>
    <w:rsid w:val="0033358A"/>
    <w:rsid w:val="003342B8"/>
    <w:rsid w:val="00334733"/>
    <w:rsid w:val="0033504B"/>
    <w:rsid w:val="003362C7"/>
    <w:rsid w:val="00336A5A"/>
    <w:rsid w:val="00337787"/>
    <w:rsid w:val="00337AA0"/>
    <w:rsid w:val="00340469"/>
    <w:rsid w:val="00340C96"/>
    <w:rsid w:val="00340F90"/>
    <w:rsid w:val="00342ADB"/>
    <w:rsid w:val="00342B49"/>
    <w:rsid w:val="00343B0F"/>
    <w:rsid w:val="00346888"/>
    <w:rsid w:val="00346AC5"/>
    <w:rsid w:val="00347006"/>
    <w:rsid w:val="00347C86"/>
    <w:rsid w:val="00347D0D"/>
    <w:rsid w:val="003503AE"/>
    <w:rsid w:val="00351D8C"/>
    <w:rsid w:val="0035213A"/>
    <w:rsid w:val="00352C28"/>
    <w:rsid w:val="003532BE"/>
    <w:rsid w:val="00353419"/>
    <w:rsid w:val="00355122"/>
    <w:rsid w:val="00355D35"/>
    <w:rsid w:val="00356370"/>
    <w:rsid w:val="00360094"/>
    <w:rsid w:val="003610D6"/>
    <w:rsid w:val="00361313"/>
    <w:rsid w:val="00361E69"/>
    <w:rsid w:val="003627FB"/>
    <w:rsid w:val="00362826"/>
    <w:rsid w:val="0036403D"/>
    <w:rsid w:val="0036455C"/>
    <w:rsid w:val="0036520F"/>
    <w:rsid w:val="00366074"/>
    <w:rsid w:val="003668B4"/>
    <w:rsid w:val="00367122"/>
    <w:rsid w:val="003671A1"/>
    <w:rsid w:val="003674CC"/>
    <w:rsid w:val="003702CE"/>
    <w:rsid w:val="0037083D"/>
    <w:rsid w:val="00371CEE"/>
    <w:rsid w:val="00372402"/>
    <w:rsid w:val="003725B4"/>
    <w:rsid w:val="003726C4"/>
    <w:rsid w:val="003750B3"/>
    <w:rsid w:val="00375BEB"/>
    <w:rsid w:val="003767BD"/>
    <w:rsid w:val="00376909"/>
    <w:rsid w:val="003771CC"/>
    <w:rsid w:val="003800B4"/>
    <w:rsid w:val="003809E0"/>
    <w:rsid w:val="003814E2"/>
    <w:rsid w:val="00381AF1"/>
    <w:rsid w:val="00381E88"/>
    <w:rsid w:val="003821F9"/>
    <w:rsid w:val="003827CD"/>
    <w:rsid w:val="00382CF4"/>
    <w:rsid w:val="00383A99"/>
    <w:rsid w:val="00383D6D"/>
    <w:rsid w:val="00384D3B"/>
    <w:rsid w:val="003852EF"/>
    <w:rsid w:val="0038584E"/>
    <w:rsid w:val="003870EE"/>
    <w:rsid w:val="00390863"/>
    <w:rsid w:val="00390C78"/>
    <w:rsid w:val="00393452"/>
    <w:rsid w:val="003939DB"/>
    <w:rsid w:val="003949C1"/>
    <w:rsid w:val="00394C2C"/>
    <w:rsid w:val="00395C1B"/>
    <w:rsid w:val="0039628E"/>
    <w:rsid w:val="00396F85"/>
    <w:rsid w:val="0039723A"/>
    <w:rsid w:val="003A089D"/>
    <w:rsid w:val="003A1CB9"/>
    <w:rsid w:val="003A27B8"/>
    <w:rsid w:val="003A2D89"/>
    <w:rsid w:val="003A3465"/>
    <w:rsid w:val="003A3D8C"/>
    <w:rsid w:val="003A3F39"/>
    <w:rsid w:val="003A44A8"/>
    <w:rsid w:val="003A45DA"/>
    <w:rsid w:val="003A539D"/>
    <w:rsid w:val="003A547A"/>
    <w:rsid w:val="003A5FA1"/>
    <w:rsid w:val="003A689D"/>
    <w:rsid w:val="003A7623"/>
    <w:rsid w:val="003B14F1"/>
    <w:rsid w:val="003B26C5"/>
    <w:rsid w:val="003B3212"/>
    <w:rsid w:val="003B324C"/>
    <w:rsid w:val="003B6220"/>
    <w:rsid w:val="003B67D8"/>
    <w:rsid w:val="003B7083"/>
    <w:rsid w:val="003B76DC"/>
    <w:rsid w:val="003C1A98"/>
    <w:rsid w:val="003C1CC0"/>
    <w:rsid w:val="003C1E93"/>
    <w:rsid w:val="003C2547"/>
    <w:rsid w:val="003C2CED"/>
    <w:rsid w:val="003C3063"/>
    <w:rsid w:val="003C34D7"/>
    <w:rsid w:val="003C5489"/>
    <w:rsid w:val="003C54C5"/>
    <w:rsid w:val="003C596C"/>
    <w:rsid w:val="003C67DF"/>
    <w:rsid w:val="003C6A84"/>
    <w:rsid w:val="003C6E5E"/>
    <w:rsid w:val="003C7620"/>
    <w:rsid w:val="003D03AF"/>
    <w:rsid w:val="003D07CA"/>
    <w:rsid w:val="003D1EF9"/>
    <w:rsid w:val="003D1FE5"/>
    <w:rsid w:val="003D3735"/>
    <w:rsid w:val="003D3782"/>
    <w:rsid w:val="003D4868"/>
    <w:rsid w:val="003D4EF5"/>
    <w:rsid w:val="003D5148"/>
    <w:rsid w:val="003D5BCE"/>
    <w:rsid w:val="003D5C90"/>
    <w:rsid w:val="003D6081"/>
    <w:rsid w:val="003D6720"/>
    <w:rsid w:val="003D6B3F"/>
    <w:rsid w:val="003D74C0"/>
    <w:rsid w:val="003D7951"/>
    <w:rsid w:val="003D7E66"/>
    <w:rsid w:val="003E030F"/>
    <w:rsid w:val="003E07CF"/>
    <w:rsid w:val="003E122A"/>
    <w:rsid w:val="003E1EFB"/>
    <w:rsid w:val="003E2B26"/>
    <w:rsid w:val="003E4299"/>
    <w:rsid w:val="003E4849"/>
    <w:rsid w:val="003E53A3"/>
    <w:rsid w:val="003E70B9"/>
    <w:rsid w:val="003E7812"/>
    <w:rsid w:val="003F0B24"/>
    <w:rsid w:val="003F10FB"/>
    <w:rsid w:val="003F2136"/>
    <w:rsid w:val="003F277A"/>
    <w:rsid w:val="003F31E6"/>
    <w:rsid w:val="003F32FE"/>
    <w:rsid w:val="003F40F9"/>
    <w:rsid w:val="003F46B1"/>
    <w:rsid w:val="003F4C40"/>
    <w:rsid w:val="003F52FE"/>
    <w:rsid w:val="003F580D"/>
    <w:rsid w:val="003F61D7"/>
    <w:rsid w:val="00401ECB"/>
    <w:rsid w:val="00401F3A"/>
    <w:rsid w:val="004024F2"/>
    <w:rsid w:val="0040272E"/>
    <w:rsid w:val="00402EA0"/>
    <w:rsid w:val="00404196"/>
    <w:rsid w:val="004041C9"/>
    <w:rsid w:val="00404615"/>
    <w:rsid w:val="004079CC"/>
    <w:rsid w:val="004106A7"/>
    <w:rsid w:val="004108D9"/>
    <w:rsid w:val="00411174"/>
    <w:rsid w:val="00412823"/>
    <w:rsid w:val="0041382E"/>
    <w:rsid w:val="0041385F"/>
    <w:rsid w:val="00413D00"/>
    <w:rsid w:val="00414410"/>
    <w:rsid w:val="00414992"/>
    <w:rsid w:val="004149A1"/>
    <w:rsid w:val="004153ED"/>
    <w:rsid w:val="00415B87"/>
    <w:rsid w:val="00416ED0"/>
    <w:rsid w:val="004175B0"/>
    <w:rsid w:val="00421C9B"/>
    <w:rsid w:val="00421ED6"/>
    <w:rsid w:val="00425060"/>
    <w:rsid w:val="00426041"/>
    <w:rsid w:val="00426CBC"/>
    <w:rsid w:val="0043002F"/>
    <w:rsid w:val="004303B3"/>
    <w:rsid w:val="00430927"/>
    <w:rsid w:val="00430E35"/>
    <w:rsid w:val="0043308A"/>
    <w:rsid w:val="00433113"/>
    <w:rsid w:val="0043449C"/>
    <w:rsid w:val="00435D6C"/>
    <w:rsid w:val="00436036"/>
    <w:rsid w:val="0043673C"/>
    <w:rsid w:val="00437DA0"/>
    <w:rsid w:val="004412CE"/>
    <w:rsid w:val="00442603"/>
    <w:rsid w:val="0044335F"/>
    <w:rsid w:val="0044374B"/>
    <w:rsid w:val="004440FE"/>
    <w:rsid w:val="00444898"/>
    <w:rsid w:val="00444DED"/>
    <w:rsid w:val="004451D0"/>
    <w:rsid w:val="004453E6"/>
    <w:rsid w:val="00445E88"/>
    <w:rsid w:val="00446442"/>
    <w:rsid w:val="00447705"/>
    <w:rsid w:val="0044779E"/>
    <w:rsid w:val="00447FF9"/>
    <w:rsid w:val="00450F19"/>
    <w:rsid w:val="00452139"/>
    <w:rsid w:val="00453254"/>
    <w:rsid w:val="00453451"/>
    <w:rsid w:val="0045366F"/>
    <w:rsid w:val="00453F4D"/>
    <w:rsid w:val="00454E59"/>
    <w:rsid w:val="00455D49"/>
    <w:rsid w:val="00455DF1"/>
    <w:rsid w:val="00460877"/>
    <w:rsid w:val="00460F22"/>
    <w:rsid w:val="00461254"/>
    <w:rsid w:val="00461AED"/>
    <w:rsid w:val="004629B2"/>
    <w:rsid w:val="0046446A"/>
    <w:rsid w:val="004645D0"/>
    <w:rsid w:val="00464A97"/>
    <w:rsid w:val="00464FA6"/>
    <w:rsid w:val="004651E5"/>
    <w:rsid w:val="00465465"/>
    <w:rsid w:val="00466C27"/>
    <w:rsid w:val="00466C43"/>
    <w:rsid w:val="004676E4"/>
    <w:rsid w:val="0046796E"/>
    <w:rsid w:val="004707EC"/>
    <w:rsid w:val="00470F11"/>
    <w:rsid w:val="004716FE"/>
    <w:rsid w:val="0047173F"/>
    <w:rsid w:val="004720EA"/>
    <w:rsid w:val="004722FE"/>
    <w:rsid w:val="00472A2C"/>
    <w:rsid w:val="004739B2"/>
    <w:rsid w:val="00473C24"/>
    <w:rsid w:val="00474178"/>
    <w:rsid w:val="0047530A"/>
    <w:rsid w:val="004761F8"/>
    <w:rsid w:val="0047624F"/>
    <w:rsid w:val="00476551"/>
    <w:rsid w:val="00476764"/>
    <w:rsid w:val="00477506"/>
    <w:rsid w:val="004776A2"/>
    <w:rsid w:val="00477994"/>
    <w:rsid w:val="0048034F"/>
    <w:rsid w:val="00480D0C"/>
    <w:rsid w:val="00480ED0"/>
    <w:rsid w:val="004814DE"/>
    <w:rsid w:val="00481CB0"/>
    <w:rsid w:val="00482CC2"/>
    <w:rsid w:val="004835E4"/>
    <w:rsid w:val="0048481D"/>
    <w:rsid w:val="00484B5C"/>
    <w:rsid w:val="00484CF0"/>
    <w:rsid w:val="004856F7"/>
    <w:rsid w:val="004858BF"/>
    <w:rsid w:val="00486C77"/>
    <w:rsid w:val="00487169"/>
    <w:rsid w:val="00487EBB"/>
    <w:rsid w:val="00490284"/>
    <w:rsid w:val="0049042D"/>
    <w:rsid w:val="00490539"/>
    <w:rsid w:val="004907EE"/>
    <w:rsid w:val="004910C2"/>
    <w:rsid w:val="00491342"/>
    <w:rsid w:val="00491B25"/>
    <w:rsid w:val="00491FCB"/>
    <w:rsid w:val="004925DF"/>
    <w:rsid w:val="0049261E"/>
    <w:rsid w:val="004929D1"/>
    <w:rsid w:val="004939CA"/>
    <w:rsid w:val="00497627"/>
    <w:rsid w:val="00497D5C"/>
    <w:rsid w:val="004A0025"/>
    <w:rsid w:val="004A11E1"/>
    <w:rsid w:val="004A1C66"/>
    <w:rsid w:val="004A243A"/>
    <w:rsid w:val="004A2756"/>
    <w:rsid w:val="004A2D4F"/>
    <w:rsid w:val="004A3CDA"/>
    <w:rsid w:val="004A43DB"/>
    <w:rsid w:val="004A49CD"/>
    <w:rsid w:val="004A4AED"/>
    <w:rsid w:val="004A5659"/>
    <w:rsid w:val="004A58D1"/>
    <w:rsid w:val="004A5E88"/>
    <w:rsid w:val="004A65C0"/>
    <w:rsid w:val="004A6C11"/>
    <w:rsid w:val="004B07AF"/>
    <w:rsid w:val="004B1BA9"/>
    <w:rsid w:val="004B1E66"/>
    <w:rsid w:val="004B25F5"/>
    <w:rsid w:val="004B3028"/>
    <w:rsid w:val="004B4001"/>
    <w:rsid w:val="004B4B39"/>
    <w:rsid w:val="004B4F6D"/>
    <w:rsid w:val="004B4FB9"/>
    <w:rsid w:val="004B6EA9"/>
    <w:rsid w:val="004B7272"/>
    <w:rsid w:val="004B735F"/>
    <w:rsid w:val="004B77FF"/>
    <w:rsid w:val="004C0F0C"/>
    <w:rsid w:val="004C1242"/>
    <w:rsid w:val="004C12D2"/>
    <w:rsid w:val="004C1C90"/>
    <w:rsid w:val="004C38D6"/>
    <w:rsid w:val="004C49FA"/>
    <w:rsid w:val="004C4C9B"/>
    <w:rsid w:val="004C51CB"/>
    <w:rsid w:val="004C715E"/>
    <w:rsid w:val="004C7C47"/>
    <w:rsid w:val="004D0388"/>
    <w:rsid w:val="004D0478"/>
    <w:rsid w:val="004D0A93"/>
    <w:rsid w:val="004D1250"/>
    <w:rsid w:val="004D1414"/>
    <w:rsid w:val="004D20F5"/>
    <w:rsid w:val="004D2EC3"/>
    <w:rsid w:val="004D34DD"/>
    <w:rsid w:val="004D382B"/>
    <w:rsid w:val="004D3B10"/>
    <w:rsid w:val="004D4F53"/>
    <w:rsid w:val="004D5F3E"/>
    <w:rsid w:val="004D6E8F"/>
    <w:rsid w:val="004D73A7"/>
    <w:rsid w:val="004D7BA3"/>
    <w:rsid w:val="004E17BA"/>
    <w:rsid w:val="004E2439"/>
    <w:rsid w:val="004E3B45"/>
    <w:rsid w:val="004E3C6A"/>
    <w:rsid w:val="004E645B"/>
    <w:rsid w:val="004E6AF7"/>
    <w:rsid w:val="004F0EEA"/>
    <w:rsid w:val="004F1976"/>
    <w:rsid w:val="004F20D7"/>
    <w:rsid w:val="004F23A8"/>
    <w:rsid w:val="004F3AC9"/>
    <w:rsid w:val="004F3E60"/>
    <w:rsid w:val="004F41B3"/>
    <w:rsid w:val="004F45C3"/>
    <w:rsid w:val="004F46F0"/>
    <w:rsid w:val="004F4F78"/>
    <w:rsid w:val="004F55EC"/>
    <w:rsid w:val="004F64C1"/>
    <w:rsid w:val="004F6903"/>
    <w:rsid w:val="00500753"/>
    <w:rsid w:val="005012FC"/>
    <w:rsid w:val="005013A2"/>
    <w:rsid w:val="0050227A"/>
    <w:rsid w:val="005027E9"/>
    <w:rsid w:val="00502885"/>
    <w:rsid w:val="0050386F"/>
    <w:rsid w:val="00504709"/>
    <w:rsid w:val="005059A6"/>
    <w:rsid w:val="00505B87"/>
    <w:rsid w:val="00507959"/>
    <w:rsid w:val="00507BAE"/>
    <w:rsid w:val="00510205"/>
    <w:rsid w:val="00510526"/>
    <w:rsid w:val="00510823"/>
    <w:rsid w:val="00510B1C"/>
    <w:rsid w:val="0051208D"/>
    <w:rsid w:val="00512FB1"/>
    <w:rsid w:val="005142C9"/>
    <w:rsid w:val="00514531"/>
    <w:rsid w:val="005152A4"/>
    <w:rsid w:val="00515789"/>
    <w:rsid w:val="00516DA1"/>
    <w:rsid w:val="005201F1"/>
    <w:rsid w:val="00520ACC"/>
    <w:rsid w:val="00520B0B"/>
    <w:rsid w:val="00520DB0"/>
    <w:rsid w:val="005212D4"/>
    <w:rsid w:val="005212DC"/>
    <w:rsid w:val="0052145D"/>
    <w:rsid w:val="00523EAC"/>
    <w:rsid w:val="0052415B"/>
    <w:rsid w:val="00524AF2"/>
    <w:rsid w:val="005266CB"/>
    <w:rsid w:val="00527342"/>
    <w:rsid w:val="005278A2"/>
    <w:rsid w:val="005278DA"/>
    <w:rsid w:val="00527FBD"/>
    <w:rsid w:val="00527FBE"/>
    <w:rsid w:val="005300C9"/>
    <w:rsid w:val="005303CB"/>
    <w:rsid w:val="0053069A"/>
    <w:rsid w:val="005308B0"/>
    <w:rsid w:val="005315BB"/>
    <w:rsid w:val="00533CBF"/>
    <w:rsid w:val="0053444E"/>
    <w:rsid w:val="00534CE2"/>
    <w:rsid w:val="00534DA6"/>
    <w:rsid w:val="0053510C"/>
    <w:rsid w:val="00535339"/>
    <w:rsid w:val="005362B4"/>
    <w:rsid w:val="0053633A"/>
    <w:rsid w:val="005369FC"/>
    <w:rsid w:val="0053720E"/>
    <w:rsid w:val="005373C3"/>
    <w:rsid w:val="005400DC"/>
    <w:rsid w:val="00540C57"/>
    <w:rsid w:val="00542434"/>
    <w:rsid w:val="00542CCA"/>
    <w:rsid w:val="0054309D"/>
    <w:rsid w:val="00543141"/>
    <w:rsid w:val="005436F3"/>
    <w:rsid w:val="00543E57"/>
    <w:rsid w:val="00544082"/>
    <w:rsid w:val="00544451"/>
    <w:rsid w:val="005449D5"/>
    <w:rsid w:val="00544A6C"/>
    <w:rsid w:val="00544CC2"/>
    <w:rsid w:val="005450C7"/>
    <w:rsid w:val="00545396"/>
    <w:rsid w:val="005466A7"/>
    <w:rsid w:val="00547E55"/>
    <w:rsid w:val="00551427"/>
    <w:rsid w:val="00551C0A"/>
    <w:rsid w:val="00551E41"/>
    <w:rsid w:val="005532BD"/>
    <w:rsid w:val="00553481"/>
    <w:rsid w:val="00553D14"/>
    <w:rsid w:val="00554430"/>
    <w:rsid w:val="0055650D"/>
    <w:rsid w:val="0055740A"/>
    <w:rsid w:val="00560551"/>
    <w:rsid w:val="00560C1D"/>
    <w:rsid w:val="005616BB"/>
    <w:rsid w:val="00561D8C"/>
    <w:rsid w:val="00561FE9"/>
    <w:rsid w:val="005625AE"/>
    <w:rsid w:val="00562804"/>
    <w:rsid w:val="00564F46"/>
    <w:rsid w:val="00565828"/>
    <w:rsid w:val="005659B2"/>
    <w:rsid w:val="005661FD"/>
    <w:rsid w:val="00566CB6"/>
    <w:rsid w:val="00566F54"/>
    <w:rsid w:val="00567077"/>
    <w:rsid w:val="00567AAC"/>
    <w:rsid w:val="00570101"/>
    <w:rsid w:val="00570B5D"/>
    <w:rsid w:val="00570E1D"/>
    <w:rsid w:val="00571C2C"/>
    <w:rsid w:val="00572545"/>
    <w:rsid w:val="00572A2F"/>
    <w:rsid w:val="00572C28"/>
    <w:rsid w:val="00572D91"/>
    <w:rsid w:val="00574893"/>
    <w:rsid w:val="00574A2E"/>
    <w:rsid w:val="00575E03"/>
    <w:rsid w:val="00576A7C"/>
    <w:rsid w:val="00576B9E"/>
    <w:rsid w:val="00577555"/>
    <w:rsid w:val="005775A5"/>
    <w:rsid w:val="0057778D"/>
    <w:rsid w:val="00577DAB"/>
    <w:rsid w:val="005803F4"/>
    <w:rsid w:val="005803FA"/>
    <w:rsid w:val="00581ABA"/>
    <w:rsid w:val="00581E78"/>
    <w:rsid w:val="005821D1"/>
    <w:rsid w:val="005839FA"/>
    <w:rsid w:val="00583A5E"/>
    <w:rsid w:val="0058555A"/>
    <w:rsid w:val="00587BF7"/>
    <w:rsid w:val="005900ED"/>
    <w:rsid w:val="0059032F"/>
    <w:rsid w:val="00590CD8"/>
    <w:rsid w:val="00593310"/>
    <w:rsid w:val="005935C1"/>
    <w:rsid w:val="0059440A"/>
    <w:rsid w:val="00595C4D"/>
    <w:rsid w:val="00596453"/>
    <w:rsid w:val="0059742D"/>
    <w:rsid w:val="00597498"/>
    <w:rsid w:val="0059767A"/>
    <w:rsid w:val="00597A5A"/>
    <w:rsid w:val="005A0EB9"/>
    <w:rsid w:val="005A1F05"/>
    <w:rsid w:val="005A2E37"/>
    <w:rsid w:val="005A3505"/>
    <w:rsid w:val="005A4B7D"/>
    <w:rsid w:val="005A4D2A"/>
    <w:rsid w:val="005A6007"/>
    <w:rsid w:val="005A6752"/>
    <w:rsid w:val="005A6DE4"/>
    <w:rsid w:val="005A7236"/>
    <w:rsid w:val="005A7DF5"/>
    <w:rsid w:val="005B08B3"/>
    <w:rsid w:val="005B0F07"/>
    <w:rsid w:val="005B16D7"/>
    <w:rsid w:val="005B1722"/>
    <w:rsid w:val="005B1B26"/>
    <w:rsid w:val="005B1BB5"/>
    <w:rsid w:val="005B2156"/>
    <w:rsid w:val="005B27D1"/>
    <w:rsid w:val="005B3AC2"/>
    <w:rsid w:val="005B3DCC"/>
    <w:rsid w:val="005B4027"/>
    <w:rsid w:val="005B62FA"/>
    <w:rsid w:val="005B6576"/>
    <w:rsid w:val="005B6DB4"/>
    <w:rsid w:val="005B7000"/>
    <w:rsid w:val="005C09F1"/>
    <w:rsid w:val="005C1CF3"/>
    <w:rsid w:val="005C1D7C"/>
    <w:rsid w:val="005C27DE"/>
    <w:rsid w:val="005C37A8"/>
    <w:rsid w:val="005C3B0D"/>
    <w:rsid w:val="005C4B2D"/>
    <w:rsid w:val="005C56DE"/>
    <w:rsid w:val="005C5BC2"/>
    <w:rsid w:val="005C60F8"/>
    <w:rsid w:val="005C6C75"/>
    <w:rsid w:val="005C72E9"/>
    <w:rsid w:val="005C730F"/>
    <w:rsid w:val="005C79F4"/>
    <w:rsid w:val="005C7D63"/>
    <w:rsid w:val="005D0660"/>
    <w:rsid w:val="005D06E7"/>
    <w:rsid w:val="005D38CB"/>
    <w:rsid w:val="005D4D03"/>
    <w:rsid w:val="005D5292"/>
    <w:rsid w:val="005D5470"/>
    <w:rsid w:val="005D637B"/>
    <w:rsid w:val="005D6C7B"/>
    <w:rsid w:val="005D74B8"/>
    <w:rsid w:val="005E14F6"/>
    <w:rsid w:val="005E162C"/>
    <w:rsid w:val="005E26A1"/>
    <w:rsid w:val="005E2D33"/>
    <w:rsid w:val="005E3D2C"/>
    <w:rsid w:val="005E494F"/>
    <w:rsid w:val="005E4DEC"/>
    <w:rsid w:val="005E5312"/>
    <w:rsid w:val="005E588E"/>
    <w:rsid w:val="005E5F0F"/>
    <w:rsid w:val="005E6A52"/>
    <w:rsid w:val="005F0E22"/>
    <w:rsid w:val="005F15EA"/>
    <w:rsid w:val="005F1604"/>
    <w:rsid w:val="005F24F4"/>
    <w:rsid w:val="005F2903"/>
    <w:rsid w:val="005F31D7"/>
    <w:rsid w:val="005F3AA3"/>
    <w:rsid w:val="005F537F"/>
    <w:rsid w:val="005F7D07"/>
    <w:rsid w:val="005F7F0E"/>
    <w:rsid w:val="0060020D"/>
    <w:rsid w:val="006012D4"/>
    <w:rsid w:val="00602794"/>
    <w:rsid w:val="00604045"/>
    <w:rsid w:val="00604135"/>
    <w:rsid w:val="006058CB"/>
    <w:rsid w:val="0060650C"/>
    <w:rsid w:val="00606A32"/>
    <w:rsid w:val="0060733C"/>
    <w:rsid w:val="00607AE7"/>
    <w:rsid w:val="00610268"/>
    <w:rsid w:val="0061140B"/>
    <w:rsid w:val="00612945"/>
    <w:rsid w:val="00612DC2"/>
    <w:rsid w:val="00612DF2"/>
    <w:rsid w:val="00613453"/>
    <w:rsid w:val="00613CCF"/>
    <w:rsid w:val="00613EA8"/>
    <w:rsid w:val="00614271"/>
    <w:rsid w:val="0061470B"/>
    <w:rsid w:val="0061553E"/>
    <w:rsid w:val="0061636B"/>
    <w:rsid w:val="00616AE1"/>
    <w:rsid w:val="00617F6B"/>
    <w:rsid w:val="0062048C"/>
    <w:rsid w:val="00620561"/>
    <w:rsid w:val="0062067C"/>
    <w:rsid w:val="006214AD"/>
    <w:rsid w:val="00622E66"/>
    <w:rsid w:val="0062346A"/>
    <w:rsid w:val="006235C4"/>
    <w:rsid w:val="00624A82"/>
    <w:rsid w:val="00625592"/>
    <w:rsid w:val="00625863"/>
    <w:rsid w:val="00625F67"/>
    <w:rsid w:val="006260E5"/>
    <w:rsid w:val="006263FF"/>
    <w:rsid w:val="00627B69"/>
    <w:rsid w:val="0063129D"/>
    <w:rsid w:val="006316F1"/>
    <w:rsid w:val="006324A1"/>
    <w:rsid w:val="00633754"/>
    <w:rsid w:val="00634BCD"/>
    <w:rsid w:val="00634D59"/>
    <w:rsid w:val="00635E85"/>
    <w:rsid w:val="00636406"/>
    <w:rsid w:val="00637091"/>
    <w:rsid w:val="006371FF"/>
    <w:rsid w:val="0064065F"/>
    <w:rsid w:val="00641C39"/>
    <w:rsid w:val="00642014"/>
    <w:rsid w:val="0064299A"/>
    <w:rsid w:val="00642F52"/>
    <w:rsid w:val="00643716"/>
    <w:rsid w:val="00644A75"/>
    <w:rsid w:val="006472A0"/>
    <w:rsid w:val="00650DAE"/>
    <w:rsid w:val="00651512"/>
    <w:rsid w:val="006521F3"/>
    <w:rsid w:val="00653E20"/>
    <w:rsid w:val="00654956"/>
    <w:rsid w:val="00654DE7"/>
    <w:rsid w:val="0065533C"/>
    <w:rsid w:val="00656A9D"/>
    <w:rsid w:val="00656F5E"/>
    <w:rsid w:val="00661486"/>
    <w:rsid w:val="00662CBC"/>
    <w:rsid w:val="006661F1"/>
    <w:rsid w:val="006661F5"/>
    <w:rsid w:val="00666AAB"/>
    <w:rsid w:val="0067038D"/>
    <w:rsid w:val="0067060C"/>
    <w:rsid w:val="00671A6A"/>
    <w:rsid w:val="006727C3"/>
    <w:rsid w:val="006729C0"/>
    <w:rsid w:val="00672EF8"/>
    <w:rsid w:val="00673DE0"/>
    <w:rsid w:val="00673F0C"/>
    <w:rsid w:val="00673F58"/>
    <w:rsid w:val="006742A1"/>
    <w:rsid w:val="00675DB3"/>
    <w:rsid w:val="00675E8A"/>
    <w:rsid w:val="00676A38"/>
    <w:rsid w:val="00680098"/>
    <w:rsid w:val="00680957"/>
    <w:rsid w:val="00682148"/>
    <w:rsid w:val="00686325"/>
    <w:rsid w:val="00686EC4"/>
    <w:rsid w:val="00687063"/>
    <w:rsid w:val="00687463"/>
    <w:rsid w:val="00687B92"/>
    <w:rsid w:val="00690D7A"/>
    <w:rsid w:val="00691425"/>
    <w:rsid w:val="006941F5"/>
    <w:rsid w:val="00695416"/>
    <w:rsid w:val="00695E17"/>
    <w:rsid w:val="00696763"/>
    <w:rsid w:val="0069734A"/>
    <w:rsid w:val="00697896"/>
    <w:rsid w:val="006A1349"/>
    <w:rsid w:val="006A139A"/>
    <w:rsid w:val="006A1939"/>
    <w:rsid w:val="006A1AA8"/>
    <w:rsid w:val="006A2DBA"/>
    <w:rsid w:val="006A2EC3"/>
    <w:rsid w:val="006A303A"/>
    <w:rsid w:val="006A414E"/>
    <w:rsid w:val="006A45A4"/>
    <w:rsid w:val="006A4CF2"/>
    <w:rsid w:val="006A6BB4"/>
    <w:rsid w:val="006B0367"/>
    <w:rsid w:val="006B04AC"/>
    <w:rsid w:val="006B147C"/>
    <w:rsid w:val="006B202A"/>
    <w:rsid w:val="006B296E"/>
    <w:rsid w:val="006B4802"/>
    <w:rsid w:val="006B4A11"/>
    <w:rsid w:val="006B5097"/>
    <w:rsid w:val="006B5516"/>
    <w:rsid w:val="006B5CD7"/>
    <w:rsid w:val="006B5D36"/>
    <w:rsid w:val="006B5E1C"/>
    <w:rsid w:val="006B65F9"/>
    <w:rsid w:val="006B6B45"/>
    <w:rsid w:val="006B75D1"/>
    <w:rsid w:val="006B7A09"/>
    <w:rsid w:val="006C07AB"/>
    <w:rsid w:val="006C42CE"/>
    <w:rsid w:val="006C5486"/>
    <w:rsid w:val="006C592D"/>
    <w:rsid w:val="006C5B7B"/>
    <w:rsid w:val="006C5F25"/>
    <w:rsid w:val="006C74B3"/>
    <w:rsid w:val="006D1D8F"/>
    <w:rsid w:val="006D302F"/>
    <w:rsid w:val="006D3791"/>
    <w:rsid w:val="006D3801"/>
    <w:rsid w:val="006D3D4A"/>
    <w:rsid w:val="006D3EDB"/>
    <w:rsid w:val="006D465F"/>
    <w:rsid w:val="006D50AA"/>
    <w:rsid w:val="006D67B8"/>
    <w:rsid w:val="006D7021"/>
    <w:rsid w:val="006D7209"/>
    <w:rsid w:val="006D7A98"/>
    <w:rsid w:val="006E11C9"/>
    <w:rsid w:val="006E19AC"/>
    <w:rsid w:val="006E1DB5"/>
    <w:rsid w:val="006E31AE"/>
    <w:rsid w:val="006E4984"/>
    <w:rsid w:val="006E5E71"/>
    <w:rsid w:val="006E6031"/>
    <w:rsid w:val="006E61F6"/>
    <w:rsid w:val="006E6C99"/>
    <w:rsid w:val="006F09E9"/>
    <w:rsid w:val="006F12AB"/>
    <w:rsid w:val="006F2895"/>
    <w:rsid w:val="006F32BF"/>
    <w:rsid w:val="006F3311"/>
    <w:rsid w:val="006F38F6"/>
    <w:rsid w:val="006F3989"/>
    <w:rsid w:val="006F4219"/>
    <w:rsid w:val="006F5694"/>
    <w:rsid w:val="006F575A"/>
    <w:rsid w:val="00700A73"/>
    <w:rsid w:val="007015E9"/>
    <w:rsid w:val="0070189F"/>
    <w:rsid w:val="00701999"/>
    <w:rsid w:val="00702050"/>
    <w:rsid w:val="00702A10"/>
    <w:rsid w:val="00702F25"/>
    <w:rsid w:val="00703BC1"/>
    <w:rsid w:val="00704993"/>
    <w:rsid w:val="00704E19"/>
    <w:rsid w:val="00704ED8"/>
    <w:rsid w:val="0070601C"/>
    <w:rsid w:val="00707008"/>
    <w:rsid w:val="00707F81"/>
    <w:rsid w:val="00710993"/>
    <w:rsid w:val="00712884"/>
    <w:rsid w:val="00712CDA"/>
    <w:rsid w:val="00713C6D"/>
    <w:rsid w:val="00715090"/>
    <w:rsid w:val="00715379"/>
    <w:rsid w:val="00715606"/>
    <w:rsid w:val="0071587A"/>
    <w:rsid w:val="007159EB"/>
    <w:rsid w:val="00715DA9"/>
    <w:rsid w:val="007160E0"/>
    <w:rsid w:val="00716E3F"/>
    <w:rsid w:val="00717083"/>
    <w:rsid w:val="007176DE"/>
    <w:rsid w:val="00717DE7"/>
    <w:rsid w:val="00720629"/>
    <w:rsid w:val="007207AD"/>
    <w:rsid w:val="00720B16"/>
    <w:rsid w:val="007219C5"/>
    <w:rsid w:val="007223FC"/>
    <w:rsid w:val="00723E5F"/>
    <w:rsid w:val="00723FBC"/>
    <w:rsid w:val="007250A4"/>
    <w:rsid w:val="00725F23"/>
    <w:rsid w:val="007261C4"/>
    <w:rsid w:val="007267EB"/>
    <w:rsid w:val="0072737A"/>
    <w:rsid w:val="00730159"/>
    <w:rsid w:val="00730C0D"/>
    <w:rsid w:val="00730DA4"/>
    <w:rsid w:val="0073129C"/>
    <w:rsid w:val="00731E0C"/>
    <w:rsid w:val="007339DB"/>
    <w:rsid w:val="00734F65"/>
    <w:rsid w:val="007356FC"/>
    <w:rsid w:val="00735CE3"/>
    <w:rsid w:val="0073608D"/>
    <w:rsid w:val="00736DAE"/>
    <w:rsid w:val="00740180"/>
    <w:rsid w:val="0074099C"/>
    <w:rsid w:val="0074101E"/>
    <w:rsid w:val="0074150A"/>
    <w:rsid w:val="00741FEC"/>
    <w:rsid w:val="007433D3"/>
    <w:rsid w:val="00743F1B"/>
    <w:rsid w:val="007441F6"/>
    <w:rsid w:val="0074430F"/>
    <w:rsid w:val="007448B9"/>
    <w:rsid w:val="00746100"/>
    <w:rsid w:val="007468E9"/>
    <w:rsid w:val="00746B9B"/>
    <w:rsid w:val="00746BED"/>
    <w:rsid w:val="00747D71"/>
    <w:rsid w:val="00750288"/>
    <w:rsid w:val="007508D6"/>
    <w:rsid w:val="00750C83"/>
    <w:rsid w:val="007512E0"/>
    <w:rsid w:val="00751BF1"/>
    <w:rsid w:val="007537F1"/>
    <w:rsid w:val="007538D7"/>
    <w:rsid w:val="00755016"/>
    <w:rsid w:val="007567FF"/>
    <w:rsid w:val="00756DA9"/>
    <w:rsid w:val="0075794D"/>
    <w:rsid w:val="00760537"/>
    <w:rsid w:val="007608C8"/>
    <w:rsid w:val="00761696"/>
    <w:rsid w:val="00761834"/>
    <w:rsid w:val="00761D56"/>
    <w:rsid w:val="00761E14"/>
    <w:rsid w:val="007620D8"/>
    <w:rsid w:val="007631A8"/>
    <w:rsid w:val="0076420A"/>
    <w:rsid w:val="00764576"/>
    <w:rsid w:val="0076492F"/>
    <w:rsid w:val="00764D0F"/>
    <w:rsid w:val="00764ED5"/>
    <w:rsid w:val="007658F8"/>
    <w:rsid w:val="007665AE"/>
    <w:rsid w:val="007665E7"/>
    <w:rsid w:val="0076696B"/>
    <w:rsid w:val="00767076"/>
    <w:rsid w:val="00770DFC"/>
    <w:rsid w:val="00771845"/>
    <w:rsid w:val="0077236E"/>
    <w:rsid w:val="00773845"/>
    <w:rsid w:val="00775282"/>
    <w:rsid w:val="0077605D"/>
    <w:rsid w:val="007768BA"/>
    <w:rsid w:val="007801FF"/>
    <w:rsid w:val="00780896"/>
    <w:rsid w:val="00780E48"/>
    <w:rsid w:val="00780FF2"/>
    <w:rsid w:val="007815A1"/>
    <w:rsid w:val="00783BF6"/>
    <w:rsid w:val="0078501F"/>
    <w:rsid w:val="00785229"/>
    <w:rsid w:val="00787AD0"/>
    <w:rsid w:val="0079186B"/>
    <w:rsid w:val="007919EE"/>
    <w:rsid w:val="007921AF"/>
    <w:rsid w:val="00792775"/>
    <w:rsid w:val="0079299C"/>
    <w:rsid w:val="00792F10"/>
    <w:rsid w:val="00793079"/>
    <w:rsid w:val="00793312"/>
    <w:rsid w:val="00793932"/>
    <w:rsid w:val="00793A91"/>
    <w:rsid w:val="00795191"/>
    <w:rsid w:val="00796A9E"/>
    <w:rsid w:val="00796F17"/>
    <w:rsid w:val="00797087"/>
    <w:rsid w:val="00797687"/>
    <w:rsid w:val="007A0BE3"/>
    <w:rsid w:val="007A0D7C"/>
    <w:rsid w:val="007A0D88"/>
    <w:rsid w:val="007A25AF"/>
    <w:rsid w:val="007A30A5"/>
    <w:rsid w:val="007A5FB9"/>
    <w:rsid w:val="007A601B"/>
    <w:rsid w:val="007A6073"/>
    <w:rsid w:val="007A70C6"/>
    <w:rsid w:val="007B0E23"/>
    <w:rsid w:val="007B0FA2"/>
    <w:rsid w:val="007B11D0"/>
    <w:rsid w:val="007B1CB5"/>
    <w:rsid w:val="007B27E9"/>
    <w:rsid w:val="007B2987"/>
    <w:rsid w:val="007B56C8"/>
    <w:rsid w:val="007B586D"/>
    <w:rsid w:val="007B661E"/>
    <w:rsid w:val="007B6A8F"/>
    <w:rsid w:val="007B70D3"/>
    <w:rsid w:val="007C0643"/>
    <w:rsid w:val="007C1116"/>
    <w:rsid w:val="007C1D7C"/>
    <w:rsid w:val="007C3AA6"/>
    <w:rsid w:val="007C4EF2"/>
    <w:rsid w:val="007C55D4"/>
    <w:rsid w:val="007D093F"/>
    <w:rsid w:val="007D0BE8"/>
    <w:rsid w:val="007D1508"/>
    <w:rsid w:val="007D36CA"/>
    <w:rsid w:val="007D415B"/>
    <w:rsid w:val="007D4C02"/>
    <w:rsid w:val="007D5920"/>
    <w:rsid w:val="007D6731"/>
    <w:rsid w:val="007D6837"/>
    <w:rsid w:val="007D689F"/>
    <w:rsid w:val="007D7001"/>
    <w:rsid w:val="007D7101"/>
    <w:rsid w:val="007D782F"/>
    <w:rsid w:val="007D7E87"/>
    <w:rsid w:val="007E10DA"/>
    <w:rsid w:val="007E1ECC"/>
    <w:rsid w:val="007E205F"/>
    <w:rsid w:val="007E2A09"/>
    <w:rsid w:val="007E3E49"/>
    <w:rsid w:val="007E40DD"/>
    <w:rsid w:val="007E4D5F"/>
    <w:rsid w:val="007E7C73"/>
    <w:rsid w:val="007F0225"/>
    <w:rsid w:val="007F0AC8"/>
    <w:rsid w:val="007F0CB1"/>
    <w:rsid w:val="007F10CE"/>
    <w:rsid w:val="007F167C"/>
    <w:rsid w:val="007F2066"/>
    <w:rsid w:val="007F2962"/>
    <w:rsid w:val="007F2B93"/>
    <w:rsid w:val="007F2E40"/>
    <w:rsid w:val="007F3367"/>
    <w:rsid w:val="007F37A4"/>
    <w:rsid w:val="007F3924"/>
    <w:rsid w:val="007F3AEC"/>
    <w:rsid w:val="007F4005"/>
    <w:rsid w:val="007F4093"/>
    <w:rsid w:val="007F4EA3"/>
    <w:rsid w:val="007F64E9"/>
    <w:rsid w:val="007F6A85"/>
    <w:rsid w:val="007F6E58"/>
    <w:rsid w:val="007F7EFE"/>
    <w:rsid w:val="00800A2A"/>
    <w:rsid w:val="0080100B"/>
    <w:rsid w:val="00802421"/>
    <w:rsid w:val="00802684"/>
    <w:rsid w:val="00803598"/>
    <w:rsid w:val="00803820"/>
    <w:rsid w:val="00804380"/>
    <w:rsid w:val="00804490"/>
    <w:rsid w:val="008049F3"/>
    <w:rsid w:val="00804D8E"/>
    <w:rsid w:val="00806B2A"/>
    <w:rsid w:val="00807DC3"/>
    <w:rsid w:val="008100E5"/>
    <w:rsid w:val="00810DA4"/>
    <w:rsid w:val="00810F17"/>
    <w:rsid w:val="00811731"/>
    <w:rsid w:val="00811D3C"/>
    <w:rsid w:val="0081266C"/>
    <w:rsid w:val="00812D6B"/>
    <w:rsid w:val="0081309B"/>
    <w:rsid w:val="00813597"/>
    <w:rsid w:val="008138AD"/>
    <w:rsid w:val="00814A29"/>
    <w:rsid w:val="00816657"/>
    <w:rsid w:val="00817FEF"/>
    <w:rsid w:val="00820486"/>
    <w:rsid w:val="008207D6"/>
    <w:rsid w:val="00820999"/>
    <w:rsid w:val="00820F1F"/>
    <w:rsid w:val="008259B8"/>
    <w:rsid w:val="00825ADA"/>
    <w:rsid w:val="00825DEA"/>
    <w:rsid w:val="008279A8"/>
    <w:rsid w:val="00827E59"/>
    <w:rsid w:val="00827EA7"/>
    <w:rsid w:val="0083050A"/>
    <w:rsid w:val="00830547"/>
    <w:rsid w:val="00830D5E"/>
    <w:rsid w:val="0083160C"/>
    <w:rsid w:val="00832CEE"/>
    <w:rsid w:val="0083338A"/>
    <w:rsid w:val="00833410"/>
    <w:rsid w:val="00833923"/>
    <w:rsid w:val="00834CDA"/>
    <w:rsid w:val="00835C70"/>
    <w:rsid w:val="008362EF"/>
    <w:rsid w:val="008367C0"/>
    <w:rsid w:val="00836B0B"/>
    <w:rsid w:val="0083710E"/>
    <w:rsid w:val="0083734F"/>
    <w:rsid w:val="00837845"/>
    <w:rsid w:val="00840F68"/>
    <w:rsid w:val="008416BE"/>
    <w:rsid w:val="00841ACC"/>
    <w:rsid w:val="00842B7A"/>
    <w:rsid w:val="00843EBB"/>
    <w:rsid w:val="008443EB"/>
    <w:rsid w:val="00844E1C"/>
    <w:rsid w:val="00846D82"/>
    <w:rsid w:val="00850104"/>
    <w:rsid w:val="008510F2"/>
    <w:rsid w:val="00851593"/>
    <w:rsid w:val="00854456"/>
    <w:rsid w:val="00854727"/>
    <w:rsid w:val="00854DDC"/>
    <w:rsid w:val="00855674"/>
    <w:rsid w:val="00861AE4"/>
    <w:rsid w:val="00861E88"/>
    <w:rsid w:val="008623AA"/>
    <w:rsid w:val="0086291A"/>
    <w:rsid w:val="00862D4F"/>
    <w:rsid w:val="00865ACD"/>
    <w:rsid w:val="00867308"/>
    <w:rsid w:val="00867A01"/>
    <w:rsid w:val="0087024A"/>
    <w:rsid w:val="00871456"/>
    <w:rsid w:val="00872ABA"/>
    <w:rsid w:val="00872B47"/>
    <w:rsid w:val="00872FCE"/>
    <w:rsid w:val="0087358C"/>
    <w:rsid w:val="0087425F"/>
    <w:rsid w:val="00874EBD"/>
    <w:rsid w:val="00875DC4"/>
    <w:rsid w:val="008761FC"/>
    <w:rsid w:val="00876856"/>
    <w:rsid w:val="0087788E"/>
    <w:rsid w:val="00877D2F"/>
    <w:rsid w:val="008800C1"/>
    <w:rsid w:val="00880F0C"/>
    <w:rsid w:val="00881137"/>
    <w:rsid w:val="008829A2"/>
    <w:rsid w:val="00882AD1"/>
    <w:rsid w:val="00883A75"/>
    <w:rsid w:val="00883B8A"/>
    <w:rsid w:val="00883F46"/>
    <w:rsid w:val="00883F98"/>
    <w:rsid w:val="00884396"/>
    <w:rsid w:val="008843FC"/>
    <w:rsid w:val="0088463B"/>
    <w:rsid w:val="008861C5"/>
    <w:rsid w:val="008862BD"/>
    <w:rsid w:val="00886F17"/>
    <w:rsid w:val="008917E7"/>
    <w:rsid w:val="008919EC"/>
    <w:rsid w:val="00891BDF"/>
    <w:rsid w:val="00892508"/>
    <w:rsid w:val="00893970"/>
    <w:rsid w:val="00895BBE"/>
    <w:rsid w:val="008962E9"/>
    <w:rsid w:val="0089653C"/>
    <w:rsid w:val="0089774C"/>
    <w:rsid w:val="008A0DE6"/>
    <w:rsid w:val="008A1FF5"/>
    <w:rsid w:val="008A233D"/>
    <w:rsid w:val="008A237E"/>
    <w:rsid w:val="008A356F"/>
    <w:rsid w:val="008A37B9"/>
    <w:rsid w:val="008A447D"/>
    <w:rsid w:val="008A4AF5"/>
    <w:rsid w:val="008A4F12"/>
    <w:rsid w:val="008A53D6"/>
    <w:rsid w:val="008A62A5"/>
    <w:rsid w:val="008A7075"/>
    <w:rsid w:val="008A792B"/>
    <w:rsid w:val="008A7E2E"/>
    <w:rsid w:val="008B07A4"/>
    <w:rsid w:val="008B18AE"/>
    <w:rsid w:val="008B3124"/>
    <w:rsid w:val="008B3E56"/>
    <w:rsid w:val="008B577A"/>
    <w:rsid w:val="008B6744"/>
    <w:rsid w:val="008B71FF"/>
    <w:rsid w:val="008B72A5"/>
    <w:rsid w:val="008B7762"/>
    <w:rsid w:val="008C03E2"/>
    <w:rsid w:val="008C0421"/>
    <w:rsid w:val="008C0944"/>
    <w:rsid w:val="008C1918"/>
    <w:rsid w:val="008C1A51"/>
    <w:rsid w:val="008C2A4A"/>
    <w:rsid w:val="008C2F29"/>
    <w:rsid w:val="008C4272"/>
    <w:rsid w:val="008C4AD0"/>
    <w:rsid w:val="008C4B79"/>
    <w:rsid w:val="008C50D3"/>
    <w:rsid w:val="008C5E4E"/>
    <w:rsid w:val="008C5F9A"/>
    <w:rsid w:val="008C63CA"/>
    <w:rsid w:val="008C6740"/>
    <w:rsid w:val="008C6B30"/>
    <w:rsid w:val="008C7EEA"/>
    <w:rsid w:val="008D08E3"/>
    <w:rsid w:val="008D0BD7"/>
    <w:rsid w:val="008D3033"/>
    <w:rsid w:val="008D4055"/>
    <w:rsid w:val="008D493B"/>
    <w:rsid w:val="008D4A7C"/>
    <w:rsid w:val="008D51DA"/>
    <w:rsid w:val="008D524B"/>
    <w:rsid w:val="008D53A9"/>
    <w:rsid w:val="008D5615"/>
    <w:rsid w:val="008D5F0D"/>
    <w:rsid w:val="008D60E6"/>
    <w:rsid w:val="008D683A"/>
    <w:rsid w:val="008D7B17"/>
    <w:rsid w:val="008E0359"/>
    <w:rsid w:val="008E039D"/>
    <w:rsid w:val="008E0805"/>
    <w:rsid w:val="008E0FFB"/>
    <w:rsid w:val="008E11F0"/>
    <w:rsid w:val="008E23D0"/>
    <w:rsid w:val="008E2B4D"/>
    <w:rsid w:val="008E3094"/>
    <w:rsid w:val="008E3295"/>
    <w:rsid w:val="008E3532"/>
    <w:rsid w:val="008E35F7"/>
    <w:rsid w:val="008E3F54"/>
    <w:rsid w:val="008E48EA"/>
    <w:rsid w:val="008E49E4"/>
    <w:rsid w:val="008E55EA"/>
    <w:rsid w:val="008E5926"/>
    <w:rsid w:val="008E7105"/>
    <w:rsid w:val="008E75C5"/>
    <w:rsid w:val="008E7604"/>
    <w:rsid w:val="008E7887"/>
    <w:rsid w:val="008E7E6E"/>
    <w:rsid w:val="008F1194"/>
    <w:rsid w:val="008F11E3"/>
    <w:rsid w:val="008F1615"/>
    <w:rsid w:val="008F1816"/>
    <w:rsid w:val="008F1871"/>
    <w:rsid w:val="008F1884"/>
    <w:rsid w:val="008F20FA"/>
    <w:rsid w:val="008F237A"/>
    <w:rsid w:val="008F2796"/>
    <w:rsid w:val="008F29A9"/>
    <w:rsid w:val="008F34D3"/>
    <w:rsid w:val="008F5F55"/>
    <w:rsid w:val="008F66A7"/>
    <w:rsid w:val="008F6A2F"/>
    <w:rsid w:val="008F6B5E"/>
    <w:rsid w:val="008F755E"/>
    <w:rsid w:val="008F79D0"/>
    <w:rsid w:val="009008B1"/>
    <w:rsid w:val="00901193"/>
    <w:rsid w:val="009014E6"/>
    <w:rsid w:val="00902015"/>
    <w:rsid w:val="009021EE"/>
    <w:rsid w:val="00902471"/>
    <w:rsid w:val="0090323F"/>
    <w:rsid w:val="00903531"/>
    <w:rsid w:val="00904A65"/>
    <w:rsid w:val="00905793"/>
    <w:rsid w:val="00905FE5"/>
    <w:rsid w:val="00906800"/>
    <w:rsid w:val="00907263"/>
    <w:rsid w:val="0090768C"/>
    <w:rsid w:val="0091019D"/>
    <w:rsid w:val="009103EE"/>
    <w:rsid w:val="009123F6"/>
    <w:rsid w:val="00912B28"/>
    <w:rsid w:val="00912B7F"/>
    <w:rsid w:val="009132C9"/>
    <w:rsid w:val="00913E2A"/>
    <w:rsid w:val="00913EF8"/>
    <w:rsid w:val="0091468D"/>
    <w:rsid w:val="0091475E"/>
    <w:rsid w:val="00915341"/>
    <w:rsid w:val="00916155"/>
    <w:rsid w:val="009163B6"/>
    <w:rsid w:val="00916B61"/>
    <w:rsid w:val="00916CDE"/>
    <w:rsid w:val="00917ED2"/>
    <w:rsid w:val="00917F42"/>
    <w:rsid w:val="0092089A"/>
    <w:rsid w:val="00920CD5"/>
    <w:rsid w:val="009217A9"/>
    <w:rsid w:val="0092287C"/>
    <w:rsid w:val="00922F1E"/>
    <w:rsid w:val="00922F29"/>
    <w:rsid w:val="009231E6"/>
    <w:rsid w:val="00924634"/>
    <w:rsid w:val="0092497B"/>
    <w:rsid w:val="00924ED9"/>
    <w:rsid w:val="009274FA"/>
    <w:rsid w:val="0093042C"/>
    <w:rsid w:val="00930453"/>
    <w:rsid w:val="00931316"/>
    <w:rsid w:val="00932982"/>
    <w:rsid w:val="00933086"/>
    <w:rsid w:val="00933E38"/>
    <w:rsid w:val="00934A0F"/>
    <w:rsid w:val="009367EB"/>
    <w:rsid w:val="00937ED6"/>
    <w:rsid w:val="009406E7"/>
    <w:rsid w:val="00940B04"/>
    <w:rsid w:val="00940EB0"/>
    <w:rsid w:val="00941E97"/>
    <w:rsid w:val="00942124"/>
    <w:rsid w:val="009433A0"/>
    <w:rsid w:val="00943948"/>
    <w:rsid w:val="00943CD4"/>
    <w:rsid w:val="00944AB3"/>
    <w:rsid w:val="00946893"/>
    <w:rsid w:val="00950141"/>
    <w:rsid w:val="0095074C"/>
    <w:rsid w:val="00950840"/>
    <w:rsid w:val="00950BCE"/>
    <w:rsid w:val="00950E4D"/>
    <w:rsid w:val="00950FC7"/>
    <w:rsid w:val="00953FB3"/>
    <w:rsid w:val="0095455D"/>
    <w:rsid w:val="0095482D"/>
    <w:rsid w:val="009563AA"/>
    <w:rsid w:val="0095738C"/>
    <w:rsid w:val="00957540"/>
    <w:rsid w:val="009623A4"/>
    <w:rsid w:val="00964724"/>
    <w:rsid w:val="00964C1A"/>
    <w:rsid w:val="00964E99"/>
    <w:rsid w:val="00965097"/>
    <w:rsid w:val="0096515A"/>
    <w:rsid w:val="00965C79"/>
    <w:rsid w:val="00965F24"/>
    <w:rsid w:val="00965F7C"/>
    <w:rsid w:val="00965FB3"/>
    <w:rsid w:val="00966601"/>
    <w:rsid w:val="00967094"/>
    <w:rsid w:val="0096765C"/>
    <w:rsid w:val="00970079"/>
    <w:rsid w:val="009700A9"/>
    <w:rsid w:val="00970819"/>
    <w:rsid w:val="00970A79"/>
    <w:rsid w:val="00971162"/>
    <w:rsid w:val="00971CD5"/>
    <w:rsid w:val="0097367A"/>
    <w:rsid w:val="00973C9C"/>
    <w:rsid w:val="009748A7"/>
    <w:rsid w:val="009750BB"/>
    <w:rsid w:val="009752BD"/>
    <w:rsid w:val="009758CF"/>
    <w:rsid w:val="009760D2"/>
    <w:rsid w:val="00976C8D"/>
    <w:rsid w:val="00977774"/>
    <w:rsid w:val="009779C3"/>
    <w:rsid w:val="0098031A"/>
    <w:rsid w:val="00982CA9"/>
    <w:rsid w:val="0098589D"/>
    <w:rsid w:val="0098672A"/>
    <w:rsid w:val="00986A0B"/>
    <w:rsid w:val="009875D0"/>
    <w:rsid w:val="00990141"/>
    <w:rsid w:val="00990D6F"/>
    <w:rsid w:val="0099157D"/>
    <w:rsid w:val="0099378B"/>
    <w:rsid w:val="00993A67"/>
    <w:rsid w:val="00994D7F"/>
    <w:rsid w:val="009962A0"/>
    <w:rsid w:val="0099644E"/>
    <w:rsid w:val="0099649C"/>
    <w:rsid w:val="00996F8C"/>
    <w:rsid w:val="009976EF"/>
    <w:rsid w:val="009A0627"/>
    <w:rsid w:val="009A2423"/>
    <w:rsid w:val="009A44CB"/>
    <w:rsid w:val="009A454D"/>
    <w:rsid w:val="009A472B"/>
    <w:rsid w:val="009A5C14"/>
    <w:rsid w:val="009A7763"/>
    <w:rsid w:val="009A7B95"/>
    <w:rsid w:val="009A7C59"/>
    <w:rsid w:val="009A7F14"/>
    <w:rsid w:val="009B05E8"/>
    <w:rsid w:val="009B05F1"/>
    <w:rsid w:val="009B126C"/>
    <w:rsid w:val="009B1466"/>
    <w:rsid w:val="009B24CF"/>
    <w:rsid w:val="009B2CF2"/>
    <w:rsid w:val="009B30DC"/>
    <w:rsid w:val="009B45E7"/>
    <w:rsid w:val="009B493A"/>
    <w:rsid w:val="009B4DE3"/>
    <w:rsid w:val="009B6612"/>
    <w:rsid w:val="009B6A55"/>
    <w:rsid w:val="009C0048"/>
    <w:rsid w:val="009C0B36"/>
    <w:rsid w:val="009C158C"/>
    <w:rsid w:val="009C196E"/>
    <w:rsid w:val="009C2E58"/>
    <w:rsid w:val="009C3B52"/>
    <w:rsid w:val="009C40BE"/>
    <w:rsid w:val="009C40DF"/>
    <w:rsid w:val="009C455F"/>
    <w:rsid w:val="009C4A6F"/>
    <w:rsid w:val="009C6025"/>
    <w:rsid w:val="009C76A3"/>
    <w:rsid w:val="009C781F"/>
    <w:rsid w:val="009C791B"/>
    <w:rsid w:val="009C7A08"/>
    <w:rsid w:val="009D02E1"/>
    <w:rsid w:val="009D0E4E"/>
    <w:rsid w:val="009D127D"/>
    <w:rsid w:val="009D18A0"/>
    <w:rsid w:val="009D1BEE"/>
    <w:rsid w:val="009D1EF0"/>
    <w:rsid w:val="009D2082"/>
    <w:rsid w:val="009D34D4"/>
    <w:rsid w:val="009D375C"/>
    <w:rsid w:val="009D3A40"/>
    <w:rsid w:val="009D478F"/>
    <w:rsid w:val="009D479C"/>
    <w:rsid w:val="009D4DC3"/>
    <w:rsid w:val="009D5125"/>
    <w:rsid w:val="009D5ED6"/>
    <w:rsid w:val="009D669B"/>
    <w:rsid w:val="009D69A8"/>
    <w:rsid w:val="009D6C7E"/>
    <w:rsid w:val="009D705F"/>
    <w:rsid w:val="009D73BF"/>
    <w:rsid w:val="009D7BE9"/>
    <w:rsid w:val="009D7BFB"/>
    <w:rsid w:val="009D7E79"/>
    <w:rsid w:val="009E095E"/>
    <w:rsid w:val="009E1028"/>
    <w:rsid w:val="009E1143"/>
    <w:rsid w:val="009E1E3D"/>
    <w:rsid w:val="009E2925"/>
    <w:rsid w:val="009E2993"/>
    <w:rsid w:val="009E3549"/>
    <w:rsid w:val="009E409E"/>
    <w:rsid w:val="009E4EC0"/>
    <w:rsid w:val="009E5732"/>
    <w:rsid w:val="009E63C4"/>
    <w:rsid w:val="009E7131"/>
    <w:rsid w:val="009F0065"/>
    <w:rsid w:val="009F0651"/>
    <w:rsid w:val="009F0908"/>
    <w:rsid w:val="009F160E"/>
    <w:rsid w:val="009F1BCB"/>
    <w:rsid w:val="009F2488"/>
    <w:rsid w:val="009F421F"/>
    <w:rsid w:val="009F62DB"/>
    <w:rsid w:val="009F669D"/>
    <w:rsid w:val="009F6E81"/>
    <w:rsid w:val="009F6FCA"/>
    <w:rsid w:val="009F7321"/>
    <w:rsid w:val="009F77B1"/>
    <w:rsid w:val="00A00194"/>
    <w:rsid w:val="00A003DD"/>
    <w:rsid w:val="00A00568"/>
    <w:rsid w:val="00A00FD1"/>
    <w:rsid w:val="00A02556"/>
    <w:rsid w:val="00A02BF2"/>
    <w:rsid w:val="00A031F9"/>
    <w:rsid w:val="00A0399F"/>
    <w:rsid w:val="00A0406C"/>
    <w:rsid w:val="00A05284"/>
    <w:rsid w:val="00A05A0B"/>
    <w:rsid w:val="00A05E0C"/>
    <w:rsid w:val="00A062A6"/>
    <w:rsid w:val="00A07512"/>
    <w:rsid w:val="00A075F3"/>
    <w:rsid w:val="00A121F0"/>
    <w:rsid w:val="00A12FE6"/>
    <w:rsid w:val="00A13F54"/>
    <w:rsid w:val="00A1486A"/>
    <w:rsid w:val="00A14944"/>
    <w:rsid w:val="00A16B52"/>
    <w:rsid w:val="00A17DED"/>
    <w:rsid w:val="00A20102"/>
    <w:rsid w:val="00A2017E"/>
    <w:rsid w:val="00A2131E"/>
    <w:rsid w:val="00A22515"/>
    <w:rsid w:val="00A2337E"/>
    <w:rsid w:val="00A24765"/>
    <w:rsid w:val="00A24A28"/>
    <w:rsid w:val="00A24C31"/>
    <w:rsid w:val="00A24FA6"/>
    <w:rsid w:val="00A25060"/>
    <w:rsid w:val="00A2547A"/>
    <w:rsid w:val="00A25882"/>
    <w:rsid w:val="00A261BA"/>
    <w:rsid w:val="00A3030B"/>
    <w:rsid w:val="00A31B07"/>
    <w:rsid w:val="00A32DAE"/>
    <w:rsid w:val="00A33C0F"/>
    <w:rsid w:val="00A35F17"/>
    <w:rsid w:val="00A3639E"/>
    <w:rsid w:val="00A3659C"/>
    <w:rsid w:val="00A36A51"/>
    <w:rsid w:val="00A3750B"/>
    <w:rsid w:val="00A40328"/>
    <w:rsid w:val="00A403A8"/>
    <w:rsid w:val="00A404B2"/>
    <w:rsid w:val="00A412C2"/>
    <w:rsid w:val="00A41901"/>
    <w:rsid w:val="00A428F3"/>
    <w:rsid w:val="00A43301"/>
    <w:rsid w:val="00A43CA9"/>
    <w:rsid w:val="00A44509"/>
    <w:rsid w:val="00A446D4"/>
    <w:rsid w:val="00A4582E"/>
    <w:rsid w:val="00A466C5"/>
    <w:rsid w:val="00A472C5"/>
    <w:rsid w:val="00A4740D"/>
    <w:rsid w:val="00A50CD1"/>
    <w:rsid w:val="00A50DA3"/>
    <w:rsid w:val="00A50F59"/>
    <w:rsid w:val="00A52008"/>
    <w:rsid w:val="00A528CC"/>
    <w:rsid w:val="00A52EF0"/>
    <w:rsid w:val="00A53CE6"/>
    <w:rsid w:val="00A5472F"/>
    <w:rsid w:val="00A54975"/>
    <w:rsid w:val="00A54C4F"/>
    <w:rsid w:val="00A54C94"/>
    <w:rsid w:val="00A555D1"/>
    <w:rsid w:val="00A560DE"/>
    <w:rsid w:val="00A56F02"/>
    <w:rsid w:val="00A57FD5"/>
    <w:rsid w:val="00A60AB7"/>
    <w:rsid w:val="00A615FC"/>
    <w:rsid w:val="00A62028"/>
    <w:rsid w:val="00A6320B"/>
    <w:rsid w:val="00A63FA3"/>
    <w:rsid w:val="00A643BD"/>
    <w:rsid w:val="00A64491"/>
    <w:rsid w:val="00A666EB"/>
    <w:rsid w:val="00A66DA4"/>
    <w:rsid w:val="00A7108C"/>
    <w:rsid w:val="00A718E9"/>
    <w:rsid w:val="00A7441C"/>
    <w:rsid w:val="00A75036"/>
    <w:rsid w:val="00A7606A"/>
    <w:rsid w:val="00A7702A"/>
    <w:rsid w:val="00A77956"/>
    <w:rsid w:val="00A80332"/>
    <w:rsid w:val="00A80D18"/>
    <w:rsid w:val="00A81297"/>
    <w:rsid w:val="00A81EE4"/>
    <w:rsid w:val="00A824C9"/>
    <w:rsid w:val="00A829E3"/>
    <w:rsid w:val="00A83C15"/>
    <w:rsid w:val="00A84413"/>
    <w:rsid w:val="00A848A5"/>
    <w:rsid w:val="00A85069"/>
    <w:rsid w:val="00A851D3"/>
    <w:rsid w:val="00A85A4E"/>
    <w:rsid w:val="00A85C99"/>
    <w:rsid w:val="00A85F3A"/>
    <w:rsid w:val="00A86059"/>
    <w:rsid w:val="00A8682A"/>
    <w:rsid w:val="00A86C74"/>
    <w:rsid w:val="00A877EA"/>
    <w:rsid w:val="00A87CC6"/>
    <w:rsid w:val="00A90434"/>
    <w:rsid w:val="00A90848"/>
    <w:rsid w:val="00A90C30"/>
    <w:rsid w:val="00A90D44"/>
    <w:rsid w:val="00A90D5D"/>
    <w:rsid w:val="00A919A8"/>
    <w:rsid w:val="00A941A6"/>
    <w:rsid w:val="00A95130"/>
    <w:rsid w:val="00A95E04"/>
    <w:rsid w:val="00A9664D"/>
    <w:rsid w:val="00A9702D"/>
    <w:rsid w:val="00A97794"/>
    <w:rsid w:val="00AA09CE"/>
    <w:rsid w:val="00AA109A"/>
    <w:rsid w:val="00AA184D"/>
    <w:rsid w:val="00AA3ADF"/>
    <w:rsid w:val="00AA4945"/>
    <w:rsid w:val="00AA4CF5"/>
    <w:rsid w:val="00AA4F18"/>
    <w:rsid w:val="00AA5089"/>
    <w:rsid w:val="00AA7490"/>
    <w:rsid w:val="00AA7EB9"/>
    <w:rsid w:val="00AB0321"/>
    <w:rsid w:val="00AB13D8"/>
    <w:rsid w:val="00AB21EA"/>
    <w:rsid w:val="00AB22C2"/>
    <w:rsid w:val="00AB23B1"/>
    <w:rsid w:val="00AB29DA"/>
    <w:rsid w:val="00AB2D5C"/>
    <w:rsid w:val="00AB44ED"/>
    <w:rsid w:val="00AB51C0"/>
    <w:rsid w:val="00AB538D"/>
    <w:rsid w:val="00AB6BAC"/>
    <w:rsid w:val="00AB70F7"/>
    <w:rsid w:val="00AC0022"/>
    <w:rsid w:val="00AC0AB2"/>
    <w:rsid w:val="00AC12F5"/>
    <w:rsid w:val="00AC289B"/>
    <w:rsid w:val="00AC37A1"/>
    <w:rsid w:val="00AC5006"/>
    <w:rsid w:val="00AC56CE"/>
    <w:rsid w:val="00AC59CF"/>
    <w:rsid w:val="00AC604F"/>
    <w:rsid w:val="00AC69E5"/>
    <w:rsid w:val="00AC71B2"/>
    <w:rsid w:val="00AC7CB2"/>
    <w:rsid w:val="00AD0495"/>
    <w:rsid w:val="00AD25B3"/>
    <w:rsid w:val="00AD2C27"/>
    <w:rsid w:val="00AD2F15"/>
    <w:rsid w:val="00AD4224"/>
    <w:rsid w:val="00AD4E75"/>
    <w:rsid w:val="00AD523B"/>
    <w:rsid w:val="00AD6DC7"/>
    <w:rsid w:val="00AD74C8"/>
    <w:rsid w:val="00AE018F"/>
    <w:rsid w:val="00AE1909"/>
    <w:rsid w:val="00AE1E31"/>
    <w:rsid w:val="00AE1F27"/>
    <w:rsid w:val="00AE3181"/>
    <w:rsid w:val="00AE357C"/>
    <w:rsid w:val="00AE7531"/>
    <w:rsid w:val="00AE7EDF"/>
    <w:rsid w:val="00AF07F9"/>
    <w:rsid w:val="00AF165B"/>
    <w:rsid w:val="00AF2C19"/>
    <w:rsid w:val="00AF3257"/>
    <w:rsid w:val="00AF34AF"/>
    <w:rsid w:val="00AF3D16"/>
    <w:rsid w:val="00AF4186"/>
    <w:rsid w:val="00AF47A4"/>
    <w:rsid w:val="00AF6432"/>
    <w:rsid w:val="00AF687C"/>
    <w:rsid w:val="00AF6C4D"/>
    <w:rsid w:val="00B01120"/>
    <w:rsid w:val="00B01969"/>
    <w:rsid w:val="00B04BED"/>
    <w:rsid w:val="00B052CB"/>
    <w:rsid w:val="00B054AC"/>
    <w:rsid w:val="00B06368"/>
    <w:rsid w:val="00B0750E"/>
    <w:rsid w:val="00B10470"/>
    <w:rsid w:val="00B10AEC"/>
    <w:rsid w:val="00B11217"/>
    <w:rsid w:val="00B11660"/>
    <w:rsid w:val="00B120E4"/>
    <w:rsid w:val="00B12515"/>
    <w:rsid w:val="00B139D2"/>
    <w:rsid w:val="00B16963"/>
    <w:rsid w:val="00B16C3A"/>
    <w:rsid w:val="00B2044E"/>
    <w:rsid w:val="00B2115F"/>
    <w:rsid w:val="00B21902"/>
    <w:rsid w:val="00B21BA2"/>
    <w:rsid w:val="00B22768"/>
    <w:rsid w:val="00B22779"/>
    <w:rsid w:val="00B2314C"/>
    <w:rsid w:val="00B234B3"/>
    <w:rsid w:val="00B23C83"/>
    <w:rsid w:val="00B24E70"/>
    <w:rsid w:val="00B24FA2"/>
    <w:rsid w:val="00B30BB7"/>
    <w:rsid w:val="00B3110A"/>
    <w:rsid w:val="00B3166E"/>
    <w:rsid w:val="00B320FF"/>
    <w:rsid w:val="00B32620"/>
    <w:rsid w:val="00B32906"/>
    <w:rsid w:val="00B32B9E"/>
    <w:rsid w:val="00B32FB1"/>
    <w:rsid w:val="00B33921"/>
    <w:rsid w:val="00B33FCF"/>
    <w:rsid w:val="00B340E9"/>
    <w:rsid w:val="00B349EE"/>
    <w:rsid w:val="00B3528D"/>
    <w:rsid w:val="00B35AFE"/>
    <w:rsid w:val="00B35D3A"/>
    <w:rsid w:val="00B35E9F"/>
    <w:rsid w:val="00B372E0"/>
    <w:rsid w:val="00B4016D"/>
    <w:rsid w:val="00B40329"/>
    <w:rsid w:val="00B4063B"/>
    <w:rsid w:val="00B40B8D"/>
    <w:rsid w:val="00B4103B"/>
    <w:rsid w:val="00B41973"/>
    <w:rsid w:val="00B432A2"/>
    <w:rsid w:val="00B45440"/>
    <w:rsid w:val="00B50250"/>
    <w:rsid w:val="00B50F34"/>
    <w:rsid w:val="00B53839"/>
    <w:rsid w:val="00B5466A"/>
    <w:rsid w:val="00B546E5"/>
    <w:rsid w:val="00B548F1"/>
    <w:rsid w:val="00B54E07"/>
    <w:rsid w:val="00B565C8"/>
    <w:rsid w:val="00B56B0F"/>
    <w:rsid w:val="00B57F78"/>
    <w:rsid w:val="00B6141E"/>
    <w:rsid w:val="00B62F9E"/>
    <w:rsid w:val="00B64AF1"/>
    <w:rsid w:val="00B67ED0"/>
    <w:rsid w:val="00B70DE4"/>
    <w:rsid w:val="00B70E53"/>
    <w:rsid w:val="00B71451"/>
    <w:rsid w:val="00B71A00"/>
    <w:rsid w:val="00B74278"/>
    <w:rsid w:val="00B74705"/>
    <w:rsid w:val="00B74730"/>
    <w:rsid w:val="00B749D6"/>
    <w:rsid w:val="00B75149"/>
    <w:rsid w:val="00B75C22"/>
    <w:rsid w:val="00B768B6"/>
    <w:rsid w:val="00B76DEF"/>
    <w:rsid w:val="00B77767"/>
    <w:rsid w:val="00B803D6"/>
    <w:rsid w:val="00B8091A"/>
    <w:rsid w:val="00B8102E"/>
    <w:rsid w:val="00B82D90"/>
    <w:rsid w:val="00B83257"/>
    <w:rsid w:val="00B8475A"/>
    <w:rsid w:val="00B85199"/>
    <w:rsid w:val="00B87C37"/>
    <w:rsid w:val="00B903E3"/>
    <w:rsid w:val="00B90D14"/>
    <w:rsid w:val="00B911C2"/>
    <w:rsid w:val="00B9137C"/>
    <w:rsid w:val="00B91DF8"/>
    <w:rsid w:val="00B92C72"/>
    <w:rsid w:val="00B93396"/>
    <w:rsid w:val="00B93984"/>
    <w:rsid w:val="00B94B20"/>
    <w:rsid w:val="00B95300"/>
    <w:rsid w:val="00B9543E"/>
    <w:rsid w:val="00B9577C"/>
    <w:rsid w:val="00B9594C"/>
    <w:rsid w:val="00B96F03"/>
    <w:rsid w:val="00B9734C"/>
    <w:rsid w:val="00B97924"/>
    <w:rsid w:val="00BA0B05"/>
    <w:rsid w:val="00BA1C6F"/>
    <w:rsid w:val="00BA26EF"/>
    <w:rsid w:val="00BA2C03"/>
    <w:rsid w:val="00BA314C"/>
    <w:rsid w:val="00BA3969"/>
    <w:rsid w:val="00BA4235"/>
    <w:rsid w:val="00BA6C1F"/>
    <w:rsid w:val="00BA7AF1"/>
    <w:rsid w:val="00BA7DBE"/>
    <w:rsid w:val="00BB1E94"/>
    <w:rsid w:val="00BB1F4A"/>
    <w:rsid w:val="00BB24AC"/>
    <w:rsid w:val="00BB29AC"/>
    <w:rsid w:val="00BB51B9"/>
    <w:rsid w:val="00BB57F4"/>
    <w:rsid w:val="00BB64DA"/>
    <w:rsid w:val="00BB7712"/>
    <w:rsid w:val="00BB7A58"/>
    <w:rsid w:val="00BB7CB8"/>
    <w:rsid w:val="00BC039C"/>
    <w:rsid w:val="00BC0456"/>
    <w:rsid w:val="00BC177D"/>
    <w:rsid w:val="00BC1A41"/>
    <w:rsid w:val="00BC2114"/>
    <w:rsid w:val="00BC26B1"/>
    <w:rsid w:val="00BC2908"/>
    <w:rsid w:val="00BC34C2"/>
    <w:rsid w:val="00BC3FC3"/>
    <w:rsid w:val="00BC5224"/>
    <w:rsid w:val="00BC65D3"/>
    <w:rsid w:val="00BC6BAB"/>
    <w:rsid w:val="00BC6FDF"/>
    <w:rsid w:val="00BC7AE4"/>
    <w:rsid w:val="00BC7D35"/>
    <w:rsid w:val="00BC7D79"/>
    <w:rsid w:val="00BD02DD"/>
    <w:rsid w:val="00BD07DC"/>
    <w:rsid w:val="00BD09E2"/>
    <w:rsid w:val="00BD0AC0"/>
    <w:rsid w:val="00BD2E62"/>
    <w:rsid w:val="00BD4484"/>
    <w:rsid w:val="00BD4A4B"/>
    <w:rsid w:val="00BD4C27"/>
    <w:rsid w:val="00BD6907"/>
    <w:rsid w:val="00BD6E92"/>
    <w:rsid w:val="00BD769D"/>
    <w:rsid w:val="00BE0F25"/>
    <w:rsid w:val="00BE15D2"/>
    <w:rsid w:val="00BE23BB"/>
    <w:rsid w:val="00BE274E"/>
    <w:rsid w:val="00BE336C"/>
    <w:rsid w:val="00BE3502"/>
    <w:rsid w:val="00BE3ADC"/>
    <w:rsid w:val="00BE445D"/>
    <w:rsid w:val="00BE4D2C"/>
    <w:rsid w:val="00BE56D9"/>
    <w:rsid w:val="00BE7F6B"/>
    <w:rsid w:val="00BF0382"/>
    <w:rsid w:val="00BF082E"/>
    <w:rsid w:val="00BF0988"/>
    <w:rsid w:val="00BF1B21"/>
    <w:rsid w:val="00BF1E0A"/>
    <w:rsid w:val="00BF27E9"/>
    <w:rsid w:val="00BF2A73"/>
    <w:rsid w:val="00BF2B5B"/>
    <w:rsid w:val="00BF38FD"/>
    <w:rsid w:val="00BF3947"/>
    <w:rsid w:val="00BF4690"/>
    <w:rsid w:val="00BF6F76"/>
    <w:rsid w:val="00BF7155"/>
    <w:rsid w:val="00C02978"/>
    <w:rsid w:val="00C034A9"/>
    <w:rsid w:val="00C03859"/>
    <w:rsid w:val="00C03F51"/>
    <w:rsid w:val="00C05E01"/>
    <w:rsid w:val="00C05E42"/>
    <w:rsid w:val="00C063F1"/>
    <w:rsid w:val="00C0679C"/>
    <w:rsid w:val="00C078BD"/>
    <w:rsid w:val="00C102CC"/>
    <w:rsid w:val="00C11A47"/>
    <w:rsid w:val="00C12098"/>
    <w:rsid w:val="00C13805"/>
    <w:rsid w:val="00C14397"/>
    <w:rsid w:val="00C15CA6"/>
    <w:rsid w:val="00C16807"/>
    <w:rsid w:val="00C16F89"/>
    <w:rsid w:val="00C17529"/>
    <w:rsid w:val="00C2025F"/>
    <w:rsid w:val="00C20B87"/>
    <w:rsid w:val="00C2167D"/>
    <w:rsid w:val="00C21BCC"/>
    <w:rsid w:val="00C22BFA"/>
    <w:rsid w:val="00C2403A"/>
    <w:rsid w:val="00C24CC2"/>
    <w:rsid w:val="00C266D3"/>
    <w:rsid w:val="00C266DA"/>
    <w:rsid w:val="00C26FE9"/>
    <w:rsid w:val="00C27C74"/>
    <w:rsid w:val="00C27D03"/>
    <w:rsid w:val="00C30313"/>
    <w:rsid w:val="00C304DA"/>
    <w:rsid w:val="00C31095"/>
    <w:rsid w:val="00C31277"/>
    <w:rsid w:val="00C32321"/>
    <w:rsid w:val="00C3296F"/>
    <w:rsid w:val="00C33173"/>
    <w:rsid w:val="00C349F0"/>
    <w:rsid w:val="00C34A1E"/>
    <w:rsid w:val="00C3720B"/>
    <w:rsid w:val="00C406CF"/>
    <w:rsid w:val="00C41423"/>
    <w:rsid w:val="00C41C56"/>
    <w:rsid w:val="00C4334F"/>
    <w:rsid w:val="00C4363D"/>
    <w:rsid w:val="00C438CA"/>
    <w:rsid w:val="00C4434A"/>
    <w:rsid w:val="00C44906"/>
    <w:rsid w:val="00C44974"/>
    <w:rsid w:val="00C44E9E"/>
    <w:rsid w:val="00C4570B"/>
    <w:rsid w:val="00C46098"/>
    <w:rsid w:val="00C46439"/>
    <w:rsid w:val="00C465CE"/>
    <w:rsid w:val="00C46B32"/>
    <w:rsid w:val="00C47A26"/>
    <w:rsid w:val="00C50E1F"/>
    <w:rsid w:val="00C516EC"/>
    <w:rsid w:val="00C52ABF"/>
    <w:rsid w:val="00C539F0"/>
    <w:rsid w:val="00C53DC9"/>
    <w:rsid w:val="00C5436E"/>
    <w:rsid w:val="00C54702"/>
    <w:rsid w:val="00C571A9"/>
    <w:rsid w:val="00C615A7"/>
    <w:rsid w:val="00C616BF"/>
    <w:rsid w:val="00C61AD1"/>
    <w:rsid w:val="00C622E5"/>
    <w:rsid w:val="00C62AE6"/>
    <w:rsid w:val="00C62C5D"/>
    <w:rsid w:val="00C6342A"/>
    <w:rsid w:val="00C646CF"/>
    <w:rsid w:val="00C64873"/>
    <w:rsid w:val="00C64C34"/>
    <w:rsid w:val="00C64EE6"/>
    <w:rsid w:val="00C65959"/>
    <w:rsid w:val="00C65A0A"/>
    <w:rsid w:val="00C65ED1"/>
    <w:rsid w:val="00C66628"/>
    <w:rsid w:val="00C67701"/>
    <w:rsid w:val="00C711C5"/>
    <w:rsid w:val="00C715DB"/>
    <w:rsid w:val="00C7189F"/>
    <w:rsid w:val="00C73C13"/>
    <w:rsid w:val="00C7422F"/>
    <w:rsid w:val="00C74528"/>
    <w:rsid w:val="00C74812"/>
    <w:rsid w:val="00C751BF"/>
    <w:rsid w:val="00C762F7"/>
    <w:rsid w:val="00C7651A"/>
    <w:rsid w:val="00C77280"/>
    <w:rsid w:val="00C77C83"/>
    <w:rsid w:val="00C812AA"/>
    <w:rsid w:val="00C813A0"/>
    <w:rsid w:val="00C817E6"/>
    <w:rsid w:val="00C81AD1"/>
    <w:rsid w:val="00C81E9F"/>
    <w:rsid w:val="00C82372"/>
    <w:rsid w:val="00C82B76"/>
    <w:rsid w:val="00C82CB6"/>
    <w:rsid w:val="00C83111"/>
    <w:rsid w:val="00C84265"/>
    <w:rsid w:val="00C84ED5"/>
    <w:rsid w:val="00C8609E"/>
    <w:rsid w:val="00C8623F"/>
    <w:rsid w:val="00C87684"/>
    <w:rsid w:val="00C87E9A"/>
    <w:rsid w:val="00C901DB"/>
    <w:rsid w:val="00C9070B"/>
    <w:rsid w:val="00C92706"/>
    <w:rsid w:val="00C929EE"/>
    <w:rsid w:val="00C93B18"/>
    <w:rsid w:val="00C94791"/>
    <w:rsid w:val="00C94CBD"/>
    <w:rsid w:val="00C95057"/>
    <w:rsid w:val="00C96465"/>
    <w:rsid w:val="00C96D0A"/>
    <w:rsid w:val="00C96E97"/>
    <w:rsid w:val="00C974FE"/>
    <w:rsid w:val="00CA001B"/>
    <w:rsid w:val="00CA01AD"/>
    <w:rsid w:val="00CA061E"/>
    <w:rsid w:val="00CA1267"/>
    <w:rsid w:val="00CA2625"/>
    <w:rsid w:val="00CA3024"/>
    <w:rsid w:val="00CA36EF"/>
    <w:rsid w:val="00CA3C73"/>
    <w:rsid w:val="00CA3E46"/>
    <w:rsid w:val="00CA5475"/>
    <w:rsid w:val="00CA5E21"/>
    <w:rsid w:val="00CA6FE3"/>
    <w:rsid w:val="00CA7BFF"/>
    <w:rsid w:val="00CB0164"/>
    <w:rsid w:val="00CB19DA"/>
    <w:rsid w:val="00CB1BF5"/>
    <w:rsid w:val="00CB2FA5"/>
    <w:rsid w:val="00CB44F6"/>
    <w:rsid w:val="00CB519E"/>
    <w:rsid w:val="00CB51BB"/>
    <w:rsid w:val="00CB51FF"/>
    <w:rsid w:val="00CB6E0C"/>
    <w:rsid w:val="00CC023C"/>
    <w:rsid w:val="00CC0334"/>
    <w:rsid w:val="00CC1692"/>
    <w:rsid w:val="00CC1B8B"/>
    <w:rsid w:val="00CC1DF5"/>
    <w:rsid w:val="00CC1EAD"/>
    <w:rsid w:val="00CC30C2"/>
    <w:rsid w:val="00CC311A"/>
    <w:rsid w:val="00CC3A59"/>
    <w:rsid w:val="00CC3C03"/>
    <w:rsid w:val="00CC4253"/>
    <w:rsid w:val="00CC4804"/>
    <w:rsid w:val="00CC4E34"/>
    <w:rsid w:val="00CC5133"/>
    <w:rsid w:val="00CC54EB"/>
    <w:rsid w:val="00CC5F27"/>
    <w:rsid w:val="00CC63FE"/>
    <w:rsid w:val="00CC7437"/>
    <w:rsid w:val="00CD06C1"/>
    <w:rsid w:val="00CD20E1"/>
    <w:rsid w:val="00CD2F74"/>
    <w:rsid w:val="00CD3BBB"/>
    <w:rsid w:val="00CD3C54"/>
    <w:rsid w:val="00CD5A98"/>
    <w:rsid w:val="00CD6EF5"/>
    <w:rsid w:val="00CD7493"/>
    <w:rsid w:val="00CD76C0"/>
    <w:rsid w:val="00CD7F31"/>
    <w:rsid w:val="00CE1BC1"/>
    <w:rsid w:val="00CE21A4"/>
    <w:rsid w:val="00CE3521"/>
    <w:rsid w:val="00CE3A2A"/>
    <w:rsid w:val="00CE3B1C"/>
    <w:rsid w:val="00CE5723"/>
    <w:rsid w:val="00CF00AD"/>
    <w:rsid w:val="00CF06F9"/>
    <w:rsid w:val="00CF071D"/>
    <w:rsid w:val="00CF1107"/>
    <w:rsid w:val="00CF1168"/>
    <w:rsid w:val="00CF1C88"/>
    <w:rsid w:val="00CF2D83"/>
    <w:rsid w:val="00CF3034"/>
    <w:rsid w:val="00CF3FC7"/>
    <w:rsid w:val="00CF5493"/>
    <w:rsid w:val="00CF5603"/>
    <w:rsid w:val="00CF634F"/>
    <w:rsid w:val="00CF67D8"/>
    <w:rsid w:val="00CF694E"/>
    <w:rsid w:val="00CF6BF4"/>
    <w:rsid w:val="00CF7DE9"/>
    <w:rsid w:val="00D00547"/>
    <w:rsid w:val="00D01398"/>
    <w:rsid w:val="00D0189D"/>
    <w:rsid w:val="00D02427"/>
    <w:rsid w:val="00D02E46"/>
    <w:rsid w:val="00D03781"/>
    <w:rsid w:val="00D0403A"/>
    <w:rsid w:val="00D04528"/>
    <w:rsid w:val="00D050BA"/>
    <w:rsid w:val="00D05E32"/>
    <w:rsid w:val="00D06CBF"/>
    <w:rsid w:val="00D06FC6"/>
    <w:rsid w:val="00D07DAA"/>
    <w:rsid w:val="00D11CE7"/>
    <w:rsid w:val="00D12281"/>
    <w:rsid w:val="00D14D03"/>
    <w:rsid w:val="00D173CE"/>
    <w:rsid w:val="00D176D6"/>
    <w:rsid w:val="00D21F17"/>
    <w:rsid w:val="00D225A9"/>
    <w:rsid w:val="00D234A5"/>
    <w:rsid w:val="00D2772F"/>
    <w:rsid w:val="00D3079F"/>
    <w:rsid w:val="00D30C5E"/>
    <w:rsid w:val="00D3100A"/>
    <w:rsid w:val="00D312EB"/>
    <w:rsid w:val="00D31C89"/>
    <w:rsid w:val="00D3348F"/>
    <w:rsid w:val="00D3413F"/>
    <w:rsid w:val="00D34190"/>
    <w:rsid w:val="00D3483B"/>
    <w:rsid w:val="00D3497A"/>
    <w:rsid w:val="00D35A12"/>
    <w:rsid w:val="00D373B0"/>
    <w:rsid w:val="00D40BB5"/>
    <w:rsid w:val="00D40EFC"/>
    <w:rsid w:val="00D4142C"/>
    <w:rsid w:val="00D42178"/>
    <w:rsid w:val="00D4229B"/>
    <w:rsid w:val="00D45C32"/>
    <w:rsid w:val="00D462AD"/>
    <w:rsid w:val="00D46FF7"/>
    <w:rsid w:val="00D47431"/>
    <w:rsid w:val="00D47A8B"/>
    <w:rsid w:val="00D47AD5"/>
    <w:rsid w:val="00D47F91"/>
    <w:rsid w:val="00D518C3"/>
    <w:rsid w:val="00D51C09"/>
    <w:rsid w:val="00D51D3D"/>
    <w:rsid w:val="00D52CEB"/>
    <w:rsid w:val="00D52D3B"/>
    <w:rsid w:val="00D532C6"/>
    <w:rsid w:val="00D5426B"/>
    <w:rsid w:val="00D55010"/>
    <w:rsid w:val="00D5599A"/>
    <w:rsid w:val="00D55B21"/>
    <w:rsid w:val="00D563A6"/>
    <w:rsid w:val="00D569AD"/>
    <w:rsid w:val="00D56C76"/>
    <w:rsid w:val="00D60074"/>
    <w:rsid w:val="00D6041B"/>
    <w:rsid w:val="00D605E5"/>
    <w:rsid w:val="00D61E52"/>
    <w:rsid w:val="00D61F73"/>
    <w:rsid w:val="00D6268B"/>
    <w:rsid w:val="00D62A68"/>
    <w:rsid w:val="00D62A8B"/>
    <w:rsid w:val="00D630A0"/>
    <w:rsid w:val="00D65697"/>
    <w:rsid w:val="00D66036"/>
    <w:rsid w:val="00D66D0D"/>
    <w:rsid w:val="00D67140"/>
    <w:rsid w:val="00D7076D"/>
    <w:rsid w:val="00D71595"/>
    <w:rsid w:val="00D71B33"/>
    <w:rsid w:val="00D731B0"/>
    <w:rsid w:val="00D73F84"/>
    <w:rsid w:val="00D740F4"/>
    <w:rsid w:val="00D74189"/>
    <w:rsid w:val="00D74329"/>
    <w:rsid w:val="00D7465C"/>
    <w:rsid w:val="00D75419"/>
    <w:rsid w:val="00D758A0"/>
    <w:rsid w:val="00D77596"/>
    <w:rsid w:val="00D802FD"/>
    <w:rsid w:val="00D814B5"/>
    <w:rsid w:val="00D82EE0"/>
    <w:rsid w:val="00D8402A"/>
    <w:rsid w:val="00D84962"/>
    <w:rsid w:val="00D84FCC"/>
    <w:rsid w:val="00D869C5"/>
    <w:rsid w:val="00D86A4E"/>
    <w:rsid w:val="00D87EE8"/>
    <w:rsid w:val="00D91E3F"/>
    <w:rsid w:val="00D92BE8"/>
    <w:rsid w:val="00D932E1"/>
    <w:rsid w:val="00D936BF"/>
    <w:rsid w:val="00D937A6"/>
    <w:rsid w:val="00D93FD8"/>
    <w:rsid w:val="00D94A5A"/>
    <w:rsid w:val="00D94C3C"/>
    <w:rsid w:val="00D95258"/>
    <w:rsid w:val="00D956C6"/>
    <w:rsid w:val="00D9626A"/>
    <w:rsid w:val="00DA0427"/>
    <w:rsid w:val="00DA05B7"/>
    <w:rsid w:val="00DA0CB6"/>
    <w:rsid w:val="00DA1B0F"/>
    <w:rsid w:val="00DA1E39"/>
    <w:rsid w:val="00DA2171"/>
    <w:rsid w:val="00DA266F"/>
    <w:rsid w:val="00DA2928"/>
    <w:rsid w:val="00DA3AE2"/>
    <w:rsid w:val="00DA3B33"/>
    <w:rsid w:val="00DA42A3"/>
    <w:rsid w:val="00DA5AF9"/>
    <w:rsid w:val="00DA5B4D"/>
    <w:rsid w:val="00DA66D3"/>
    <w:rsid w:val="00DA702D"/>
    <w:rsid w:val="00DA7075"/>
    <w:rsid w:val="00DA74A2"/>
    <w:rsid w:val="00DA7D37"/>
    <w:rsid w:val="00DB010E"/>
    <w:rsid w:val="00DB0BBC"/>
    <w:rsid w:val="00DB191E"/>
    <w:rsid w:val="00DB1E05"/>
    <w:rsid w:val="00DB2029"/>
    <w:rsid w:val="00DB5927"/>
    <w:rsid w:val="00DB6664"/>
    <w:rsid w:val="00DB73FB"/>
    <w:rsid w:val="00DB7CC5"/>
    <w:rsid w:val="00DB7CD4"/>
    <w:rsid w:val="00DC0A66"/>
    <w:rsid w:val="00DC0DBE"/>
    <w:rsid w:val="00DC2523"/>
    <w:rsid w:val="00DC3792"/>
    <w:rsid w:val="00DC429D"/>
    <w:rsid w:val="00DC497E"/>
    <w:rsid w:val="00DC49F0"/>
    <w:rsid w:val="00DC6743"/>
    <w:rsid w:val="00DC6E17"/>
    <w:rsid w:val="00DC6F8F"/>
    <w:rsid w:val="00DC7C69"/>
    <w:rsid w:val="00DD0C56"/>
    <w:rsid w:val="00DD26B7"/>
    <w:rsid w:val="00DD2785"/>
    <w:rsid w:val="00DD2EA7"/>
    <w:rsid w:val="00DD35D4"/>
    <w:rsid w:val="00DD3C0D"/>
    <w:rsid w:val="00DD4449"/>
    <w:rsid w:val="00DD4DCA"/>
    <w:rsid w:val="00DD5B02"/>
    <w:rsid w:val="00DD5CCB"/>
    <w:rsid w:val="00DD6003"/>
    <w:rsid w:val="00DD635E"/>
    <w:rsid w:val="00DD7B1D"/>
    <w:rsid w:val="00DE1355"/>
    <w:rsid w:val="00DE14D6"/>
    <w:rsid w:val="00DE1A4C"/>
    <w:rsid w:val="00DE285A"/>
    <w:rsid w:val="00DE2A03"/>
    <w:rsid w:val="00DE2F3F"/>
    <w:rsid w:val="00DE3645"/>
    <w:rsid w:val="00DE3973"/>
    <w:rsid w:val="00DE4ADB"/>
    <w:rsid w:val="00DE5417"/>
    <w:rsid w:val="00DE5630"/>
    <w:rsid w:val="00DE65F6"/>
    <w:rsid w:val="00DE7227"/>
    <w:rsid w:val="00DE76FC"/>
    <w:rsid w:val="00DF2891"/>
    <w:rsid w:val="00DF355A"/>
    <w:rsid w:val="00DF3789"/>
    <w:rsid w:val="00DF3B2A"/>
    <w:rsid w:val="00DF3F22"/>
    <w:rsid w:val="00DF4BAB"/>
    <w:rsid w:val="00DF5D14"/>
    <w:rsid w:val="00DF608E"/>
    <w:rsid w:val="00DF657D"/>
    <w:rsid w:val="00DF682A"/>
    <w:rsid w:val="00DF6CC5"/>
    <w:rsid w:val="00DF6DB2"/>
    <w:rsid w:val="00DF6FF1"/>
    <w:rsid w:val="00DF71EB"/>
    <w:rsid w:val="00DF76E0"/>
    <w:rsid w:val="00DF7763"/>
    <w:rsid w:val="00DF7F7A"/>
    <w:rsid w:val="00E007FD"/>
    <w:rsid w:val="00E00B50"/>
    <w:rsid w:val="00E015A9"/>
    <w:rsid w:val="00E01B18"/>
    <w:rsid w:val="00E01B2E"/>
    <w:rsid w:val="00E01B45"/>
    <w:rsid w:val="00E02883"/>
    <w:rsid w:val="00E02AEE"/>
    <w:rsid w:val="00E02E89"/>
    <w:rsid w:val="00E03A97"/>
    <w:rsid w:val="00E04029"/>
    <w:rsid w:val="00E05379"/>
    <w:rsid w:val="00E05D98"/>
    <w:rsid w:val="00E0744B"/>
    <w:rsid w:val="00E07667"/>
    <w:rsid w:val="00E07755"/>
    <w:rsid w:val="00E07D23"/>
    <w:rsid w:val="00E07E2E"/>
    <w:rsid w:val="00E07E8B"/>
    <w:rsid w:val="00E10861"/>
    <w:rsid w:val="00E120BC"/>
    <w:rsid w:val="00E1258C"/>
    <w:rsid w:val="00E1376C"/>
    <w:rsid w:val="00E137AA"/>
    <w:rsid w:val="00E1440A"/>
    <w:rsid w:val="00E15635"/>
    <w:rsid w:val="00E15E45"/>
    <w:rsid w:val="00E16BEE"/>
    <w:rsid w:val="00E2103E"/>
    <w:rsid w:val="00E212B9"/>
    <w:rsid w:val="00E21B02"/>
    <w:rsid w:val="00E23869"/>
    <w:rsid w:val="00E24B0F"/>
    <w:rsid w:val="00E25B42"/>
    <w:rsid w:val="00E26156"/>
    <w:rsid w:val="00E27323"/>
    <w:rsid w:val="00E27FA3"/>
    <w:rsid w:val="00E302DF"/>
    <w:rsid w:val="00E304C4"/>
    <w:rsid w:val="00E3099D"/>
    <w:rsid w:val="00E32D2D"/>
    <w:rsid w:val="00E333FB"/>
    <w:rsid w:val="00E3345C"/>
    <w:rsid w:val="00E35515"/>
    <w:rsid w:val="00E361BF"/>
    <w:rsid w:val="00E36F7B"/>
    <w:rsid w:val="00E378FB"/>
    <w:rsid w:val="00E37C51"/>
    <w:rsid w:val="00E40778"/>
    <w:rsid w:val="00E40ED4"/>
    <w:rsid w:val="00E40F77"/>
    <w:rsid w:val="00E410E2"/>
    <w:rsid w:val="00E41D9C"/>
    <w:rsid w:val="00E41FE9"/>
    <w:rsid w:val="00E427D9"/>
    <w:rsid w:val="00E4324A"/>
    <w:rsid w:val="00E43FA3"/>
    <w:rsid w:val="00E44314"/>
    <w:rsid w:val="00E444B4"/>
    <w:rsid w:val="00E4501A"/>
    <w:rsid w:val="00E4586E"/>
    <w:rsid w:val="00E46187"/>
    <w:rsid w:val="00E46BFA"/>
    <w:rsid w:val="00E46DA2"/>
    <w:rsid w:val="00E47631"/>
    <w:rsid w:val="00E477BE"/>
    <w:rsid w:val="00E47B62"/>
    <w:rsid w:val="00E513F5"/>
    <w:rsid w:val="00E51517"/>
    <w:rsid w:val="00E51A78"/>
    <w:rsid w:val="00E51AFF"/>
    <w:rsid w:val="00E51F74"/>
    <w:rsid w:val="00E53A0B"/>
    <w:rsid w:val="00E54533"/>
    <w:rsid w:val="00E55868"/>
    <w:rsid w:val="00E55FE6"/>
    <w:rsid w:val="00E57D68"/>
    <w:rsid w:val="00E60C14"/>
    <w:rsid w:val="00E61747"/>
    <w:rsid w:val="00E61815"/>
    <w:rsid w:val="00E620C7"/>
    <w:rsid w:val="00E64538"/>
    <w:rsid w:val="00E647B5"/>
    <w:rsid w:val="00E653B8"/>
    <w:rsid w:val="00E65D86"/>
    <w:rsid w:val="00E66421"/>
    <w:rsid w:val="00E66967"/>
    <w:rsid w:val="00E67987"/>
    <w:rsid w:val="00E67B86"/>
    <w:rsid w:val="00E67E1C"/>
    <w:rsid w:val="00E70A51"/>
    <w:rsid w:val="00E70E2A"/>
    <w:rsid w:val="00E72C1A"/>
    <w:rsid w:val="00E7435E"/>
    <w:rsid w:val="00E74BBE"/>
    <w:rsid w:val="00E75675"/>
    <w:rsid w:val="00E763CD"/>
    <w:rsid w:val="00E76A0F"/>
    <w:rsid w:val="00E76F36"/>
    <w:rsid w:val="00E7711B"/>
    <w:rsid w:val="00E77D6D"/>
    <w:rsid w:val="00E8114F"/>
    <w:rsid w:val="00E82B64"/>
    <w:rsid w:val="00E83E08"/>
    <w:rsid w:val="00E850A3"/>
    <w:rsid w:val="00E8528B"/>
    <w:rsid w:val="00E86084"/>
    <w:rsid w:val="00E86A15"/>
    <w:rsid w:val="00E86E88"/>
    <w:rsid w:val="00E87034"/>
    <w:rsid w:val="00E8766C"/>
    <w:rsid w:val="00E878C1"/>
    <w:rsid w:val="00E904B3"/>
    <w:rsid w:val="00E90733"/>
    <w:rsid w:val="00E90DC2"/>
    <w:rsid w:val="00E90F26"/>
    <w:rsid w:val="00E91D52"/>
    <w:rsid w:val="00E931A2"/>
    <w:rsid w:val="00E932F5"/>
    <w:rsid w:val="00E93D9A"/>
    <w:rsid w:val="00E94D70"/>
    <w:rsid w:val="00E95EEF"/>
    <w:rsid w:val="00E96340"/>
    <w:rsid w:val="00EA0157"/>
    <w:rsid w:val="00EA0C3E"/>
    <w:rsid w:val="00EA0DE1"/>
    <w:rsid w:val="00EA1141"/>
    <w:rsid w:val="00EA19AF"/>
    <w:rsid w:val="00EA1BF3"/>
    <w:rsid w:val="00EA38D5"/>
    <w:rsid w:val="00EA4363"/>
    <w:rsid w:val="00EA5409"/>
    <w:rsid w:val="00EA5445"/>
    <w:rsid w:val="00EA5C37"/>
    <w:rsid w:val="00EA5F10"/>
    <w:rsid w:val="00EA5F30"/>
    <w:rsid w:val="00EA6F59"/>
    <w:rsid w:val="00EA789A"/>
    <w:rsid w:val="00EA7B94"/>
    <w:rsid w:val="00EB0AC8"/>
    <w:rsid w:val="00EB0F10"/>
    <w:rsid w:val="00EB13BC"/>
    <w:rsid w:val="00EB219C"/>
    <w:rsid w:val="00EB2C13"/>
    <w:rsid w:val="00EB2C25"/>
    <w:rsid w:val="00EB321E"/>
    <w:rsid w:val="00EB6374"/>
    <w:rsid w:val="00EB64FC"/>
    <w:rsid w:val="00EB6F39"/>
    <w:rsid w:val="00EB7B3E"/>
    <w:rsid w:val="00EB7C5B"/>
    <w:rsid w:val="00EC0FC7"/>
    <w:rsid w:val="00EC3466"/>
    <w:rsid w:val="00EC37C6"/>
    <w:rsid w:val="00EC3CEA"/>
    <w:rsid w:val="00EC5360"/>
    <w:rsid w:val="00EC6F70"/>
    <w:rsid w:val="00EC744B"/>
    <w:rsid w:val="00EC778D"/>
    <w:rsid w:val="00EC7B5A"/>
    <w:rsid w:val="00EC7CEC"/>
    <w:rsid w:val="00ED03B7"/>
    <w:rsid w:val="00ED090C"/>
    <w:rsid w:val="00ED1573"/>
    <w:rsid w:val="00ED1966"/>
    <w:rsid w:val="00ED3498"/>
    <w:rsid w:val="00ED3C02"/>
    <w:rsid w:val="00ED419B"/>
    <w:rsid w:val="00ED43BD"/>
    <w:rsid w:val="00ED4DA5"/>
    <w:rsid w:val="00ED5501"/>
    <w:rsid w:val="00ED5AF3"/>
    <w:rsid w:val="00ED5F06"/>
    <w:rsid w:val="00ED624A"/>
    <w:rsid w:val="00ED6E55"/>
    <w:rsid w:val="00ED7419"/>
    <w:rsid w:val="00ED76DA"/>
    <w:rsid w:val="00EE050F"/>
    <w:rsid w:val="00EE081A"/>
    <w:rsid w:val="00EE0F44"/>
    <w:rsid w:val="00EE1131"/>
    <w:rsid w:val="00EE1EB5"/>
    <w:rsid w:val="00EE243B"/>
    <w:rsid w:val="00EE2B28"/>
    <w:rsid w:val="00EE3398"/>
    <w:rsid w:val="00EE60DB"/>
    <w:rsid w:val="00EE7E38"/>
    <w:rsid w:val="00EE7EEA"/>
    <w:rsid w:val="00EF1D7E"/>
    <w:rsid w:val="00EF34B4"/>
    <w:rsid w:val="00EF39FC"/>
    <w:rsid w:val="00EF4CEE"/>
    <w:rsid w:val="00EF5638"/>
    <w:rsid w:val="00EF59A3"/>
    <w:rsid w:val="00EF5EA7"/>
    <w:rsid w:val="00EF6801"/>
    <w:rsid w:val="00EF6AA5"/>
    <w:rsid w:val="00EF7F09"/>
    <w:rsid w:val="00F016CA"/>
    <w:rsid w:val="00F016F3"/>
    <w:rsid w:val="00F01E4F"/>
    <w:rsid w:val="00F02189"/>
    <w:rsid w:val="00F0281E"/>
    <w:rsid w:val="00F04143"/>
    <w:rsid w:val="00F0482C"/>
    <w:rsid w:val="00F0740D"/>
    <w:rsid w:val="00F075C0"/>
    <w:rsid w:val="00F07750"/>
    <w:rsid w:val="00F07780"/>
    <w:rsid w:val="00F106C0"/>
    <w:rsid w:val="00F10988"/>
    <w:rsid w:val="00F12149"/>
    <w:rsid w:val="00F126D9"/>
    <w:rsid w:val="00F1300F"/>
    <w:rsid w:val="00F13587"/>
    <w:rsid w:val="00F156DE"/>
    <w:rsid w:val="00F16387"/>
    <w:rsid w:val="00F17B1E"/>
    <w:rsid w:val="00F17D47"/>
    <w:rsid w:val="00F203C7"/>
    <w:rsid w:val="00F210E0"/>
    <w:rsid w:val="00F215E0"/>
    <w:rsid w:val="00F21646"/>
    <w:rsid w:val="00F21917"/>
    <w:rsid w:val="00F23EB3"/>
    <w:rsid w:val="00F24203"/>
    <w:rsid w:val="00F24837"/>
    <w:rsid w:val="00F27A4B"/>
    <w:rsid w:val="00F27BB1"/>
    <w:rsid w:val="00F31DD6"/>
    <w:rsid w:val="00F32B0E"/>
    <w:rsid w:val="00F33DC4"/>
    <w:rsid w:val="00F356DB"/>
    <w:rsid w:val="00F35946"/>
    <w:rsid w:val="00F359C0"/>
    <w:rsid w:val="00F37DBE"/>
    <w:rsid w:val="00F401F9"/>
    <w:rsid w:val="00F4036B"/>
    <w:rsid w:val="00F423EB"/>
    <w:rsid w:val="00F42DEC"/>
    <w:rsid w:val="00F430AC"/>
    <w:rsid w:val="00F438E3"/>
    <w:rsid w:val="00F462D5"/>
    <w:rsid w:val="00F46975"/>
    <w:rsid w:val="00F477B9"/>
    <w:rsid w:val="00F50656"/>
    <w:rsid w:val="00F50663"/>
    <w:rsid w:val="00F506F4"/>
    <w:rsid w:val="00F5098F"/>
    <w:rsid w:val="00F53378"/>
    <w:rsid w:val="00F53604"/>
    <w:rsid w:val="00F549BC"/>
    <w:rsid w:val="00F54A39"/>
    <w:rsid w:val="00F54B2D"/>
    <w:rsid w:val="00F55625"/>
    <w:rsid w:val="00F55741"/>
    <w:rsid w:val="00F55FAE"/>
    <w:rsid w:val="00F56B65"/>
    <w:rsid w:val="00F575F5"/>
    <w:rsid w:val="00F60171"/>
    <w:rsid w:val="00F6086F"/>
    <w:rsid w:val="00F60924"/>
    <w:rsid w:val="00F613FA"/>
    <w:rsid w:val="00F6631F"/>
    <w:rsid w:val="00F709B4"/>
    <w:rsid w:val="00F70E60"/>
    <w:rsid w:val="00F71B37"/>
    <w:rsid w:val="00F72027"/>
    <w:rsid w:val="00F72112"/>
    <w:rsid w:val="00F723D6"/>
    <w:rsid w:val="00F724AB"/>
    <w:rsid w:val="00F738BF"/>
    <w:rsid w:val="00F739CF"/>
    <w:rsid w:val="00F75E3A"/>
    <w:rsid w:val="00F77DF0"/>
    <w:rsid w:val="00F77E87"/>
    <w:rsid w:val="00F806A9"/>
    <w:rsid w:val="00F80F0F"/>
    <w:rsid w:val="00F81620"/>
    <w:rsid w:val="00F81EA3"/>
    <w:rsid w:val="00F8217F"/>
    <w:rsid w:val="00F83113"/>
    <w:rsid w:val="00F839A9"/>
    <w:rsid w:val="00F83C22"/>
    <w:rsid w:val="00F84521"/>
    <w:rsid w:val="00F848CF"/>
    <w:rsid w:val="00F84EA8"/>
    <w:rsid w:val="00F85067"/>
    <w:rsid w:val="00F8510F"/>
    <w:rsid w:val="00F8551A"/>
    <w:rsid w:val="00F86B07"/>
    <w:rsid w:val="00F87451"/>
    <w:rsid w:val="00F906AB"/>
    <w:rsid w:val="00F91766"/>
    <w:rsid w:val="00F91A6E"/>
    <w:rsid w:val="00F9678F"/>
    <w:rsid w:val="00F96B7D"/>
    <w:rsid w:val="00F97388"/>
    <w:rsid w:val="00F97412"/>
    <w:rsid w:val="00FA0537"/>
    <w:rsid w:val="00FA0D1E"/>
    <w:rsid w:val="00FA1739"/>
    <w:rsid w:val="00FA1A05"/>
    <w:rsid w:val="00FA25EA"/>
    <w:rsid w:val="00FA2AC8"/>
    <w:rsid w:val="00FA2ECA"/>
    <w:rsid w:val="00FA2FA8"/>
    <w:rsid w:val="00FA4875"/>
    <w:rsid w:val="00FA65E5"/>
    <w:rsid w:val="00FA6A63"/>
    <w:rsid w:val="00FB0F17"/>
    <w:rsid w:val="00FB1348"/>
    <w:rsid w:val="00FB177B"/>
    <w:rsid w:val="00FB1EA0"/>
    <w:rsid w:val="00FB2144"/>
    <w:rsid w:val="00FB2DA4"/>
    <w:rsid w:val="00FB45C2"/>
    <w:rsid w:val="00FB6B51"/>
    <w:rsid w:val="00FB7052"/>
    <w:rsid w:val="00FC08E5"/>
    <w:rsid w:val="00FC2094"/>
    <w:rsid w:val="00FC2786"/>
    <w:rsid w:val="00FC36CB"/>
    <w:rsid w:val="00FC3779"/>
    <w:rsid w:val="00FC400D"/>
    <w:rsid w:val="00FC58AA"/>
    <w:rsid w:val="00FC789A"/>
    <w:rsid w:val="00FC7979"/>
    <w:rsid w:val="00FC7CE2"/>
    <w:rsid w:val="00FD0815"/>
    <w:rsid w:val="00FD1134"/>
    <w:rsid w:val="00FD1489"/>
    <w:rsid w:val="00FD15A5"/>
    <w:rsid w:val="00FD2169"/>
    <w:rsid w:val="00FD24D9"/>
    <w:rsid w:val="00FD2860"/>
    <w:rsid w:val="00FD2B4A"/>
    <w:rsid w:val="00FD43CA"/>
    <w:rsid w:val="00FD5879"/>
    <w:rsid w:val="00FD5ED5"/>
    <w:rsid w:val="00FD7C6C"/>
    <w:rsid w:val="00FE033E"/>
    <w:rsid w:val="00FE13C6"/>
    <w:rsid w:val="00FE23C6"/>
    <w:rsid w:val="00FE2E5D"/>
    <w:rsid w:val="00FE498A"/>
    <w:rsid w:val="00FE54A8"/>
    <w:rsid w:val="00FE6741"/>
    <w:rsid w:val="00FE6B1A"/>
    <w:rsid w:val="00FE6BC8"/>
    <w:rsid w:val="00FE7073"/>
    <w:rsid w:val="00FF06F9"/>
    <w:rsid w:val="00FF072F"/>
    <w:rsid w:val="00FF0FB4"/>
    <w:rsid w:val="00FF12B9"/>
    <w:rsid w:val="00FF18B0"/>
    <w:rsid w:val="00FF1A88"/>
    <w:rsid w:val="00FF2B2A"/>
    <w:rsid w:val="00FF2B97"/>
    <w:rsid w:val="00FF4BB6"/>
    <w:rsid w:val="00FF4E9F"/>
    <w:rsid w:val="00FF4EE6"/>
    <w:rsid w:val="00FF683E"/>
    <w:rsid w:val="0198569C"/>
    <w:rsid w:val="019D21B8"/>
    <w:rsid w:val="019F51E5"/>
    <w:rsid w:val="01A77CA2"/>
    <w:rsid w:val="01C97D90"/>
    <w:rsid w:val="01DA4039"/>
    <w:rsid w:val="01EE2233"/>
    <w:rsid w:val="02370032"/>
    <w:rsid w:val="023855D8"/>
    <w:rsid w:val="02DB608D"/>
    <w:rsid w:val="02F3777A"/>
    <w:rsid w:val="03105E9A"/>
    <w:rsid w:val="032F7504"/>
    <w:rsid w:val="03724266"/>
    <w:rsid w:val="0382186E"/>
    <w:rsid w:val="03A01483"/>
    <w:rsid w:val="03B67C76"/>
    <w:rsid w:val="03E0520E"/>
    <w:rsid w:val="040D1E70"/>
    <w:rsid w:val="0435586E"/>
    <w:rsid w:val="04611584"/>
    <w:rsid w:val="0468560A"/>
    <w:rsid w:val="04717FC7"/>
    <w:rsid w:val="047C4C14"/>
    <w:rsid w:val="04856793"/>
    <w:rsid w:val="04A113A5"/>
    <w:rsid w:val="050D76F3"/>
    <w:rsid w:val="054C3958"/>
    <w:rsid w:val="05530D26"/>
    <w:rsid w:val="05551886"/>
    <w:rsid w:val="05671C39"/>
    <w:rsid w:val="057E45D0"/>
    <w:rsid w:val="058A2C97"/>
    <w:rsid w:val="05BA574D"/>
    <w:rsid w:val="05BF7FAC"/>
    <w:rsid w:val="05F67880"/>
    <w:rsid w:val="05F8593C"/>
    <w:rsid w:val="06475819"/>
    <w:rsid w:val="06503EEC"/>
    <w:rsid w:val="067A2A50"/>
    <w:rsid w:val="06B37FBE"/>
    <w:rsid w:val="06BB41AE"/>
    <w:rsid w:val="06D95094"/>
    <w:rsid w:val="06E22BD9"/>
    <w:rsid w:val="06E32567"/>
    <w:rsid w:val="0744506D"/>
    <w:rsid w:val="074C0E53"/>
    <w:rsid w:val="074D2DE5"/>
    <w:rsid w:val="07727FC2"/>
    <w:rsid w:val="07967B0A"/>
    <w:rsid w:val="07BF4B46"/>
    <w:rsid w:val="07E205A0"/>
    <w:rsid w:val="080F13F6"/>
    <w:rsid w:val="08B84CBC"/>
    <w:rsid w:val="08C21DEA"/>
    <w:rsid w:val="091478EF"/>
    <w:rsid w:val="09207FBB"/>
    <w:rsid w:val="09223CD6"/>
    <w:rsid w:val="0934265E"/>
    <w:rsid w:val="098B2CC4"/>
    <w:rsid w:val="09B40137"/>
    <w:rsid w:val="09C40713"/>
    <w:rsid w:val="09D91BF4"/>
    <w:rsid w:val="09DB66FF"/>
    <w:rsid w:val="09E06F1A"/>
    <w:rsid w:val="09F90622"/>
    <w:rsid w:val="0A2873F8"/>
    <w:rsid w:val="0A2F27BA"/>
    <w:rsid w:val="0A3318C7"/>
    <w:rsid w:val="0A4F3BAF"/>
    <w:rsid w:val="0A9C5549"/>
    <w:rsid w:val="0AC220F4"/>
    <w:rsid w:val="0B020D62"/>
    <w:rsid w:val="0B1D5C65"/>
    <w:rsid w:val="0B763E01"/>
    <w:rsid w:val="0B7819E0"/>
    <w:rsid w:val="0BE114CF"/>
    <w:rsid w:val="0C1131D8"/>
    <w:rsid w:val="0C1B7B77"/>
    <w:rsid w:val="0C1E34E1"/>
    <w:rsid w:val="0D05675C"/>
    <w:rsid w:val="0D0608AB"/>
    <w:rsid w:val="0D083FB4"/>
    <w:rsid w:val="0D1F25C2"/>
    <w:rsid w:val="0D350772"/>
    <w:rsid w:val="0D363097"/>
    <w:rsid w:val="0D921D8F"/>
    <w:rsid w:val="0E917CAB"/>
    <w:rsid w:val="0E954E7E"/>
    <w:rsid w:val="0EA844B9"/>
    <w:rsid w:val="0EF07295"/>
    <w:rsid w:val="0EF10C13"/>
    <w:rsid w:val="0EF64483"/>
    <w:rsid w:val="0F116B5A"/>
    <w:rsid w:val="0F371C53"/>
    <w:rsid w:val="0F6264A7"/>
    <w:rsid w:val="0F9223FC"/>
    <w:rsid w:val="0F9E08D8"/>
    <w:rsid w:val="0FAB68C5"/>
    <w:rsid w:val="0FB020F3"/>
    <w:rsid w:val="0FE81E2C"/>
    <w:rsid w:val="0FF173A6"/>
    <w:rsid w:val="0FF93BD4"/>
    <w:rsid w:val="10BA7A9A"/>
    <w:rsid w:val="10E55ACF"/>
    <w:rsid w:val="110577CF"/>
    <w:rsid w:val="111A451D"/>
    <w:rsid w:val="11436E75"/>
    <w:rsid w:val="1155646F"/>
    <w:rsid w:val="11BE722A"/>
    <w:rsid w:val="11D348F2"/>
    <w:rsid w:val="11D673FE"/>
    <w:rsid w:val="11F030D8"/>
    <w:rsid w:val="121E0F6C"/>
    <w:rsid w:val="123C273A"/>
    <w:rsid w:val="12541A63"/>
    <w:rsid w:val="125C1586"/>
    <w:rsid w:val="12822C7D"/>
    <w:rsid w:val="132D0579"/>
    <w:rsid w:val="13B360A9"/>
    <w:rsid w:val="13EF1367"/>
    <w:rsid w:val="14206758"/>
    <w:rsid w:val="14264F69"/>
    <w:rsid w:val="14663C85"/>
    <w:rsid w:val="148A2BC7"/>
    <w:rsid w:val="14B24220"/>
    <w:rsid w:val="14C57350"/>
    <w:rsid w:val="150E3EA3"/>
    <w:rsid w:val="15230EED"/>
    <w:rsid w:val="15392139"/>
    <w:rsid w:val="153F1441"/>
    <w:rsid w:val="156051A2"/>
    <w:rsid w:val="15652DAA"/>
    <w:rsid w:val="158A2D44"/>
    <w:rsid w:val="15922776"/>
    <w:rsid w:val="15F73A48"/>
    <w:rsid w:val="16066587"/>
    <w:rsid w:val="16122E84"/>
    <w:rsid w:val="167875EF"/>
    <w:rsid w:val="16980A2A"/>
    <w:rsid w:val="16BD7A09"/>
    <w:rsid w:val="16C330D7"/>
    <w:rsid w:val="16FD38E6"/>
    <w:rsid w:val="170B10FE"/>
    <w:rsid w:val="172134D1"/>
    <w:rsid w:val="17316275"/>
    <w:rsid w:val="17715B75"/>
    <w:rsid w:val="179E4EFF"/>
    <w:rsid w:val="17C1658D"/>
    <w:rsid w:val="17DD256D"/>
    <w:rsid w:val="18207EC8"/>
    <w:rsid w:val="18572461"/>
    <w:rsid w:val="186D2598"/>
    <w:rsid w:val="18F10E12"/>
    <w:rsid w:val="19002698"/>
    <w:rsid w:val="1926420A"/>
    <w:rsid w:val="192E66E1"/>
    <w:rsid w:val="199A63DD"/>
    <w:rsid w:val="19DB6462"/>
    <w:rsid w:val="1A881510"/>
    <w:rsid w:val="1AA40DAD"/>
    <w:rsid w:val="1AFA76DA"/>
    <w:rsid w:val="1B0F329D"/>
    <w:rsid w:val="1B1A5867"/>
    <w:rsid w:val="1B1B66C6"/>
    <w:rsid w:val="1B382C72"/>
    <w:rsid w:val="1B4755B0"/>
    <w:rsid w:val="1B6B6134"/>
    <w:rsid w:val="1BA32D12"/>
    <w:rsid w:val="1BAC0B6B"/>
    <w:rsid w:val="1BB446B9"/>
    <w:rsid w:val="1BE86387"/>
    <w:rsid w:val="1C0A3092"/>
    <w:rsid w:val="1C276FFB"/>
    <w:rsid w:val="1C4B016F"/>
    <w:rsid w:val="1C80443B"/>
    <w:rsid w:val="1CA90AAF"/>
    <w:rsid w:val="1CB369A2"/>
    <w:rsid w:val="1D1F319E"/>
    <w:rsid w:val="1D313DB0"/>
    <w:rsid w:val="1D8420C5"/>
    <w:rsid w:val="1DF77AA7"/>
    <w:rsid w:val="1E146797"/>
    <w:rsid w:val="1E305D33"/>
    <w:rsid w:val="1E486B0B"/>
    <w:rsid w:val="1E796393"/>
    <w:rsid w:val="1E7D5094"/>
    <w:rsid w:val="1E8B7F21"/>
    <w:rsid w:val="1E9C25E5"/>
    <w:rsid w:val="1EA2602D"/>
    <w:rsid w:val="1EB0786E"/>
    <w:rsid w:val="1EFD1A56"/>
    <w:rsid w:val="1F6C7F85"/>
    <w:rsid w:val="1F8D0609"/>
    <w:rsid w:val="1FD22D92"/>
    <w:rsid w:val="1FDC4C51"/>
    <w:rsid w:val="1FE801E9"/>
    <w:rsid w:val="1FF35E35"/>
    <w:rsid w:val="20464C58"/>
    <w:rsid w:val="204B5273"/>
    <w:rsid w:val="205674A7"/>
    <w:rsid w:val="20667DE2"/>
    <w:rsid w:val="206B4401"/>
    <w:rsid w:val="208A6F6A"/>
    <w:rsid w:val="20A81561"/>
    <w:rsid w:val="20BB471F"/>
    <w:rsid w:val="21405B9D"/>
    <w:rsid w:val="215043A8"/>
    <w:rsid w:val="21530189"/>
    <w:rsid w:val="21B10A39"/>
    <w:rsid w:val="21B81C30"/>
    <w:rsid w:val="21BC739E"/>
    <w:rsid w:val="21C83ECE"/>
    <w:rsid w:val="21E464DA"/>
    <w:rsid w:val="220379D8"/>
    <w:rsid w:val="22AE7F72"/>
    <w:rsid w:val="22B32C21"/>
    <w:rsid w:val="22BB4077"/>
    <w:rsid w:val="22D075AD"/>
    <w:rsid w:val="23383A5C"/>
    <w:rsid w:val="23906366"/>
    <w:rsid w:val="23B107E7"/>
    <w:rsid w:val="23B27B4C"/>
    <w:rsid w:val="23CD3D7E"/>
    <w:rsid w:val="23DD3D37"/>
    <w:rsid w:val="23EC7071"/>
    <w:rsid w:val="24231158"/>
    <w:rsid w:val="24290AE3"/>
    <w:rsid w:val="242C3D36"/>
    <w:rsid w:val="24435E0A"/>
    <w:rsid w:val="246D6E11"/>
    <w:rsid w:val="24797B46"/>
    <w:rsid w:val="2489085A"/>
    <w:rsid w:val="24D71F01"/>
    <w:rsid w:val="24DC6388"/>
    <w:rsid w:val="24ED40A4"/>
    <w:rsid w:val="24FA56E8"/>
    <w:rsid w:val="252925B9"/>
    <w:rsid w:val="2536069B"/>
    <w:rsid w:val="254F02CE"/>
    <w:rsid w:val="257504C6"/>
    <w:rsid w:val="2576592C"/>
    <w:rsid w:val="2579454A"/>
    <w:rsid w:val="257F5596"/>
    <w:rsid w:val="25B32729"/>
    <w:rsid w:val="25CA65D2"/>
    <w:rsid w:val="26086AC6"/>
    <w:rsid w:val="26146634"/>
    <w:rsid w:val="262E4B1E"/>
    <w:rsid w:val="26490F70"/>
    <w:rsid w:val="269216B0"/>
    <w:rsid w:val="26945630"/>
    <w:rsid w:val="26B306D1"/>
    <w:rsid w:val="26B560F4"/>
    <w:rsid w:val="26C72E54"/>
    <w:rsid w:val="27284003"/>
    <w:rsid w:val="276D39C3"/>
    <w:rsid w:val="2778644D"/>
    <w:rsid w:val="27832074"/>
    <w:rsid w:val="279344E3"/>
    <w:rsid w:val="27BA6479"/>
    <w:rsid w:val="280A2F35"/>
    <w:rsid w:val="281E2AB5"/>
    <w:rsid w:val="281F58D1"/>
    <w:rsid w:val="284D412E"/>
    <w:rsid w:val="28600DCC"/>
    <w:rsid w:val="28610A1A"/>
    <w:rsid w:val="289A6B28"/>
    <w:rsid w:val="28F04B5E"/>
    <w:rsid w:val="290723AC"/>
    <w:rsid w:val="291356F1"/>
    <w:rsid w:val="29305600"/>
    <w:rsid w:val="293163E3"/>
    <w:rsid w:val="294231F3"/>
    <w:rsid w:val="295F0B2D"/>
    <w:rsid w:val="2984116F"/>
    <w:rsid w:val="299F2D7A"/>
    <w:rsid w:val="29B34495"/>
    <w:rsid w:val="29BF2983"/>
    <w:rsid w:val="29C049B4"/>
    <w:rsid w:val="29D741B2"/>
    <w:rsid w:val="29D97CA1"/>
    <w:rsid w:val="2A0A42E6"/>
    <w:rsid w:val="2A3D480B"/>
    <w:rsid w:val="2A5430F7"/>
    <w:rsid w:val="2A7C27B8"/>
    <w:rsid w:val="2A8E4309"/>
    <w:rsid w:val="2AA11356"/>
    <w:rsid w:val="2AA67166"/>
    <w:rsid w:val="2ACB0EB9"/>
    <w:rsid w:val="2B047C41"/>
    <w:rsid w:val="2B233F6C"/>
    <w:rsid w:val="2B536F21"/>
    <w:rsid w:val="2B5E6CF3"/>
    <w:rsid w:val="2B873EF8"/>
    <w:rsid w:val="2B8C0380"/>
    <w:rsid w:val="2BA13511"/>
    <w:rsid w:val="2BA17CDC"/>
    <w:rsid w:val="2BBA1A67"/>
    <w:rsid w:val="2BCB3405"/>
    <w:rsid w:val="2BCD35E9"/>
    <w:rsid w:val="2BF40797"/>
    <w:rsid w:val="2C27608E"/>
    <w:rsid w:val="2C2E598B"/>
    <w:rsid w:val="2C3C2722"/>
    <w:rsid w:val="2C51752B"/>
    <w:rsid w:val="2C551F03"/>
    <w:rsid w:val="2C7B637D"/>
    <w:rsid w:val="2C8E388B"/>
    <w:rsid w:val="2CC304A9"/>
    <w:rsid w:val="2CD72E09"/>
    <w:rsid w:val="2CDC7438"/>
    <w:rsid w:val="2D1268A9"/>
    <w:rsid w:val="2D2910A6"/>
    <w:rsid w:val="2D554203"/>
    <w:rsid w:val="2D6F33C4"/>
    <w:rsid w:val="2D845CE8"/>
    <w:rsid w:val="2DCE3686"/>
    <w:rsid w:val="2DD508BC"/>
    <w:rsid w:val="2DD87351"/>
    <w:rsid w:val="2DD97BC5"/>
    <w:rsid w:val="2E0F02B2"/>
    <w:rsid w:val="2E3C78F5"/>
    <w:rsid w:val="2E591811"/>
    <w:rsid w:val="2E5B7AB7"/>
    <w:rsid w:val="2E7867C9"/>
    <w:rsid w:val="2E79424B"/>
    <w:rsid w:val="2E8C7345"/>
    <w:rsid w:val="2E976DAE"/>
    <w:rsid w:val="2E9F5E52"/>
    <w:rsid w:val="2ECD54C5"/>
    <w:rsid w:val="2F783D8C"/>
    <w:rsid w:val="2F9B2DEA"/>
    <w:rsid w:val="2FD7548C"/>
    <w:rsid w:val="2FE87441"/>
    <w:rsid w:val="2FF413E7"/>
    <w:rsid w:val="2FFB21C9"/>
    <w:rsid w:val="30165743"/>
    <w:rsid w:val="301E0463"/>
    <w:rsid w:val="303446B2"/>
    <w:rsid w:val="305D5042"/>
    <w:rsid w:val="309E3BD0"/>
    <w:rsid w:val="30A70987"/>
    <w:rsid w:val="30E730CB"/>
    <w:rsid w:val="30F36EDD"/>
    <w:rsid w:val="30F82A10"/>
    <w:rsid w:val="31054E0A"/>
    <w:rsid w:val="31146204"/>
    <w:rsid w:val="31666751"/>
    <w:rsid w:val="316A7FFB"/>
    <w:rsid w:val="31A207F0"/>
    <w:rsid w:val="31AA1CD2"/>
    <w:rsid w:val="31F153C2"/>
    <w:rsid w:val="32135324"/>
    <w:rsid w:val="32412F57"/>
    <w:rsid w:val="327F2151"/>
    <w:rsid w:val="329A7031"/>
    <w:rsid w:val="32D14593"/>
    <w:rsid w:val="32F16128"/>
    <w:rsid w:val="32F74A2C"/>
    <w:rsid w:val="33162C3D"/>
    <w:rsid w:val="332517BA"/>
    <w:rsid w:val="335A1372"/>
    <w:rsid w:val="337C4AB9"/>
    <w:rsid w:val="33827CD3"/>
    <w:rsid w:val="3387008D"/>
    <w:rsid w:val="33A806D0"/>
    <w:rsid w:val="33BB24DA"/>
    <w:rsid w:val="33CB64C0"/>
    <w:rsid w:val="33D602EB"/>
    <w:rsid w:val="33E712BD"/>
    <w:rsid w:val="33F93952"/>
    <w:rsid w:val="33FA3A87"/>
    <w:rsid w:val="33FC0085"/>
    <w:rsid w:val="34221E92"/>
    <w:rsid w:val="34591CB0"/>
    <w:rsid w:val="346202B8"/>
    <w:rsid w:val="34766305"/>
    <w:rsid w:val="34A866C8"/>
    <w:rsid w:val="34E31682"/>
    <w:rsid w:val="34EA1CA9"/>
    <w:rsid w:val="35323CCC"/>
    <w:rsid w:val="353B4396"/>
    <w:rsid w:val="356C4F47"/>
    <w:rsid w:val="359B21D9"/>
    <w:rsid w:val="35C94BEE"/>
    <w:rsid w:val="36066BAA"/>
    <w:rsid w:val="360B4637"/>
    <w:rsid w:val="362D57BE"/>
    <w:rsid w:val="3631602F"/>
    <w:rsid w:val="36574750"/>
    <w:rsid w:val="36975CF7"/>
    <w:rsid w:val="36E800CE"/>
    <w:rsid w:val="36E8544B"/>
    <w:rsid w:val="36EE478D"/>
    <w:rsid w:val="37215F74"/>
    <w:rsid w:val="3725522E"/>
    <w:rsid w:val="374F753C"/>
    <w:rsid w:val="375458D3"/>
    <w:rsid w:val="37575871"/>
    <w:rsid w:val="377266E1"/>
    <w:rsid w:val="378D5278"/>
    <w:rsid w:val="37C322EC"/>
    <w:rsid w:val="37CD046D"/>
    <w:rsid w:val="37FC2E67"/>
    <w:rsid w:val="38170738"/>
    <w:rsid w:val="38247DFB"/>
    <w:rsid w:val="384142D0"/>
    <w:rsid w:val="384211BB"/>
    <w:rsid w:val="386716FF"/>
    <w:rsid w:val="387B55F6"/>
    <w:rsid w:val="38811450"/>
    <w:rsid w:val="389169DE"/>
    <w:rsid w:val="389272E0"/>
    <w:rsid w:val="38B35778"/>
    <w:rsid w:val="38B37C6D"/>
    <w:rsid w:val="38BB5007"/>
    <w:rsid w:val="38CB2E2A"/>
    <w:rsid w:val="38CC32A3"/>
    <w:rsid w:val="38FB7279"/>
    <w:rsid w:val="39006B4A"/>
    <w:rsid w:val="392D2653"/>
    <w:rsid w:val="39386D6D"/>
    <w:rsid w:val="39424B74"/>
    <w:rsid w:val="395F051D"/>
    <w:rsid w:val="39AA7D5B"/>
    <w:rsid w:val="39E470D7"/>
    <w:rsid w:val="39E954BD"/>
    <w:rsid w:val="3A2D4EE5"/>
    <w:rsid w:val="3A766678"/>
    <w:rsid w:val="3A7A287E"/>
    <w:rsid w:val="3A806962"/>
    <w:rsid w:val="3AA32BD7"/>
    <w:rsid w:val="3ACF690F"/>
    <w:rsid w:val="3AD372F6"/>
    <w:rsid w:val="3AE21C51"/>
    <w:rsid w:val="3AEA1FB6"/>
    <w:rsid w:val="3B76711A"/>
    <w:rsid w:val="3BA373A8"/>
    <w:rsid w:val="3BB93A61"/>
    <w:rsid w:val="3BBA39C2"/>
    <w:rsid w:val="3BDF59BB"/>
    <w:rsid w:val="3BEF200B"/>
    <w:rsid w:val="3C09602C"/>
    <w:rsid w:val="3C151F56"/>
    <w:rsid w:val="3C287D1B"/>
    <w:rsid w:val="3C500522"/>
    <w:rsid w:val="3C5500C5"/>
    <w:rsid w:val="3C5916E2"/>
    <w:rsid w:val="3C741B26"/>
    <w:rsid w:val="3C893E03"/>
    <w:rsid w:val="3C9153BA"/>
    <w:rsid w:val="3CBE5BE4"/>
    <w:rsid w:val="3CBF66BA"/>
    <w:rsid w:val="3CD44BD2"/>
    <w:rsid w:val="3CE65A81"/>
    <w:rsid w:val="3D1F0A4A"/>
    <w:rsid w:val="3D326D7A"/>
    <w:rsid w:val="3D3C3272"/>
    <w:rsid w:val="3D5E22F7"/>
    <w:rsid w:val="3D6E7E93"/>
    <w:rsid w:val="3D9C2CA0"/>
    <w:rsid w:val="3DB52847"/>
    <w:rsid w:val="3DB73ABE"/>
    <w:rsid w:val="3DEA1701"/>
    <w:rsid w:val="3DEC0025"/>
    <w:rsid w:val="3DEC0B66"/>
    <w:rsid w:val="3E0848FF"/>
    <w:rsid w:val="3E0F3349"/>
    <w:rsid w:val="3E0F6C00"/>
    <w:rsid w:val="3E167EC8"/>
    <w:rsid w:val="3E177435"/>
    <w:rsid w:val="3E2B5513"/>
    <w:rsid w:val="3E3736AD"/>
    <w:rsid w:val="3E5A3EDC"/>
    <w:rsid w:val="3E992F91"/>
    <w:rsid w:val="3EE46F49"/>
    <w:rsid w:val="3EF66D45"/>
    <w:rsid w:val="3F0712F8"/>
    <w:rsid w:val="3F0739FF"/>
    <w:rsid w:val="3F60143E"/>
    <w:rsid w:val="3F805372"/>
    <w:rsid w:val="3F977983"/>
    <w:rsid w:val="400C38A3"/>
    <w:rsid w:val="40107C47"/>
    <w:rsid w:val="40657668"/>
    <w:rsid w:val="409B67FE"/>
    <w:rsid w:val="409C0254"/>
    <w:rsid w:val="40B3336F"/>
    <w:rsid w:val="40C6411E"/>
    <w:rsid w:val="410A2F24"/>
    <w:rsid w:val="41251352"/>
    <w:rsid w:val="413B4EF6"/>
    <w:rsid w:val="418B160A"/>
    <w:rsid w:val="4194110B"/>
    <w:rsid w:val="41BC3EDD"/>
    <w:rsid w:val="41C11137"/>
    <w:rsid w:val="41C602F5"/>
    <w:rsid w:val="41C85FE0"/>
    <w:rsid w:val="41D8462D"/>
    <w:rsid w:val="42381F0B"/>
    <w:rsid w:val="4247207A"/>
    <w:rsid w:val="4260438F"/>
    <w:rsid w:val="427B7FC1"/>
    <w:rsid w:val="427D0A83"/>
    <w:rsid w:val="42B84786"/>
    <w:rsid w:val="42C81F25"/>
    <w:rsid w:val="430E0591"/>
    <w:rsid w:val="432A007D"/>
    <w:rsid w:val="43376858"/>
    <w:rsid w:val="4338293F"/>
    <w:rsid w:val="43812C74"/>
    <w:rsid w:val="43831666"/>
    <w:rsid w:val="43936DF7"/>
    <w:rsid w:val="43A74BCB"/>
    <w:rsid w:val="43E73B41"/>
    <w:rsid w:val="43ED4DDE"/>
    <w:rsid w:val="43EE32E6"/>
    <w:rsid w:val="43F93346"/>
    <w:rsid w:val="44140EAA"/>
    <w:rsid w:val="444A10E0"/>
    <w:rsid w:val="444D487C"/>
    <w:rsid w:val="445517BA"/>
    <w:rsid w:val="4470179E"/>
    <w:rsid w:val="44EB7687"/>
    <w:rsid w:val="44F853DC"/>
    <w:rsid w:val="450131E5"/>
    <w:rsid w:val="451942DD"/>
    <w:rsid w:val="45236551"/>
    <w:rsid w:val="452573B0"/>
    <w:rsid w:val="4531446C"/>
    <w:rsid w:val="45795B30"/>
    <w:rsid w:val="458F1C82"/>
    <w:rsid w:val="45915D25"/>
    <w:rsid w:val="45A32BCF"/>
    <w:rsid w:val="45A44DCD"/>
    <w:rsid w:val="45B05AD1"/>
    <w:rsid w:val="45DE30FC"/>
    <w:rsid w:val="45E03C8D"/>
    <w:rsid w:val="46064560"/>
    <w:rsid w:val="462E5EEB"/>
    <w:rsid w:val="4646145F"/>
    <w:rsid w:val="46503A49"/>
    <w:rsid w:val="46613824"/>
    <w:rsid w:val="466325D2"/>
    <w:rsid w:val="468D378C"/>
    <w:rsid w:val="46A26BC0"/>
    <w:rsid w:val="472D4CF6"/>
    <w:rsid w:val="476A3C1A"/>
    <w:rsid w:val="4770302A"/>
    <w:rsid w:val="47740445"/>
    <w:rsid w:val="47C0041A"/>
    <w:rsid w:val="47D45C9A"/>
    <w:rsid w:val="47E94B05"/>
    <w:rsid w:val="47F36945"/>
    <w:rsid w:val="47F63440"/>
    <w:rsid w:val="484611F6"/>
    <w:rsid w:val="484740A8"/>
    <w:rsid w:val="48734BE1"/>
    <w:rsid w:val="487D3F41"/>
    <w:rsid w:val="48A87B94"/>
    <w:rsid w:val="48CA60B4"/>
    <w:rsid w:val="48EC13B2"/>
    <w:rsid w:val="48F26E1F"/>
    <w:rsid w:val="48FF1AD9"/>
    <w:rsid w:val="49366FC3"/>
    <w:rsid w:val="49561C1C"/>
    <w:rsid w:val="495A5EC0"/>
    <w:rsid w:val="495A5F98"/>
    <w:rsid w:val="49675A1A"/>
    <w:rsid w:val="49796A18"/>
    <w:rsid w:val="497A2F9B"/>
    <w:rsid w:val="49D822B4"/>
    <w:rsid w:val="49DA6DFC"/>
    <w:rsid w:val="49DE36B2"/>
    <w:rsid w:val="4A1A78ED"/>
    <w:rsid w:val="4A2D4D4F"/>
    <w:rsid w:val="4A3669B4"/>
    <w:rsid w:val="4A793B92"/>
    <w:rsid w:val="4A917848"/>
    <w:rsid w:val="4AAA0106"/>
    <w:rsid w:val="4AB1581B"/>
    <w:rsid w:val="4ACC6BB3"/>
    <w:rsid w:val="4ACD77C9"/>
    <w:rsid w:val="4AF26284"/>
    <w:rsid w:val="4B192275"/>
    <w:rsid w:val="4B1D5AB5"/>
    <w:rsid w:val="4B5209F3"/>
    <w:rsid w:val="4BDD39A5"/>
    <w:rsid w:val="4BEA3E95"/>
    <w:rsid w:val="4C00513D"/>
    <w:rsid w:val="4C025383"/>
    <w:rsid w:val="4C0435AC"/>
    <w:rsid w:val="4C426A60"/>
    <w:rsid w:val="4C4F7949"/>
    <w:rsid w:val="4C875326"/>
    <w:rsid w:val="4C88415F"/>
    <w:rsid w:val="4C892DD7"/>
    <w:rsid w:val="4C992DAF"/>
    <w:rsid w:val="4C9B567F"/>
    <w:rsid w:val="4CC1157E"/>
    <w:rsid w:val="4CD90D2F"/>
    <w:rsid w:val="4D58236C"/>
    <w:rsid w:val="4D654860"/>
    <w:rsid w:val="4D9200E8"/>
    <w:rsid w:val="4D95683A"/>
    <w:rsid w:val="4DA6150B"/>
    <w:rsid w:val="4DBF3E19"/>
    <w:rsid w:val="4DDC2168"/>
    <w:rsid w:val="4E0C2E9B"/>
    <w:rsid w:val="4E3532F4"/>
    <w:rsid w:val="4E781A75"/>
    <w:rsid w:val="4EAC4098"/>
    <w:rsid w:val="4EBC7EC7"/>
    <w:rsid w:val="4ECC017C"/>
    <w:rsid w:val="4EE05822"/>
    <w:rsid w:val="4EF7020E"/>
    <w:rsid w:val="4F2404A0"/>
    <w:rsid w:val="4F263BD9"/>
    <w:rsid w:val="4F36474E"/>
    <w:rsid w:val="4F4727FE"/>
    <w:rsid w:val="4F73505B"/>
    <w:rsid w:val="4F856C7E"/>
    <w:rsid w:val="4F8C5E9D"/>
    <w:rsid w:val="4FBB22B6"/>
    <w:rsid w:val="4FCE2830"/>
    <w:rsid w:val="4FD47FCA"/>
    <w:rsid w:val="50025A88"/>
    <w:rsid w:val="504C026E"/>
    <w:rsid w:val="506A0CDB"/>
    <w:rsid w:val="507A5BD7"/>
    <w:rsid w:val="509A584B"/>
    <w:rsid w:val="50A61790"/>
    <w:rsid w:val="50B61FEE"/>
    <w:rsid w:val="50BA2C10"/>
    <w:rsid w:val="50BE4C74"/>
    <w:rsid w:val="50CB7791"/>
    <w:rsid w:val="50E53426"/>
    <w:rsid w:val="511542C8"/>
    <w:rsid w:val="51267C4C"/>
    <w:rsid w:val="513E0CC7"/>
    <w:rsid w:val="517B6281"/>
    <w:rsid w:val="519A2E51"/>
    <w:rsid w:val="51AA5AFB"/>
    <w:rsid w:val="51BC27B0"/>
    <w:rsid w:val="51DC754F"/>
    <w:rsid w:val="51E503A4"/>
    <w:rsid w:val="522E7E35"/>
    <w:rsid w:val="522F1165"/>
    <w:rsid w:val="5260139D"/>
    <w:rsid w:val="526A60C9"/>
    <w:rsid w:val="52A6080A"/>
    <w:rsid w:val="52DE3525"/>
    <w:rsid w:val="52F37A7E"/>
    <w:rsid w:val="532605FE"/>
    <w:rsid w:val="534013D3"/>
    <w:rsid w:val="537B2198"/>
    <w:rsid w:val="53982CB5"/>
    <w:rsid w:val="53C1594C"/>
    <w:rsid w:val="53EF4A3E"/>
    <w:rsid w:val="540442A4"/>
    <w:rsid w:val="541B7A0B"/>
    <w:rsid w:val="54652981"/>
    <w:rsid w:val="5469336C"/>
    <w:rsid w:val="5479567D"/>
    <w:rsid w:val="54983006"/>
    <w:rsid w:val="54CD26DC"/>
    <w:rsid w:val="55100F3D"/>
    <w:rsid w:val="5521466C"/>
    <w:rsid w:val="553C3366"/>
    <w:rsid w:val="55732CF6"/>
    <w:rsid w:val="55A92695"/>
    <w:rsid w:val="560D3B4E"/>
    <w:rsid w:val="564B1F53"/>
    <w:rsid w:val="564D66AA"/>
    <w:rsid w:val="56836478"/>
    <w:rsid w:val="56AC70B3"/>
    <w:rsid w:val="56B21768"/>
    <w:rsid w:val="56BB154A"/>
    <w:rsid w:val="56E94652"/>
    <w:rsid w:val="57030BD5"/>
    <w:rsid w:val="57380EEF"/>
    <w:rsid w:val="576176AA"/>
    <w:rsid w:val="57645A2E"/>
    <w:rsid w:val="57762E8E"/>
    <w:rsid w:val="578B3880"/>
    <w:rsid w:val="57C434B7"/>
    <w:rsid w:val="57CA1416"/>
    <w:rsid w:val="57E84B4C"/>
    <w:rsid w:val="581D264C"/>
    <w:rsid w:val="58347195"/>
    <w:rsid w:val="586F66D6"/>
    <w:rsid w:val="58714A32"/>
    <w:rsid w:val="58742C84"/>
    <w:rsid w:val="58A65354"/>
    <w:rsid w:val="58C55ADB"/>
    <w:rsid w:val="58C8623B"/>
    <w:rsid w:val="59152B92"/>
    <w:rsid w:val="591536C1"/>
    <w:rsid w:val="59552AD3"/>
    <w:rsid w:val="597634BC"/>
    <w:rsid w:val="5A0566F5"/>
    <w:rsid w:val="5A1769F2"/>
    <w:rsid w:val="5A79179C"/>
    <w:rsid w:val="5A7D380F"/>
    <w:rsid w:val="5AA312A7"/>
    <w:rsid w:val="5AB86FE7"/>
    <w:rsid w:val="5AC66451"/>
    <w:rsid w:val="5ACC69B8"/>
    <w:rsid w:val="5AD173B5"/>
    <w:rsid w:val="5ADF3274"/>
    <w:rsid w:val="5AF36658"/>
    <w:rsid w:val="5AF4422B"/>
    <w:rsid w:val="5AFE4C96"/>
    <w:rsid w:val="5B730F17"/>
    <w:rsid w:val="5B7B1236"/>
    <w:rsid w:val="5B957F1C"/>
    <w:rsid w:val="5BA11BE8"/>
    <w:rsid w:val="5BB43102"/>
    <w:rsid w:val="5BBB130B"/>
    <w:rsid w:val="5BD55C6A"/>
    <w:rsid w:val="5C035B83"/>
    <w:rsid w:val="5C744E01"/>
    <w:rsid w:val="5CD535D0"/>
    <w:rsid w:val="5CD652DB"/>
    <w:rsid w:val="5CEE06DF"/>
    <w:rsid w:val="5CF8187F"/>
    <w:rsid w:val="5D063D96"/>
    <w:rsid w:val="5D5174B0"/>
    <w:rsid w:val="5D5D0C42"/>
    <w:rsid w:val="5DA62130"/>
    <w:rsid w:val="5DAF2A40"/>
    <w:rsid w:val="5DE347D0"/>
    <w:rsid w:val="5DEA0B28"/>
    <w:rsid w:val="5DF070C8"/>
    <w:rsid w:val="5E187442"/>
    <w:rsid w:val="5E443BCE"/>
    <w:rsid w:val="5E6214C3"/>
    <w:rsid w:val="5E674F7A"/>
    <w:rsid w:val="5E714CB3"/>
    <w:rsid w:val="5E791178"/>
    <w:rsid w:val="5EAF150A"/>
    <w:rsid w:val="5FA84DEE"/>
    <w:rsid w:val="5FB44AA0"/>
    <w:rsid w:val="5FFC1656"/>
    <w:rsid w:val="600D28FE"/>
    <w:rsid w:val="6018789E"/>
    <w:rsid w:val="60437FB3"/>
    <w:rsid w:val="60525652"/>
    <w:rsid w:val="60642034"/>
    <w:rsid w:val="606B077F"/>
    <w:rsid w:val="60733F65"/>
    <w:rsid w:val="607D18D9"/>
    <w:rsid w:val="607F0290"/>
    <w:rsid w:val="60BB71C0"/>
    <w:rsid w:val="60BF2710"/>
    <w:rsid w:val="60F802B5"/>
    <w:rsid w:val="610D745B"/>
    <w:rsid w:val="612620F2"/>
    <w:rsid w:val="61396955"/>
    <w:rsid w:val="61494699"/>
    <w:rsid w:val="61811860"/>
    <w:rsid w:val="61A93DCC"/>
    <w:rsid w:val="61B53912"/>
    <w:rsid w:val="61DC133E"/>
    <w:rsid w:val="61EE6E14"/>
    <w:rsid w:val="61F93E33"/>
    <w:rsid w:val="62030149"/>
    <w:rsid w:val="623A2FE4"/>
    <w:rsid w:val="623B2665"/>
    <w:rsid w:val="623B6840"/>
    <w:rsid w:val="62425DF2"/>
    <w:rsid w:val="62731D94"/>
    <w:rsid w:val="627A3EAC"/>
    <w:rsid w:val="629946DD"/>
    <w:rsid w:val="62BE22D8"/>
    <w:rsid w:val="62C06CBF"/>
    <w:rsid w:val="62C4244E"/>
    <w:rsid w:val="62E21E31"/>
    <w:rsid w:val="632415B7"/>
    <w:rsid w:val="63433210"/>
    <w:rsid w:val="637E1F6B"/>
    <w:rsid w:val="63ED5D7D"/>
    <w:rsid w:val="63F31931"/>
    <w:rsid w:val="63FB5B09"/>
    <w:rsid w:val="63FF46D5"/>
    <w:rsid w:val="64872B3A"/>
    <w:rsid w:val="64A01153"/>
    <w:rsid w:val="64AA5A0F"/>
    <w:rsid w:val="65145F61"/>
    <w:rsid w:val="651B1E41"/>
    <w:rsid w:val="652F62B2"/>
    <w:rsid w:val="65314CDC"/>
    <w:rsid w:val="65834E5D"/>
    <w:rsid w:val="65B104C7"/>
    <w:rsid w:val="65C73CC9"/>
    <w:rsid w:val="65EF28CF"/>
    <w:rsid w:val="660261FB"/>
    <w:rsid w:val="66661AB5"/>
    <w:rsid w:val="66734708"/>
    <w:rsid w:val="668B361C"/>
    <w:rsid w:val="66CB3339"/>
    <w:rsid w:val="66DE684B"/>
    <w:rsid w:val="6701538B"/>
    <w:rsid w:val="67421966"/>
    <w:rsid w:val="674C3C22"/>
    <w:rsid w:val="6767609D"/>
    <w:rsid w:val="67815161"/>
    <w:rsid w:val="679C2A4F"/>
    <w:rsid w:val="67A12ABB"/>
    <w:rsid w:val="67B4299D"/>
    <w:rsid w:val="67BF75F1"/>
    <w:rsid w:val="685B2144"/>
    <w:rsid w:val="685E5029"/>
    <w:rsid w:val="68926CF0"/>
    <w:rsid w:val="689C7DC4"/>
    <w:rsid w:val="68BD4138"/>
    <w:rsid w:val="68DF1636"/>
    <w:rsid w:val="69253E50"/>
    <w:rsid w:val="69367DF4"/>
    <w:rsid w:val="695F2CF2"/>
    <w:rsid w:val="697111FB"/>
    <w:rsid w:val="69771617"/>
    <w:rsid w:val="69846913"/>
    <w:rsid w:val="69B226F6"/>
    <w:rsid w:val="69C95392"/>
    <w:rsid w:val="69E74FC7"/>
    <w:rsid w:val="69EF255B"/>
    <w:rsid w:val="6A061A21"/>
    <w:rsid w:val="6A691709"/>
    <w:rsid w:val="6A8F179C"/>
    <w:rsid w:val="6AD91623"/>
    <w:rsid w:val="6AF7208C"/>
    <w:rsid w:val="6B2D5466"/>
    <w:rsid w:val="6B3D672B"/>
    <w:rsid w:val="6B540EFE"/>
    <w:rsid w:val="6B7B4240"/>
    <w:rsid w:val="6B93084E"/>
    <w:rsid w:val="6B9A4A30"/>
    <w:rsid w:val="6BC17857"/>
    <w:rsid w:val="6BE95A5E"/>
    <w:rsid w:val="6C256C69"/>
    <w:rsid w:val="6C3D7821"/>
    <w:rsid w:val="6C3F2A33"/>
    <w:rsid w:val="6C9D2124"/>
    <w:rsid w:val="6CC23729"/>
    <w:rsid w:val="6CC64B8A"/>
    <w:rsid w:val="6D0A5A49"/>
    <w:rsid w:val="6D0D3D19"/>
    <w:rsid w:val="6D1850BC"/>
    <w:rsid w:val="6D1A2758"/>
    <w:rsid w:val="6D3B484F"/>
    <w:rsid w:val="6D4908D6"/>
    <w:rsid w:val="6DDC1DC1"/>
    <w:rsid w:val="6E5F3E90"/>
    <w:rsid w:val="6E794BCD"/>
    <w:rsid w:val="6EF80849"/>
    <w:rsid w:val="6EFB4DCB"/>
    <w:rsid w:val="6F27077B"/>
    <w:rsid w:val="6F2E4625"/>
    <w:rsid w:val="6F46584E"/>
    <w:rsid w:val="6F594D6F"/>
    <w:rsid w:val="6F7121F2"/>
    <w:rsid w:val="6F9D0191"/>
    <w:rsid w:val="6FBA3F1E"/>
    <w:rsid w:val="70402316"/>
    <w:rsid w:val="70932BCA"/>
    <w:rsid w:val="70B0102E"/>
    <w:rsid w:val="70C32DB5"/>
    <w:rsid w:val="710B0B0B"/>
    <w:rsid w:val="712C7DC8"/>
    <w:rsid w:val="714B7382"/>
    <w:rsid w:val="715D0235"/>
    <w:rsid w:val="71E5266B"/>
    <w:rsid w:val="71F50096"/>
    <w:rsid w:val="72061303"/>
    <w:rsid w:val="720F3574"/>
    <w:rsid w:val="723F5D8C"/>
    <w:rsid w:val="7265643D"/>
    <w:rsid w:val="72990ADE"/>
    <w:rsid w:val="72ED674C"/>
    <w:rsid w:val="730E5927"/>
    <w:rsid w:val="731D3349"/>
    <w:rsid w:val="732F6C8F"/>
    <w:rsid w:val="73352933"/>
    <w:rsid w:val="7339686E"/>
    <w:rsid w:val="73566186"/>
    <w:rsid w:val="73607959"/>
    <w:rsid w:val="73777ED7"/>
    <w:rsid w:val="738058E6"/>
    <w:rsid w:val="73A90ADD"/>
    <w:rsid w:val="73AF3723"/>
    <w:rsid w:val="73B16F51"/>
    <w:rsid w:val="73E8789D"/>
    <w:rsid w:val="740238DF"/>
    <w:rsid w:val="74163E96"/>
    <w:rsid w:val="74300CF7"/>
    <w:rsid w:val="74304C66"/>
    <w:rsid w:val="74501460"/>
    <w:rsid w:val="745B3729"/>
    <w:rsid w:val="747E452E"/>
    <w:rsid w:val="74B10200"/>
    <w:rsid w:val="74C2049A"/>
    <w:rsid w:val="74E853F8"/>
    <w:rsid w:val="75055A8C"/>
    <w:rsid w:val="75347801"/>
    <w:rsid w:val="753D0A8A"/>
    <w:rsid w:val="75C569C0"/>
    <w:rsid w:val="75DF62EF"/>
    <w:rsid w:val="75E82BF4"/>
    <w:rsid w:val="75EF34E2"/>
    <w:rsid w:val="75FC15F6"/>
    <w:rsid w:val="761D3D17"/>
    <w:rsid w:val="763428FA"/>
    <w:rsid w:val="769A1F19"/>
    <w:rsid w:val="76AB59C6"/>
    <w:rsid w:val="76BA3D28"/>
    <w:rsid w:val="76CD23E0"/>
    <w:rsid w:val="76D0644A"/>
    <w:rsid w:val="76D8067A"/>
    <w:rsid w:val="76EE3DDB"/>
    <w:rsid w:val="76F57F2D"/>
    <w:rsid w:val="77021D2E"/>
    <w:rsid w:val="77077B3B"/>
    <w:rsid w:val="775228E8"/>
    <w:rsid w:val="77883CA6"/>
    <w:rsid w:val="778B1DFE"/>
    <w:rsid w:val="77A67671"/>
    <w:rsid w:val="77C43E82"/>
    <w:rsid w:val="77EF5945"/>
    <w:rsid w:val="781E3C67"/>
    <w:rsid w:val="782336D2"/>
    <w:rsid w:val="78477109"/>
    <w:rsid w:val="785617B5"/>
    <w:rsid w:val="785B66B6"/>
    <w:rsid w:val="785D6E29"/>
    <w:rsid w:val="78715A71"/>
    <w:rsid w:val="789A158E"/>
    <w:rsid w:val="79176484"/>
    <w:rsid w:val="7923202E"/>
    <w:rsid w:val="79E1560B"/>
    <w:rsid w:val="79EC64F6"/>
    <w:rsid w:val="7A48271D"/>
    <w:rsid w:val="7A5B6AA6"/>
    <w:rsid w:val="7AA6587D"/>
    <w:rsid w:val="7AEF46F5"/>
    <w:rsid w:val="7B042830"/>
    <w:rsid w:val="7B101B78"/>
    <w:rsid w:val="7B3479E1"/>
    <w:rsid w:val="7B36534B"/>
    <w:rsid w:val="7BAD2677"/>
    <w:rsid w:val="7BD060AF"/>
    <w:rsid w:val="7BD2370A"/>
    <w:rsid w:val="7BE42039"/>
    <w:rsid w:val="7C086264"/>
    <w:rsid w:val="7C127435"/>
    <w:rsid w:val="7C5F755C"/>
    <w:rsid w:val="7C7278F9"/>
    <w:rsid w:val="7CC17885"/>
    <w:rsid w:val="7CC25006"/>
    <w:rsid w:val="7CC5559B"/>
    <w:rsid w:val="7D3038A0"/>
    <w:rsid w:val="7D3E77E5"/>
    <w:rsid w:val="7D6971CA"/>
    <w:rsid w:val="7D9F6C92"/>
    <w:rsid w:val="7DF37B69"/>
    <w:rsid w:val="7E2754D8"/>
    <w:rsid w:val="7E386003"/>
    <w:rsid w:val="7E7913CA"/>
    <w:rsid w:val="7E836A29"/>
    <w:rsid w:val="7EA5622C"/>
    <w:rsid w:val="7EAE0A66"/>
    <w:rsid w:val="7EDD453B"/>
    <w:rsid w:val="7EDF08EA"/>
    <w:rsid w:val="7EFB629F"/>
    <w:rsid w:val="7F461144"/>
    <w:rsid w:val="7F5E0E5D"/>
    <w:rsid w:val="7F8525AE"/>
    <w:rsid w:val="7F8B640A"/>
    <w:rsid w:val="7FBF15DE"/>
    <w:rsid w:val="7FC42D2E"/>
    <w:rsid w:val="7FE1722B"/>
    <w:rsid w:val="7FF037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正文文本 Char"/>
    <w:link w:val="2"/>
    <w:qFormat/>
    <w:uiPriority w:val="1"/>
    <w:rPr>
      <w:rFonts w:ascii="宋体" w:hAnsi="Times New Roman" w:eastAsia="宋体" w:cs="宋体"/>
      <w:kern w:val="0"/>
      <w:szCs w:val="21"/>
    </w:rPr>
  </w:style>
  <w:style w:type="character" w:customStyle="1" w:styleId="22">
    <w:name w:val="标题 1 Char"/>
    <w:link w:val="3"/>
    <w:qFormat/>
    <w:uiPriority w:val="1"/>
    <w:rPr>
      <w:rFonts w:ascii="黑体" w:hAnsi="Times New Roman" w:eastAsia="黑体" w:cs="黑体"/>
      <w:b/>
      <w:bCs/>
      <w:kern w:val="0"/>
      <w:sz w:val="36"/>
      <w:szCs w:val="36"/>
    </w:rPr>
  </w:style>
  <w:style w:type="character" w:customStyle="1" w:styleId="23">
    <w:name w:val="标题 2 Char"/>
    <w:link w:val="4"/>
    <w:qFormat/>
    <w:uiPriority w:val="9"/>
    <w:rPr>
      <w:rFonts w:ascii="Cambria" w:hAnsi="Cambria" w:eastAsia="宋体" w:cs="Times New Roman"/>
      <w:b/>
      <w:bCs/>
      <w:sz w:val="32"/>
      <w:szCs w:val="32"/>
    </w:rPr>
  </w:style>
  <w:style w:type="character" w:customStyle="1" w:styleId="24">
    <w:name w:val="标题 3 Char"/>
    <w:link w:val="5"/>
    <w:qFormat/>
    <w:uiPriority w:val="1"/>
    <w:rPr>
      <w:rFonts w:ascii="宋体" w:hAnsi="Times New Roman" w:eastAsia="宋体" w:cs="宋体"/>
      <w:b/>
      <w:bCs/>
      <w:kern w:val="0"/>
      <w:szCs w:val="21"/>
    </w:rPr>
  </w:style>
  <w:style w:type="character" w:customStyle="1" w:styleId="25">
    <w:name w:val="批注文字 Char"/>
    <w:link w:val="6"/>
    <w:qFormat/>
    <w:uiPriority w:val="99"/>
    <w:rPr>
      <w:kern w:val="2"/>
      <w:sz w:val="21"/>
      <w:szCs w:val="22"/>
    </w:rPr>
  </w:style>
  <w:style w:type="character" w:customStyle="1" w:styleId="26">
    <w:name w:val="日期 Char"/>
    <w:basedOn w:val="16"/>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_Style 34"/>
    <w:semiHidden/>
    <w:qFormat/>
    <w:uiPriority w:val="99"/>
    <w:rPr>
      <w:rFonts w:ascii="Times New Roman" w:hAnsi="Times New Roman" w:eastAsia="宋体" w:cs="Times New Roman"/>
      <w:kern w:val="2"/>
      <w:sz w:val="21"/>
      <w:szCs w:val="22"/>
      <w:lang w:val="en-US" w:eastAsia="zh-CN" w:bidi="ar-SA"/>
    </w:rPr>
  </w:style>
  <w:style w:type="character" w:customStyle="1" w:styleId="36">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35</Pages>
  <Words>33942</Words>
  <Characters>34945</Characters>
  <Lines>235</Lines>
  <Paragraphs>66</Paragraphs>
  <TotalTime>0</TotalTime>
  <ScaleCrop>false</ScaleCrop>
  <LinksUpToDate>false</LinksUpToDate>
  <CharactersWithSpaces>35179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2021-07-03T12:43:00Z</dcterms:created>
  <dc:creator>JSYH</dc:creator>
  <cp:lastModifiedBy>jsyh</cp:lastModifiedBy>
  <cp:lastPrinted>2022-07-26T07:00:00Z</cp:lastPrinted>
  <dcterms:modified xsi:type="dcterms:W3CDTF">2026-08-11T00:47:32Z</dcterms:modified>
  <cp:revision>1651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A720F1D149E949A68E77675940F113CE</vt:lpwstr>
  </property>
</Properties>
</file>