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青银理财璀璨人生成就系列人民币理财计划2026年433期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青银理财成就系列（低波共享）2026年433期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CCCJGX26433</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A份额，销售代码【CCCJGX26433A】，销售名称：青银理财成就系列（低波共享）2026年433期A份额,销售对象【青岛银行及各销售服务渠道个人及机构客户，具体客户类型以销售机构规定为准】</w:t>
              <w:br/>
              <w:t>B份额，销售代码【CCCJGX26433B】，销售名称：青银理财成就系列（低波共享）2026年433期B份额（代发专属）,销售对象【青岛银行及各销售服务渠道个人及机构客户，具体客户类型以销售机构规定为准】</w:t>
              <w:br/>
              <w:t>C份额，销售代码【CCCJGX26433C】，销售名称：青银理财成就系列（低波共享）2026年433期C份额,销售对象【盛京银行及各销售服务渠道个人及机构客户，具体客户类型以销售机构规定为准】</w:t>
              <w:br/>
              <w:t>D份额，销售代码【CCCJGX26433D】，销售名称：青银理财成就系列（低波共享）2026年433期D份额,销售对象【东阳农商银行及各销售服务渠道个人及机构客户，具体客户类型以销售机构规定为准】</w:t>
              <w:br/>
              <w:t>E份额，销售代码【CCCJGX26433E】，销售名称：青银理财成就系列（低波共享）2026年433期E份额,销售对象【中山农商及各销售服务渠道个人及机构客户，具体客户类型以销售机构规定为准】</w:t>
              <w:br/>
              <w:t>F份额，销售代码【CCCJGX26433F】，销售名称：青银理财成就系列（低波共享）2026年433期F份额,销售对象【青岛银行及各销售服务渠道个人及机构客户，具体客户类型以销售机构规定为准】</w:t>
              <w:br/>
              <w:t>H份额，销售代码【CCCJGX26433H】，销售名称：青银理财成就系列（低波共享）2026年433期H份额（私行专属）,销售对象【青岛银行及各销售服务渠道个人及机构客户，具体客户类型以销售机构规定为准】</w:t>
              <w:br/>
              <w:t>I份额，销售代码【CCCJGX26433I】，销售名称：青银理财成就系列（低波共享）2026年433期I份额（理财新客专属）,销售对象【青岛银行及各销售服务渠道个人及机构客户，具体客户类型以销售机构规定为准】</w:t>
              <w:br/>
              <w:t>J份额，销售代码【CCCJGX26433J】，销售名称：青银理财成就系列（低波共享）2026年433期J份额（新市民之美好生活）,销售对象【青岛银行及各销售服务渠道个人及机构客户，具体客户类型以销售机构规定为准】</w:t>
              <w:br/>
              <w:t>K份额，销售代码【CCCJGX26433K】，销售名称：青银理财成就系列（低波共享）2026年433期K份额,销售对象【山西银行及各销售服务渠道个人及机构客户，具体客户类型以销售机构规定为准】</w:t>
              <w:br/>
              <w:t>L份额，销售代码【CCCJGX26433L】，销售名称：青银理财成就系列（低波共享）2026年433期L份额,销售对象【厦门银行及各销售服务渠道个人及机构客户，具体客户类型以销售机构规定为准】</w:t>
              <w:br/>
              <w:t>M份额，销售代码【CCCJGX26433M】，销售名称：青银理财成就系列（低波共享）2026年433期M份额,销售对象【珠海农商及各销售服务渠道个人及机构客户，具体客户类型以销售机构规定为准】</w:t>
              <w:br/>
              <w:t>N份额，销售代码【CCCJGX26433N】，销售名称：青银理财成就系列（低波共享）2026年433期N份额,销售对象【临商银行及各销售服务渠道个人及机构客户，具体客户类型以销售机构规定为准】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Z7003526000579，可通过中国理财网（http://www.chinawealth.com.cn）查询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2026年08月18日</w:t>
            </w:r>
            <w:r>
              <w:rPr>
                <w:rFonts w:ascii="新宋体" w:eastAsia="新宋体" w:hAnsi="新宋体" w:hint="eastAsia"/>
              </w:rPr>
              <w:t xml:space="preserve"> 9:00至</w:t>
            </w:r>
            <w:r>
              <w:rPr>
                <w:rFonts w:ascii="新宋体" w:eastAsia="新宋体" w:hAnsi="新宋体"/>
              </w:rPr>
              <w:t>2026年08月24日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2026年08月25日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2027年09月28日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J份额规模上限100000万，规模下限1万</w:t>
              <w:br/>
              <w:t>K份额规模上限100000万，规模下限1万</w:t>
              <w:br/>
              <w:t>L份额规模上限100000万，规模下限1万</w:t>
              <w:br/>
              <w:t>M份额规模上限100000万，规模下限1万</w:t>
              <w:br/>
              <w:t>N份额规模上限100000万，规模下限1万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中山农商及各销售服务渠道，F份额销售渠道为青岛银行及各销售服务渠道，H份额销售渠道为青岛银行及各销售服务渠道，I份额销售渠道为青岛银行及各销售服务渠道，J份额销售渠道为青岛银行及各销售服务渠道，K份额销售渠道为山西银行及各销售服务渠道，L份额销售渠道为厦门银行及各销售服务渠道，M份额销售渠道为珠海农商及各销售服务渠道，N份额销售渠道为临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A份额业绩比较基准为2.30%（年化）</w:t>
              <w:br/>
              <w:t>B份额业绩比较基准为2.33%（年化）</w:t>
              <w:br/>
              <w:t>C份额业绩比较基准为2.30%（年化）</w:t>
              <w:br/>
              <w:t>D份额业绩比较基准为2.30%（年化）</w:t>
              <w:br/>
              <w:t>E份额业绩比较基准为2.25%（年化）</w:t>
              <w:br/>
              <w:t>F份额业绩比较基准为2.35%（年化）</w:t>
              <w:br/>
              <w:t>H份额业绩比较基准为2.35%（年化）</w:t>
              <w:br/>
              <w:t>I份额业绩比较基准为2.35%（年化）</w:t>
              <w:br/>
              <w:t>J份额业绩比较基准为2.35%（年化）</w:t>
              <w:br/>
              <w:t>K份额业绩比较基准为2.20%（年化）</w:t>
              <w:br/>
              <w:t>L份额业绩比较基准为2.35%（年化）</w:t>
              <w:br/>
              <w:t>M份额业绩比较基准为2.35%（年化）</w:t>
              <w:br/>
              <w:t>N份额业绩比较基准为2.35%（年化）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rsidRPr="004D7288">
            <w:pPr>
              <w:spacing w:line="360" w:lineRule="auto"/>
              <w:rPr>
                <w:rFonts w:ascii="新宋体" w:eastAsia="新宋体" w:hAnsi="新宋体" w:hint="eastAsia"/>
                <w:b/>
              </w:rPr>
            </w:pPr>
            <w:r w:rsidRPr="004D7288">
              <w:rPr>
                <w:rFonts w:ascii="新宋体" w:eastAsia="新宋体" w:hAnsi="新宋体" w:hint="eastAsia"/>
                <w:b/>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w:t>
            </w:r>
            <w:r w:rsidRPr="004D7288">
              <w:rPr>
                <w:rFonts w:ascii="新宋体" w:eastAsia="新宋体" w:hAnsi="新宋体" w:hint="eastAsia"/>
                <w:b/>
                <w:szCs w:val="21"/>
              </w:rPr>
              <w:t>其中，</w:t>
            </w:r>
            <w:r w:rsidRPr="004D7288">
              <w:rPr>
                <w:rFonts w:ascii="新宋体" w:eastAsia="新宋体" w:hAnsi="新宋体" w:hint="eastAsia"/>
                <w:b/>
                <w:bCs/>
                <w:szCs w:val="21"/>
              </w:rPr>
              <w:t>A份额固定管理费率（年化）为0.34%；B份额固定管理费率（年化）为0.31%；C份额固定管理费率（年化）为0.34%；D份额固定管理费率（年化）为0.34%；E份额固定管理费率（年化）为0.39%；F份额固定管理费率（年化）为0.29%；H份额固定管理费率（年化）为0.29%；I份额固定管理费率（年化）为0.29%；J份额固定管理费率（年化）为0.29%；K份额固定管理费率（年化）为0.44%；L份额固定管理费率（年化）为0.29%；M份额固定管理费率（年化）为0.29%；N份额固定管理费率（年化）为0.29%</w:t>
            </w:r>
            <w:r w:rsidRPr="004D7288">
              <w:rPr>
                <w:rFonts w:ascii="新宋体" w:eastAsia="新宋体" w:hAnsi="新宋体" w:hint="eastAsia"/>
                <w:b/>
                <w:szCs w:val="21"/>
              </w:rPr>
              <w:t>，由理财管理人按日计提收取；</w:t>
            </w:r>
            <w:r>
              <w:rPr>
                <w:rFonts w:ascii="新宋体" w:eastAsia="新宋体" w:hAnsi="新宋体" w:hint="eastAsia"/>
                <w:szCs w:val="21"/>
              </w:rPr>
              <w:t>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（A份额2.30%、B份额2.33%、C份额2.30%、D份额2.30%、E份额2.25%、F份额2.35%、H份额2.35%、I份额2.35%、J份额2.35%、K份额2.20%、L份额2.35%、M份额2.35%、N份额2.35%），则超出部分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rsidRPr="005952A3">
      <w:pPr>
        <w:snapToGrid w:val="0"/>
        <w:spacing w:line="360" w:lineRule="auto"/>
        <w:ind w:firstLine="420" w:firstLineChars="200"/>
        <w:jc w:val="left"/>
        <w:rPr>
          <w:rFonts w:ascii="新宋体" w:eastAsia="新宋体" w:hAnsi="新宋体" w:hint="eastAsia"/>
          <w:b/>
          <w:szCs w:val="21"/>
        </w:rPr>
      </w:pPr>
      <w:r w:rsidRPr="005952A3">
        <w:rPr>
          <w:rFonts w:ascii="新宋体" w:eastAsia="新宋体" w:hAnsi="新宋体" w:hint="eastAsia"/>
          <w:b/>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sidRPr="005952A3">
        <w:rPr>
          <w:rFonts w:ascii="新宋体" w:eastAsia="新宋体" w:hAnsi="新宋体"/>
          <w:b/>
          <w:szCs w:val="21"/>
        </w:rPr>
        <w:t>完整记录和保存销售业务活动信息</w:t>
      </w:r>
      <w:r w:rsidRPr="005952A3">
        <w:rPr>
          <w:rFonts w:ascii="新宋体" w:eastAsia="新宋体" w:hAnsi="新宋体" w:hint="eastAsia"/>
          <w:b/>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0.34%，B份额年化费率为0.31%，C份额年化费率为0.34%，D份额年化费率为0.34%，E份额年化费率为0.39%，F份额年化费率为0.29%，H份额年化费率为0.29%，I份额年化费率为0.29%，J份额年化费率为0.29%，K份额年化费率为0.44%，L份额年化费率为0.29%，M份额年化费率为0.29%，N份额年化费率为0.29%</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A份额【0.34】%，B份额【0.31】%，C份额【0.34】%，D份额【0.34】%，E份额【0.39】%，F份额【0.29】%，H份额【0.29】%，I份额【0.29】%，J份额【0.29】%，K份额【0.44】%，L份额【0.29】%，M份额【0.29】%，N份额【0.29】%</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0.34%</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2.30%、B份额2.33%、C份额2.30%、D份额2.30%、E份额2.25%、F份额2.35%、H份额2.35%、I份额2.35%、J份额2.35%、K份额2.20%、L份额2.35%、M份额2.35%、N份额2.35%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A32AA8">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288"/>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2A3"/>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2AA8"/>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19C8"/>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5</TotalTime>
  <Pages>14</Pages>
  <Words>1944</Words>
  <Characters>11084</Characters>
  <Application>Microsoft Office Word</Application>
  <DocSecurity>0</DocSecurity>
  <Lines>92</Lines>
  <Paragraphs>26</Paragraphs>
  <ScaleCrop>false</ScaleCrop>
  <Company>WwW.YlmF.CoM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7</cp:revision>
  <cp:lastPrinted>2011-09-18T02:03:00Z</cp:lastPrinted>
  <dcterms:created xsi:type="dcterms:W3CDTF">2023-07-25T08:36:00Z</dcterms:created>
  <dcterms:modified xsi:type="dcterms:W3CDTF">2026-07-29T06:51:00Z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