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w:t>
      </w:r>
      <w:r>
        <w:rPr>
          <w:rFonts w:hint="eastAsia" w:ascii="黑体" w:hAnsi="黑体" w:eastAsia="黑体"/>
          <w:b/>
          <w:sz w:val="44"/>
          <w:szCs w:val="44"/>
          <w:lang w:eastAsia="zh-CN"/>
        </w:rPr>
        <w:t>兴业银行天天万利宝稳利2号净值型理财产品A款</w:t>
      </w:r>
      <w:r>
        <w:rPr>
          <w:rFonts w:hint="eastAsia" w:ascii="黑体" w:hAnsi="黑体" w:eastAsia="黑体"/>
          <w:b/>
          <w:sz w:val="44"/>
          <w:szCs w:val="44"/>
        </w:rPr>
        <w:t>】</w:t>
      </w:r>
      <w:permEnd w:id="0"/>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【兴业银行天天万利宝稳利2号净值型理财产品A款】</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【兴业银行天天万利宝稳利2号净值型理财产品A款】</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【兴业银行天天万利宝稳利2号净值型理财产品A款】</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【兴业银行天天万利宝稳利2号净值型理财产品A款】</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【兴业银行天天万利宝稳利2号净值型理财产品A款】</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【兴业银行天天万利宝稳利2号净值型理财产品A款】</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permStart w:id="7" w:edGrp="everyone"/>
      <w:r>
        <w:rPr>
          <w:rFonts w:hint="eastAsia" w:ascii="黑体" w:hAnsi="黑体" w:eastAsia="黑体"/>
          <w:b/>
          <w:sz w:val="28"/>
          <w:szCs w:val="28"/>
        </w:rPr>
        <w:t>协议编号：【】</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23112263"/>
      <w:bookmarkStart w:id="2" w:name="_Toc123112224"/>
      <w:bookmarkStart w:id="3" w:name="_Toc139991726"/>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25"/>
      <w:bookmarkStart w:id="6" w:name="_Toc123112264"/>
      <w:bookmarkStart w:id="7" w:name="_Toc139992302"/>
      <w:bookmarkStart w:id="8" w:name="_Toc123701384"/>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w:t>
      </w:r>
      <w:r>
        <w:rPr>
          <w:rStyle w:val="27"/>
          <w:rFonts w:hint="eastAsia" w:ascii="宋体" w:hAnsi="宋体"/>
          <w:sz w:val="28"/>
          <w:szCs w:val="28"/>
          <w:lang w:val="en-US" w:eastAsia="zh-CN"/>
        </w:rPr>
        <w:t>9</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、反欺诈</w:t>
            </w:r>
            <w:r>
              <w:rPr>
                <w:rFonts w:hint="eastAsia" w:ascii="黑体" w:hAnsi="黑体" w:eastAsia="黑体"/>
                <w:sz w:val="18"/>
                <w:szCs w:val="18"/>
              </w:rPr>
              <w:t>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w:t>
            </w:r>
            <w:r>
              <w:rPr>
                <w:rFonts w:hint="eastAsia" w:ascii="黑体" w:hAnsi="黑体" w:eastAsia="黑体"/>
                <w:sz w:val="18"/>
                <w:szCs w:val="18"/>
                <w:lang w:eastAsia="zh-CN"/>
              </w:rPr>
              <w:t>必要</w:t>
            </w:r>
            <w:r>
              <w:rPr>
                <w:rFonts w:hint="eastAsia" w:ascii="黑体" w:hAnsi="黑体" w:eastAsia="黑体"/>
                <w:sz w:val="18"/>
                <w:szCs w:val="18"/>
              </w:rPr>
              <w:t>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112266"/>
      <w:bookmarkStart w:id="12" w:name="_Toc139991729"/>
      <w:bookmarkStart w:id="13" w:name="_Toc123701386"/>
    </w:p>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rPr>
              <w:bCs/>
              <w:lang w:val="zh-CN"/>
            </w:rPr>
            <w:fldChar w:fldCharType="begin"/>
          </w:r>
          <w:r>
            <w:rPr>
              <w:bCs/>
              <w:lang w:val="zh-CN"/>
            </w:rPr>
            <w:instrText xml:space="preserve"> HYPERLINK \l _Toc397380795 </w:instrText>
          </w:r>
          <w:r>
            <w:rPr>
              <w:bCs/>
              <w:lang w:val="zh-CN"/>
            </w:rPr>
            <w:fldChar w:fldCharType="separate"/>
          </w:r>
          <w:r>
            <w:rPr>
              <w:rFonts w:hint="eastAsia" w:ascii="Times New Roman"/>
            </w:rPr>
            <w:t>第一条</w:t>
          </w:r>
          <w:r>
            <w:rPr>
              <w:rFonts w:ascii="Times New Roman"/>
            </w:rPr>
            <w:t xml:space="preserve">  </w:t>
          </w:r>
          <w:r>
            <w:rPr>
              <w:rFonts w:hint="eastAsia" w:ascii="Times New Roman"/>
            </w:rPr>
            <w:t>前言</w:t>
          </w:r>
          <w:r>
            <w:tab/>
          </w:r>
          <w:r>
            <w:fldChar w:fldCharType="begin"/>
          </w:r>
          <w:r>
            <w:instrText xml:space="preserve"> PAGEREF _Toc397380795 \h </w:instrText>
          </w:r>
          <w:r>
            <w:fldChar w:fldCharType="separate"/>
          </w:r>
          <w:r>
            <w:t>5</w:t>
          </w:r>
          <w:r>
            <w:fldChar w:fldCharType="end"/>
          </w:r>
          <w:r>
            <w:rPr>
              <w:bCs/>
              <w:lang w:val="zh-CN"/>
            </w:rPr>
            <w:fldChar w:fldCharType="end"/>
          </w:r>
        </w:p>
        <w:p>
          <w:pPr>
            <w:pStyle w:val="16"/>
            <w:tabs>
              <w:tab w:val="right" w:leader="dot" w:pos="8306"/>
              <w:tab w:val="clear" w:pos="8296"/>
            </w:tabs>
          </w:pPr>
          <w:r>
            <w:rPr>
              <w:bCs/>
              <w:lang w:val="zh-CN"/>
            </w:rPr>
            <w:fldChar w:fldCharType="begin"/>
          </w:r>
          <w:r>
            <w:rPr>
              <w:bCs/>
              <w:lang w:val="zh-CN"/>
            </w:rPr>
            <w:instrText xml:space="preserve"> HYPERLINK \l _Toc1938411888 </w:instrText>
          </w:r>
          <w:r>
            <w:rPr>
              <w:bCs/>
              <w:lang w:val="zh-CN"/>
            </w:rPr>
            <w:fldChar w:fldCharType="separate"/>
          </w:r>
          <w:r>
            <w:rPr>
              <w:rFonts w:ascii="Times New Roman"/>
            </w:rPr>
            <w:t>第</w:t>
          </w:r>
          <w:r>
            <w:rPr>
              <w:rFonts w:hint="eastAsia" w:ascii="Times New Roman"/>
            </w:rPr>
            <w:t xml:space="preserve">二条 </w:t>
          </w:r>
          <w:r>
            <w:rPr>
              <w:rFonts w:ascii="Times New Roman"/>
            </w:rPr>
            <w:t xml:space="preserve"> </w:t>
          </w:r>
          <w:r>
            <w:rPr>
              <w:rFonts w:hint="eastAsia" w:ascii="Times New Roman"/>
            </w:rPr>
            <w:t>双方</w:t>
          </w:r>
          <w:r>
            <w:rPr>
              <w:rFonts w:ascii="Times New Roman"/>
            </w:rPr>
            <w:t>权利义务</w:t>
          </w:r>
          <w:r>
            <w:tab/>
          </w:r>
          <w:r>
            <w:fldChar w:fldCharType="begin"/>
          </w:r>
          <w:r>
            <w:instrText xml:space="preserve"> PAGEREF _Toc1938411888 \h </w:instrText>
          </w:r>
          <w:r>
            <w:fldChar w:fldCharType="separate"/>
          </w:r>
          <w:r>
            <w:t>6</w:t>
          </w:r>
          <w:r>
            <w:fldChar w:fldCharType="end"/>
          </w:r>
          <w:r>
            <w:rPr>
              <w:bCs/>
              <w:lang w:val="zh-CN"/>
            </w:rPr>
            <w:fldChar w:fldCharType="end"/>
          </w:r>
        </w:p>
        <w:p>
          <w:pPr>
            <w:pStyle w:val="16"/>
            <w:tabs>
              <w:tab w:val="right" w:leader="dot" w:pos="8306"/>
              <w:tab w:val="clear" w:pos="8296"/>
            </w:tabs>
          </w:pPr>
          <w:r>
            <w:rPr>
              <w:bCs/>
              <w:lang w:val="zh-CN"/>
            </w:rPr>
            <w:fldChar w:fldCharType="begin"/>
          </w:r>
          <w:r>
            <w:rPr>
              <w:bCs/>
              <w:lang w:val="zh-CN"/>
            </w:rPr>
            <w:instrText xml:space="preserve"> HYPERLINK \l _Toc230814324 </w:instrText>
          </w:r>
          <w:r>
            <w:rPr>
              <w:bCs/>
              <w:lang w:val="zh-CN"/>
            </w:rPr>
            <w:fldChar w:fldCharType="separate"/>
          </w:r>
          <w:r>
            <w:rPr>
              <w:rFonts w:hint="eastAsia" w:ascii="Times New Roman"/>
            </w:rPr>
            <w:t>第</w:t>
          </w:r>
          <w:r>
            <w:rPr>
              <w:rFonts w:hint="eastAsia" w:ascii="Times New Roman"/>
              <w:lang w:eastAsia="zh-CN"/>
            </w:rPr>
            <w:t>三</w:t>
          </w:r>
          <w:r>
            <w:rPr>
              <w:rFonts w:hint="eastAsia" w:ascii="Times New Roman"/>
            </w:rPr>
            <w:t>条</w:t>
          </w:r>
          <w:r>
            <w:rPr>
              <w:rFonts w:ascii="Times New Roman"/>
            </w:rPr>
            <w:t xml:space="preserve">  </w:t>
          </w:r>
          <w:r>
            <w:rPr>
              <w:rFonts w:hint="eastAsia" w:ascii="Times New Roman"/>
            </w:rPr>
            <w:t>违约责任</w:t>
          </w:r>
          <w:r>
            <w:rPr>
              <w:rFonts w:hint="eastAsia" w:ascii="Times New Roman"/>
              <w:lang w:eastAsia="zh-CN"/>
            </w:rPr>
            <w:t>与免责条款</w:t>
          </w:r>
          <w:r>
            <w:tab/>
          </w:r>
          <w:r>
            <w:fldChar w:fldCharType="begin"/>
          </w:r>
          <w:r>
            <w:instrText xml:space="preserve"> PAGEREF _Toc230814324 \h </w:instrText>
          </w:r>
          <w:r>
            <w:fldChar w:fldCharType="separate"/>
          </w:r>
          <w:r>
            <w:t>9</w:t>
          </w:r>
          <w:r>
            <w:fldChar w:fldCharType="end"/>
          </w:r>
          <w:r>
            <w:rPr>
              <w:bCs/>
              <w:lang w:val="zh-CN"/>
            </w:rPr>
            <w:fldChar w:fldCharType="end"/>
          </w:r>
        </w:p>
        <w:p>
          <w:pPr>
            <w:pStyle w:val="16"/>
            <w:tabs>
              <w:tab w:val="right" w:leader="dot" w:pos="8306"/>
              <w:tab w:val="clear" w:pos="8296"/>
            </w:tabs>
          </w:pPr>
          <w:r>
            <w:rPr>
              <w:bCs/>
              <w:lang w:val="zh-CN"/>
            </w:rPr>
            <w:fldChar w:fldCharType="begin"/>
          </w:r>
          <w:r>
            <w:rPr>
              <w:bCs/>
              <w:lang w:val="zh-CN"/>
            </w:rPr>
            <w:instrText xml:space="preserve"> HYPERLINK \l _Toc1719499651 </w:instrText>
          </w:r>
          <w:r>
            <w:rPr>
              <w:bCs/>
              <w:lang w:val="zh-CN"/>
            </w:rPr>
            <w:fldChar w:fldCharType="separate"/>
          </w:r>
          <w:r>
            <w:rPr>
              <w:rFonts w:hint="eastAsia" w:ascii="Times New Roman"/>
            </w:rPr>
            <w:t>第</w:t>
          </w:r>
          <w:r>
            <w:rPr>
              <w:rFonts w:hint="eastAsia" w:ascii="Times New Roman"/>
              <w:lang w:eastAsia="zh-CN"/>
            </w:rPr>
            <w:t>四</w:t>
          </w:r>
          <w:r>
            <w:rPr>
              <w:rFonts w:hint="eastAsia" w:ascii="Times New Roman"/>
            </w:rPr>
            <w:t>条</w:t>
          </w:r>
          <w:r>
            <w:rPr>
              <w:rFonts w:ascii="Times New Roman"/>
            </w:rPr>
            <w:t xml:space="preserve">  法律适用和争议解决</w:t>
          </w:r>
          <w:r>
            <w:tab/>
          </w:r>
          <w:r>
            <w:fldChar w:fldCharType="begin"/>
          </w:r>
          <w:r>
            <w:instrText xml:space="preserve"> PAGEREF _Toc1719499651 \h </w:instrText>
          </w:r>
          <w:r>
            <w:fldChar w:fldCharType="separate"/>
          </w:r>
          <w:r>
            <w:t>10</w:t>
          </w:r>
          <w:r>
            <w:fldChar w:fldCharType="end"/>
          </w:r>
          <w:r>
            <w:rPr>
              <w:bCs/>
              <w:lang w:val="zh-CN"/>
            </w:rPr>
            <w:fldChar w:fldCharType="end"/>
          </w:r>
        </w:p>
        <w:p>
          <w:pPr>
            <w:pStyle w:val="16"/>
            <w:tabs>
              <w:tab w:val="right" w:leader="dot" w:pos="8306"/>
              <w:tab w:val="clear" w:pos="8296"/>
            </w:tabs>
          </w:pPr>
          <w:r>
            <w:rPr>
              <w:bCs/>
              <w:lang w:val="zh-CN"/>
            </w:rPr>
            <w:fldChar w:fldCharType="begin"/>
          </w:r>
          <w:r>
            <w:rPr>
              <w:bCs/>
              <w:lang w:val="zh-CN"/>
            </w:rPr>
            <w:instrText xml:space="preserve"> HYPERLINK \l _Toc840363295 </w:instrText>
          </w:r>
          <w:r>
            <w:rPr>
              <w:bCs/>
              <w:lang w:val="zh-CN"/>
            </w:rPr>
            <w:fldChar w:fldCharType="separate"/>
          </w:r>
          <w:r>
            <w:rPr>
              <w:rFonts w:hint="eastAsia" w:ascii="Times New Roman"/>
            </w:rPr>
            <w:t>第</w:t>
          </w:r>
          <w:r>
            <w:rPr>
              <w:rFonts w:hint="eastAsia" w:ascii="Times New Roman"/>
              <w:lang w:eastAsia="zh-CN"/>
            </w:rPr>
            <w:t>五</w:t>
          </w:r>
          <w:r>
            <w:rPr>
              <w:rFonts w:hint="eastAsia" w:ascii="Times New Roman"/>
            </w:rPr>
            <w:t xml:space="preserve">条 </w:t>
          </w:r>
          <w:r>
            <w:rPr>
              <w:rFonts w:ascii="Times New Roman"/>
            </w:rPr>
            <w:t xml:space="preserve"> 协议的签署和</w:t>
          </w:r>
          <w:r>
            <w:rPr>
              <w:rFonts w:hint="eastAsia" w:ascii="Times New Roman"/>
            </w:rPr>
            <w:t>效力</w:t>
          </w:r>
          <w:r>
            <w:tab/>
          </w:r>
          <w:r>
            <w:fldChar w:fldCharType="begin"/>
          </w:r>
          <w:r>
            <w:instrText xml:space="preserve"> PAGEREF _Toc840363295 \h </w:instrText>
          </w:r>
          <w:r>
            <w:fldChar w:fldCharType="separate"/>
          </w:r>
          <w:r>
            <w:t>11</w:t>
          </w:r>
          <w:r>
            <w:fldChar w:fldCharType="end"/>
          </w:r>
          <w:r>
            <w:rPr>
              <w:bCs/>
              <w:lang w:val="zh-CN"/>
            </w:rPr>
            <w:fldChar w:fldCharType="end"/>
          </w:r>
        </w:p>
        <w:p>
          <w:pPr>
            <w:pStyle w:val="16"/>
            <w:tabs>
              <w:tab w:val="right" w:leader="dot" w:pos="8306"/>
              <w:tab w:val="clear" w:pos="8296"/>
            </w:tabs>
          </w:pPr>
          <w:r>
            <w:rPr>
              <w:bCs/>
              <w:lang w:val="zh-CN"/>
            </w:rPr>
            <w:fldChar w:fldCharType="begin"/>
          </w:r>
          <w:r>
            <w:rPr>
              <w:bCs/>
              <w:lang w:val="zh-CN"/>
            </w:rPr>
            <w:instrText xml:space="preserve"> HYPERLINK \l _Toc1745651480 </w:instrText>
          </w:r>
          <w:r>
            <w:rPr>
              <w:bCs/>
              <w:lang w:val="zh-CN"/>
            </w:rPr>
            <w:fldChar w:fldCharType="separate"/>
          </w:r>
          <w:r>
            <w:rPr>
              <w:rFonts w:hint="eastAsia" w:ascii="Times New Roman"/>
            </w:rPr>
            <w:t>第</w:t>
          </w:r>
          <w:r>
            <w:rPr>
              <w:rFonts w:hint="eastAsia" w:ascii="Times New Roman"/>
              <w:lang w:eastAsia="zh-CN"/>
            </w:rPr>
            <w:t>六</w:t>
          </w:r>
          <w:r>
            <w:rPr>
              <w:rFonts w:hint="eastAsia" w:ascii="Times New Roman"/>
            </w:rPr>
            <w:t xml:space="preserve">条 </w:t>
          </w:r>
          <w:r>
            <w:rPr>
              <w:rFonts w:ascii="Times New Roman"/>
            </w:rPr>
            <w:t xml:space="preserve"> </w:t>
          </w:r>
          <w:r>
            <w:rPr>
              <w:rFonts w:hint="eastAsia" w:ascii="Times New Roman"/>
            </w:rPr>
            <w:t>消费者权益保护</w:t>
          </w:r>
          <w:r>
            <w:tab/>
          </w:r>
          <w:r>
            <w:fldChar w:fldCharType="begin"/>
          </w:r>
          <w:r>
            <w:instrText xml:space="preserve"> PAGEREF _Toc1745651480 \h </w:instrText>
          </w:r>
          <w:r>
            <w:fldChar w:fldCharType="separate"/>
          </w:r>
          <w:r>
            <w:t>12</w:t>
          </w:r>
          <w:r>
            <w:fldChar w:fldCharType="end"/>
          </w:r>
          <w:r>
            <w:rPr>
              <w:bCs/>
              <w:lang w:val="zh-CN"/>
            </w:rP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112229"/>
      <w:bookmarkStart w:id="15" w:name="_Toc4966"/>
      <w:bookmarkStart w:id="16" w:name="_Toc32639"/>
      <w:bookmarkStart w:id="17" w:name="_Toc123701389"/>
      <w:bookmarkStart w:id="18" w:name="_Toc139991730"/>
      <w:bookmarkStart w:id="19" w:name="_Toc23386"/>
      <w:bookmarkStart w:id="20" w:name="_Toc123112268"/>
      <w:bookmarkStart w:id="21" w:name="_Toc6306"/>
      <w:bookmarkStart w:id="22" w:name="_Toc30935"/>
      <w:bookmarkStart w:id="23" w:name="_Toc141703880"/>
      <w:bookmarkStart w:id="24" w:name="_Toc8727"/>
      <w:bookmarkStart w:id="25" w:name="_Toc4867"/>
      <w:bookmarkStart w:id="26" w:name="_Toc26897"/>
      <w:bookmarkStart w:id="27" w:name="_Toc15517"/>
      <w:bookmarkStart w:id="28" w:name="_Toc29629"/>
      <w:bookmarkStart w:id="29" w:name="_Toc397380795"/>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5067"/>
      <w:bookmarkStart w:id="34" w:name="_Toc258829399"/>
      <w:bookmarkStart w:id="35" w:name="_Toc22864"/>
      <w:bookmarkStart w:id="36" w:name="_Toc24860"/>
      <w:bookmarkStart w:id="37" w:name="_Toc19592"/>
      <w:bookmarkStart w:id="38" w:name="_Toc2465"/>
      <w:bookmarkStart w:id="39" w:name="_Toc13020"/>
      <w:bookmarkStart w:id="40" w:name="_Toc3224"/>
      <w:bookmarkStart w:id="41" w:name="_Toc21301"/>
      <w:bookmarkStart w:id="42" w:name="_Toc661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w:t>
      </w:r>
      <w:r>
        <w:rPr>
          <w:rFonts w:hint="eastAsia" w:ascii="宋体" w:hAnsi="宋体"/>
          <w:sz w:val="18"/>
          <w:szCs w:val="18"/>
          <w:lang w:eastAsia="zh-CN"/>
        </w:rPr>
        <w:t>、《金融机构产品适当性管理办法》（国家金融监督管理总局令2025年第7号）、《银行保险机构资产管理产品信息披露管理办法》（国家金融监督管理总局令2025年第10号）</w:t>
      </w:r>
      <w:r>
        <w:rPr>
          <w:rFonts w:hint="eastAsia" w:ascii="宋体" w:hAnsi="宋体"/>
          <w:sz w:val="18"/>
          <w:szCs w:val="18"/>
        </w:rPr>
        <w:t>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938411888"/>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w:t>
      </w:r>
      <w:r>
        <w:rPr>
          <w:rFonts w:hint="eastAsia" w:ascii="黑体" w:hAnsi="黑体" w:eastAsia="黑体"/>
          <w:sz w:val="18"/>
          <w:szCs w:val="18"/>
          <w:lang w:eastAsia="zh-CN"/>
        </w:rPr>
        <w:t>必要</w:t>
      </w:r>
      <w:r>
        <w:rPr>
          <w:rFonts w:hint="eastAsia" w:ascii="黑体" w:hAnsi="黑体" w:eastAsia="黑体"/>
          <w:sz w:val="18"/>
          <w:szCs w:val="18"/>
        </w:rPr>
        <w:t>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欺诈、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cs="黑体"/>
          <w:bCs/>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w:t>
      </w:r>
      <w:r>
        <w:rPr>
          <w:rFonts w:hint="eastAsia" w:ascii="黑体" w:hAnsi="黑体" w:eastAsia="黑体" w:cs="黑体"/>
          <w:bCs/>
          <w:kern w:val="0"/>
          <w:sz w:val="18"/>
          <w:szCs w:val="18"/>
        </w:rPr>
        <w:t>上述理财资金投资本产品，</w:t>
      </w:r>
      <w:r>
        <w:rPr>
          <w:rFonts w:hint="eastAsia" w:ascii="黑体" w:hAnsi="黑体" w:eastAsia="黑体" w:cs="黑体"/>
          <w:bCs/>
          <w:sz w:val="18"/>
          <w:szCs w:val="18"/>
        </w:rPr>
        <w:t>投资者承诺由此产生的相关风险由投资者承担</w:t>
      </w:r>
      <w:r>
        <w:rPr>
          <w:rFonts w:ascii="黑体" w:hAnsi="黑体" w:eastAsia="黑体" w:cs="黑体"/>
          <w:bCs/>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w:t>
      </w:r>
      <w:r>
        <w:rPr>
          <w:rFonts w:hint="eastAsia" w:ascii="宋体" w:hAnsi="宋体"/>
          <w:sz w:val="18"/>
          <w:szCs w:val="18"/>
          <w:lang w:eastAsia="zh-CN"/>
        </w:rPr>
        <w:t>指</w:t>
      </w:r>
      <w:r>
        <w:rPr>
          <w:rFonts w:hint="eastAsia" w:ascii="宋体" w:hAnsi="宋体"/>
          <w:sz w:val="18"/>
          <w:szCs w:val="18"/>
        </w:rPr>
        <w:t>投资者在销售机构开立理财卡结算账户或存折结算账户，用于本产品的资金划转及产品分配</w:t>
      </w:r>
      <w:r>
        <w:rPr>
          <w:rFonts w:hint="eastAsia" w:ascii="宋体" w:hAnsi="宋体"/>
          <w:sz w:val="18"/>
          <w:szCs w:val="18"/>
          <w:lang w:eastAsia="zh-CN"/>
        </w:rPr>
        <w:t>，</w:t>
      </w:r>
      <w:r>
        <w:rPr>
          <w:rFonts w:hint="eastAsia" w:ascii="宋体" w:hAnsi="宋体"/>
          <w:sz w:val="18"/>
          <w:szCs w:val="18"/>
        </w:rPr>
        <w:t>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hint="default" w:ascii="宋体" w:hAnsi="宋体" w:eastAsia="宋体"/>
          <w:sz w:val="18"/>
          <w:szCs w:val="18"/>
          <w:lang w:val="en-US" w:eastAsia="zh-CN"/>
        </w:rPr>
      </w:pPr>
      <w:r>
        <w:rPr>
          <w:rFonts w:ascii="宋体" w:hAnsi="宋体"/>
          <w:sz w:val="18"/>
          <w:szCs w:val="18"/>
        </w:rPr>
        <w:t>12.</w:t>
      </w:r>
      <w:r>
        <w:rPr>
          <w:rFonts w:hint="eastAsia" w:ascii="宋体" w:hAnsi="宋体"/>
          <w:sz w:val="18"/>
          <w:szCs w:val="18"/>
          <w:lang w:val="en-US" w:eastAsia="zh-CN"/>
        </w:rPr>
        <w:t>投资者有权按照理财产品销售文件约定的时间和方式查阅或者复制披露的信息资料。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lang w:val="en-US" w:eastAsia="zh-CN"/>
        </w:rPr>
        <w:t>13.</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cs="黑体"/>
          <w:sz w:val="18"/>
          <w:szCs w:val="18"/>
        </w:rPr>
        <w:t>如因投资者未及时办理变更手续而造成产品管理人及</w:t>
      </w:r>
      <w:r>
        <w:rPr>
          <w:rFonts w:ascii="黑体" w:hAnsi="黑体" w:eastAsia="黑体" w:cs="黑体"/>
          <w:sz w:val="18"/>
          <w:szCs w:val="18"/>
        </w:rPr>
        <w:t>/或</w:t>
      </w:r>
      <w:r>
        <w:rPr>
          <w:rFonts w:hint="eastAsia" w:ascii="黑体" w:hAnsi="黑体" w:eastAsia="黑体" w:cs="黑体"/>
          <w:sz w:val="18"/>
          <w:szCs w:val="18"/>
        </w:rPr>
        <w:t>销售机构无法向投资者进行正常利益分配和资金清算分配</w:t>
      </w:r>
      <w:r>
        <w:rPr>
          <w:rFonts w:ascii="黑体" w:hAnsi="黑体" w:eastAsia="黑体" w:cs="黑体"/>
          <w:sz w:val="18"/>
          <w:szCs w:val="18"/>
        </w:rPr>
        <w:t>,</w:t>
      </w:r>
      <w:r>
        <w:rPr>
          <w:rFonts w:hint="eastAsia" w:ascii="黑体" w:hAnsi="黑体" w:eastAsia="黑体" w:cs="黑体"/>
          <w:sz w:val="18"/>
          <w:szCs w:val="18"/>
        </w:rPr>
        <w:t>由此导致投资者损失的由投资者自行承担</w:t>
      </w:r>
      <w:r>
        <w:rPr>
          <w:rFonts w:ascii="黑体" w:hAnsi="黑体" w:eastAsia="黑体" w:cs="黑体"/>
          <w:sz w:val="18"/>
          <w:szCs w:val="18"/>
        </w:rPr>
        <w:t xml:space="preserve">, </w:t>
      </w:r>
      <w:r>
        <w:rPr>
          <w:rFonts w:hint="eastAsia" w:ascii="黑体" w:hAnsi="黑体" w:eastAsia="黑体" w:cs="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lang w:val="en-US" w:eastAsia="zh-CN"/>
        </w:rPr>
        <w:t>8</w:t>
      </w:r>
      <w:r>
        <w:rPr>
          <w:rFonts w:ascii="宋体" w:hAnsi="宋体"/>
          <w:sz w:val="18"/>
          <w:szCs w:val="18"/>
        </w:rPr>
        <w:t>.</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lang w:val="en-US" w:eastAsia="zh-CN"/>
        </w:rPr>
        <w:t>9</w:t>
      </w:r>
      <w:r>
        <w:rPr>
          <w:rFonts w:ascii="宋体" w:hAnsi="宋体"/>
          <w:sz w:val="18"/>
          <w:szCs w:val="18"/>
        </w:rPr>
        <w:t>.</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lang w:val="en-US" w:eastAsia="zh-CN"/>
        </w:rPr>
        <w:t>0</w:t>
      </w:r>
      <w:r>
        <w:rPr>
          <w:rFonts w:ascii="宋体" w:hAnsi="宋体"/>
          <w:sz w:val="18"/>
          <w:szCs w:val="18"/>
        </w:rPr>
        <w:t>.</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hint="eastAsia" w:ascii="宋体" w:hAnsi="宋体"/>
          <w:sz w:val="18"/>
          <w:szCs w:val="18"/>
          <w:lang w:val="en-US" w:eastAsia="zh-CN"/>
        </w:rPr>
        <w:t>1</w:t>
      </w:r>
      <w:r>
        <w:rPr>
          <w:rFonts w:ascii="宋体" w:hAnsi="宋体"/>
          <w:sz w:val="18"/>
          <w:szCs w:val="18"/>
        </w:rPr>
        <w:t>.</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lang w:val="en-US" w:eastAsia="zh-CN"/>
        </w:rPr>
        <w:t>2</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hint="eastAsia" w:ascii="Times New Roman" w:eastAsia="宋体"/>
          <w:b w:val="0"/>
          <w:sz w:val="30"/>
          <w:lang w:eastAsia="zh-CN"/>
        </w:rPr>
      </w:pPr>
      <w:bookmarkStart w:id="46" w:name="_Toc230814324"/>
      <w:bookmarkStart w:id="47" w:name="_Toc233456272"/>
      <w:bookmarkStart w:id="48" w:name="_Toc258829400"/>
      <w:r>
        <w:rPr>
          <w:rFonts w:hint="eastAsia" w:ascii="Times New Roman"/>
          <w:color w:val="auto"/>
          <w:sz w:val="30"/>
        </w:rPr>
        <w:t>第</w:t>
      </w:r>
      <w:r>
        <w:rPr>
          <w:rFonts w:hint="eastAsia" w:ascii="Times New Roman"/>
          <w:color w:val="auto"/>
          <w:sz w:val="30"/>
          <w:lang w:eastAsia="zh-CN"/>
        </w:rPr>
        <w:t>三</w:t>
      </w:r>
      <w:r>
        <w:rPr>
          <w:rFonts w:hint="eastAsia" w:ascii="Times New Roman"/>
          <w:color w:val="auto"/>
          <w:sz w:val="30"/>
        </w:rPr>
        <w:t>条</w:t>
      </w:r>
      <w:r>
        <w:rPr>
          <w:rFonts w:ascii="Times New Roman"/>
          <w:color w:val="auto"/>
          <w:sz w:val="30"/>
        </w:rPr>
        <w:t xml:space="preserve">  </w:t>
      </w:r>
      <w:r>
        <w:rPr>
          <w:rFonts w:hint="eastAsia" w:ascii="Times New Roman"/>
          <w:color w:val="auto"/>
          <w:sz w:val="30"/>
        </w:rPr>
        <w:t>违约责任</w:t>
      </w:r>
      <w:r>
        <w:rPr>
          <w:rFonts w:hint="eastAsia" w:ascii="Times New Roman"/>
          <w:color w:val="auto"/>
          <w:sz w:val="30"/>
          <w:lang w:eastAsia="zh-CN"/>
        </w:rPr>
        <w:t>与免责条款</w:t>
      </w:r>
      <w:bookmarkEnd w:id="46"/>
    </w:p>
    <w:p>
      <w:pPr>
        <w:autoSpaceDE w:val="0"/>
        <w:autoSpaceDN w:val="0"/>
        <w:adjustRightInd w:val="0"/>
        <w:snapToGrid w:val="0"/>
        <w:spacing w:line="360" w:lineRule="auto"/>
        <w:ind w:firstLine="360" w:firstLineChars="200"/>
        <w:rPr>
          <w:rFonts w:hint="eastAsia" w:ascii="黑体" w:hAnsi="黑体" w:eastAsia="黑体" w:cs="黑体"/>
          <w:kern w:val="0"/>
          <w:sz w:val="18"/>
          <w:szCs w:val="18"/>
        </w:rPr>
      </w:pPr>
      <w:r>
        <w:rPr>
          <w:rFonts w:hint="eastAsia" w:ascii="黑体" w:hAnsi="黑体" w:eastAsia="黑体" w:cs="黑体"/>
          <w:kern w:val="0"/>
          <w:sz w:val="18"/>
          <w:szCs w:val="18"/>
        </w:rPr>
        <w:t>（一）</w:t>
      </w:r>
      <w:r>
        <w:rPr>
          <w:rFonts w:hint="eastAsia" w:ascii="黑体" w:hAnsi="黑体" w:eastAsia="黑体" w:cs="黑体"/>
          <w:kern w:val="0"/>
          <w:sz w:val="18"/>
          <w:szCs w:val="18"/>
          <w:lang w:eastAsia="zh-CN"/>
        </w:rPr>
        <w:t>违约责任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黑体" w:hAnsi="黑体" w:eastAsia="黑体" w:cs="黑体"/>
          <w:kern w:val="0"/>
          <w:sz w:val="18"/>
          <w:szCs w:val="18"/>
          <w:lang w:eastAsia="zh-CN"/>
        </w:rPr>
        <w:t>除法律法规、监管规定另有要求或双方另有约定外，任何一方违反本协议约定的，应承担违约责任</w:t>
      </w:r>
      <w:r>
        <w:rPr>
          <w:rFonts w:hint="eastAsia" w:ascii="黑体" w:hAnsi="黑体" w:eastAsia="黑体" w:cs="黑体"/>
          <w:kern w:val="0"/>
          <w:sz w:val="18"/>
          <w:szCs w:val="18"/>
        </w:rPr>
        <w:t>。</w:t>
      </w:r>
    </w:p>
    <w:p>
      <w:pPr>
        <w:autoSpaceDE w:val="0"/>
        <w:autoSpaceDN w:val="0"/>
        <w:adjustRightInd w:val="0"/>
        <w:snapToGrid w:val="0"/>
        <w:spacing w:line="360" w:lineRule="auto"/>
        <w:ind w:firstLine="360" w:firstLineChars="200"/>
        <w:rPr>
          <w:rFonts w:hint="eastAsia" w:ascii="黑体" w:hAnsi="黑体" w:eastAsia="黑体" w:cs="黑体"/>
          <w:kern w:val="0"/>
          <w:sz w:val="18"/>
          <w:szCs w:val="18"/>
          <w:lang w:eastAsia="zh-CN"/>
        </w:rPr>
      </w:pPr>
      <w:r>
        <w:rPr>
          <w:rFonts w:hint="eastAsia" w:ascii="黑体" w:hAnsi="黑体" w:eastAsia="黑体" w:cs="黑体"/>
          <w:kern w:val="0"/>
          <w:sz w:val="18"/>
          <w:szCs w:val="18"/>
        </w:rPr>
        <w:t>（二）</w:t>
      </w:r>
      <w:r>
        <w:rPr>
          <w:rFonts w:hint="eastAsia" w:ascii="黑体" w:hAnsi="黑体" w:eastAsia="黑体" w:cs="仿宋_GB2312"/>
          <w:bCs/>
          <w:kern w:val="0"/>
          <w:sz w:val="18"/>
          <w:szCs w:val="18"/>
        </w:rPr>
        <w:t>★</w:t>
      </w:r>
      <w:r>
        <w:rPr>
          <w:rFonts w:hint="eastAsia" w:ascii="黑体" w:hAnsi="黑体" w:eastAsia="黑体" w:cs="黑体"/>
          <w:kern w:val="0"/>
          <w:sz w:val="18"/>
          <w:szCs w:val="18"/>
          <w:lang w:eastAsia="zh-CN"/>
        </w:rPr>
        <w:t>免责条款</w:t>
      </w:r>
    </w:p>
    <w:p>
      <w:pPr>
        <w:autoSpaceDE w:val="0"/>
        <w:autoSpaceDN w:val="0"/>
        <w:adjustRightInd w:val="0"/>
        <w:snapToGrid w:val="0"/>
        <w:spacing w:line="360" w:lineRule="auto"/>
        <w:ind w:firstLine="360" w:firstLineChars="200"/>
        <w:rPr>
          <w:rFonts w:hint="eastAsia" w:ascii="黑体" w:hAnsi="黑体" w:eastAsia="黑体" w:cs="黑体"/>
          <w:kern w:val="0"/>
          <w:sz w:val="18"/>
          <w:szCs w:val="18"/>
        </w:rPr>
      </w:pPr>
      <w:r>
        <w:rPr>
          <w:rFonts w:hint="eastAsia" w:ascii="黑体" w:hAnsi="黑体" w:eastAsia="黑体" w:cs="黑体"/>
          <w:kern w:val="0"/>
          <w:sz w:val="18"/>
          <w:szCs w:val="18"/>
        </w:rPr>
        <w:t>1.对由于国家有关法律、法规、规章、政策的变化，监管机构管理规则的修改、紧急措施的出台等原因而导致的相关风险及损失，双方当事人互不承担责任；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hint="eastAsia" w:ascii="黑体" w:hAnsi="黑体" w:eastAsia="黑体" w:cs="黑体"/>
          <w:kern w:val="0"/>
          <w:sz w:val="18"/>
          <w:szCs w:val="18"/>
        </w:rPr>
      </w:pPr>
      <w:r>
        <w:rPr>
          <w:rFonts w:hint="eastAsia" w:ascii="黑体" w:hAnsi="黑体" w:eastAsia="黑体" w:cs="黑体"/>
          <w:kern w:val="0"/>
          <w:sz w:val="18"/>
          <w:szCs w:val="18"/>
        </w:rPr>
        <w:t>2.本协议书中涉及的相关到期日或分配日如遇节假日，将顺延至下一个工作日，由此产生的风险及损失双方当事人互不承担责任；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hint="eastAsia" w:ascii="黑体" w:hAnsi="黑体" w:eastAsia="黑体" w:cs="黑体"/>
          <w:kern w:val="0"/>
          <w:sz w:val="18"/>
          <w:szCs w:val="18"/>
        </w:rPr>
      </w:pPr>
      <w:r>
        <w:rPr>
          <w:rFonts w:hint="eastAsia" w:ascii="黑体" w:hAnsi="黑体" w:eastAsia="黑体" w:cs="黑体"/>
          <w:kern w:val="0"/>
          <w:sz w:val="18"/>
          <w:szCs w:val="18"/>
          <w:lang w:val="en-US" w:eastAsia="zh-CN"/>
        </w:rPr>
        <w:t>3.</w:t>
      </w:r>
      <w:r>
        <w:rPr>
          <w:rFonts w:hint="eastAsia" w:ascii="黑体" w:hAnsi="黑体" w:eastAsia="黑体" w:cs="黑体"/>
          <w:kern w:val="0"/>
          <w:sz w:val="18"/>
          <w:szCs w:val="18"/>
        </w:rPr>
        <w:t>对由不可抗力</w:t>
      </w:r>
      <w:r>
        <w:rPr>
          <w:rFonts w:hint="eastAsia" w:ascii="黑体" w:hAnsi="黑体" w:eastAsia="黑体" w:cs="黑体"/>
          <w:kern w:val="0"/>
          <w:sz w:val="18"/>
          <w:szCs w:val="18"/>
          <w:lang w:eastAsia="zh-CN"/>
        </w:rPr>
        <w:t>及</w:t>
      </w:r>
      <w:r>
        <w:rPr>
          <w:rFonts w:hint="eastAsia" w:ascii="黑体" w:hAnsi="黑体" w:eastAsia="黑体" w:cs="黑体"/>
          <w:kern w:val="0"/>
          <w:sz w:val="18"/>
          <w:szCs w:val="18"/>
          <w:lang w:val="en-US" w:eastAsia="zh-CN"/>
        </w:rPr>
        <w:t>/或非管理人所引起或所能控制的系统故障等</w:t>
      </w:r>
      <w:r>
        <w:rPr>
          <w:rFonts w:hint="eastAsia" w:ascii="黑体" w:hAnsi="黑体" w:eastAsia="黑体" w:cs="黑体"/>
          <w:kern w:val="0"/>
          <w:sz w:val="18"/>
          <w:szCs w:val="18"/>
        </w:rPr>
        <w:t>导致的交易中断、延误及由此造成的损失，产品管理人不承担相应责任，但</w:t>
      </w:r>
      <w:r>
        <w:rPr>
          <w:rFonts w:hint="eastAsia" w:ascii="黑体" w:hAnsi="黑体" w:eastAsia="黑体" w:cs="黑体"/>
          <w:kern w:val="0"/>
          <w:sz w:val="18"/>
          <w:szCs w:val="18"/>
          <w:lang w:eastAsia="zh-CN"/>
        </w:rPr>
        <w:t>不免除因</w:t>
      </w:r>
      <w:r>
        <w:rPr>
          <w:rFonts w:hint="eastAsia" w:ascii="黑体" w:hAnsi="黑体" w:eastAsia="黑体" w:cs="黑体"/>
          <w:kern w:val="0"/>
          <w:sz w:val="18"/>
          <w:szCs w:val="18"/>
        </w:rPr>
        <w:t>产品管理人</w:t>
      </w:r>
      <w:r>
        <w:rPr>
          <w:rFonts w:hint="eastAsia" w:ascii="黑体" w:hAnsi="黑体" w:eastAsia="黑体" w:cs="黑体"/>
          <w:kern w:val="0"/>
          <w:sz w:val="18"/>
          <w:szCs w:val="18"/>
          <w:lang w:eastAsia="zh-CN"/>
        </w:rPr>
        <w:t>过错</w:t>
      </w:r>
      <w:r>
        <w:rPr>
          <w:rFonts w:hint="eastAsia" w:ascii="黑体" w:hAnsi="黑体" w:eastAsia="黑体" w:cs="黑体"/>
          <w:kern w:val="0"/>
          <w:sz w:val="18"/>
          <w:szCs w:val="18"/>
        </w:rPr>
        <w:t>造成的系统故障</w:t>
      </w:r>
      <w:r>
        <w:rPr>
          <w:rFonts w:hint="eastAsia" w:ascii="黑体" w:hAnsi="黑体" w:eastAsia="黑体" w:cs="黑体"/>
          <w:kern w:val="0"/>
          <w:sz w:val="18"/>
          <w:szCs w:val="18"/>
          <w:lang w:eastAsia="zh-CN"/>
        </w:rPr>
        <w:t>责任</w:t>
      </w:r>
      <w:r>
        <w:rPr>
          <w:rFonts w:hint="eastAsia" w:ascii="黑体" w:hAnsi="黑体" w:eastAsia="黑体" w:cs="黑体"/>
          <w:kern w:val="0"/>
          <w:sz w:val="18"/>
          <w:szCs w:val="18"/>
        </w:rPr>
        <w:t>，产品管理人应在条件允许的情况下，采取必要的补救措施以减少不可抗力造成的损失。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w:t>
      </w:r>
    </w:p>
    <w:p>
      <w:pPr>
        <w:autoSpaceDE w:val="0"/>
        <w:autoSpaceDN w:val="0"/>
        <w:adjustRightInd w:val="0"/>
        <w:snapToGrid w:val="0"/>
        <w:spacing w:line="360" w:lineRule="auto"/>
        <w:ind w:firstLine="360" w:firstLineChars="200"/>
        <w:rPr>
          <w:rFonts w:hint="eastAsia" w:ascii="黑体" w:hAnsi="黑体" w:eastAsia="黑体" w:cs="仿宋_GB2312"/>
          <w:kern w:val="0"/>
          <w:sz w:val="18"/>
          <w:szCs w:val="18"/>
        </w:rPr>
      </w:pP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49" w:name="_Toc1719499651"/>
      <w:r>
        <w:rPr>
          <w:rFonts w:hint="eastAsia" w:ascii="Times New Roman"/>
          <w:color w:val="auto"/>
          <w:sz w:val="30"/>
        </w:rPr>
        <w:t>第</w:t>
      </w:r>
      <w:r>
        <w:rPr>
          <w:rFonts w:hint="eastAsia" w:ascii="Times New Roman"/>
          <w:color w:val="auto"/>
          <w:sz w:val="30"/>
          <w:lang w:eastAsia="zh-CN"/>
        </w:rPr>
        <w:t>四</w:t>
      </w:r>
      <w:r>
        <w:rPr>
          <w:rFonts w:hint="eastAsia" w:ascii="Times New Roman"/>
          <w:color w:val="auto"/>
          <w:sz w:val="30"/>
        </w:rPr>
        <w:t>条</w:t>
      </w:r>
      <w:r>
        <w:rPr>
          <w:rFonts w:ascii="Times New Roman"/>
          <w:color w:val="auto"/>
          <w:sz w:val="30"/>
        </w:rPr>
        <w:t xml:space="preserve">  法律适用和争议解决</w:t>
      </w:r>
      <w:bookmarkEnd w:id="49"/>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50" w:name="_Toc840363295"/>
      <w:r>
        <w:rPr>
          <w:rFonts w:hint="eastAsia" w:ascii="Times New Roman"/>
          <w:color w:val="auto"/>
          <w:sz w:val="30"/>
        </w:rPr>
        <w:t>第</w:t>
      </w:r>
      <w:r>
        <w:rPr>
          <w:rFonts w:hint="eastAsia" w:ascii="Times New Roman"/>
          <w:color w:val="auto"/>
          <w:sz w:val="30"/>
          <w:lang w:eastAsia="zh-CN"/>
        </w:rPr>
        <w:t>五</w:t>
      </w:r>
      <w:r>
        <w:rPr>
          <w:rFonts w:hint="eastAsia" w:ascii="Times New Roman"/>
          <w:color w:val="auto"/>
          <w:sz w:val="30"/>
        </w:rPr>
        <w:t xml:space="preserve">条 </w:t>
      </w:r>
      <w:r>
        <w:rPr>
          <w:rFonts w:ascii="Times New Roman"/>
          <w:color w:val="auto"/>
          <w:sz w:val="30"/>
        </w:rPr>
        <w:t xml:space="preserve"> 协议的签署和</w:t>
      </w:r>
      <w:r>
        <w:rPr>
          <w:rFonts w:hint="eastAsia" w:ascii="Times New Roman"/>
          <w:color w:val="auto"/>
          <w:sz w:val="30"/>
        </w:rPr>
        <w:t>效力</w:t>
      </w:r>
      <w:bookmarkEnd w:id="50"/>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本协议自投资者在系统中点击确认则视为签署。投资者认可线上点击确认具有与书面签署同等的法律效力。</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hint="eastAsia"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autoSpaceDE w:val="0"/>
        <w:autoSpaceDN w:val="0"/>
        <w:adjustRightInd w:val="0"/>
        <w:snapToGrid w:val="0"/>
        <w:spacing w:line="360" w:lineRule="auto"/>
        <w:ind w:firstLine="360" w:firstLineChars="200"/>
        <w:rPr>
          <w:rFonts w:hint="eastAsia" w:ascii="黑体" w:hAnsi="黑体" w:eastAsia="黑体" w:cs="仿宋_GB2312"/>
          <w:kern w:val="0"/>
          <w:sz w:val="18"/>
          <w:szCs w:val="18"/>
        </w:rPr>
      </w:pPr>
      <w:r>
        <w:rPr>
          <w:rFonts w:hint="eastAsia" w:ascii="黑体" w:hAnsi="黑体" w:eastAsia="黑体" w:cs="仿宋_GB2312"/>
          <w:kern w:val="0"/>
          <w:sz w:val="18"/>
          <w:szCs w:val="18"/>
        </w:rPr>
        <w:t>5.本协议的终止</w:t>
      </w:r>
    </w:p>
    <w:p>
      <w:pPr>
        <w:autoSpaceDE w:val="0"/>
        <w:autoSpaceDN w:val="0"/>
        <w:adjustRightInd w:val="0"/>
        <w:snapToGrid w:val="0"/>
        <w:spacing w:line="360" w:lineRule="auto"/>
        <w:ind w:firstLine="360" w:firstLineChars="200"/>
        <w:rPr>
          <w:rFonts w:hint="eastAsia" w:ascii="黑体" w:hAnsi="黑体" w:eastAsia="黑体" w:cs="仿宋_GB2312"/>
          <w:kern w:val="0"/>
          <w:sz w:val="18"/>
          <w:szCs w:val="18"/>
        </w:rPr>
      </w:pPr>
      <w:r>
        <w:rPr>
          <w:rFonts w:hint="eastAsia" w:ascii="黑体" w:hAnsi="黑体" w:eastAsia="黑体" w:cs="仿宋_GB2312"/>
          <w:kern w:val="0"/>
          <w:sz w:val="18"/>
          <w:szCs w:val="18"/>
        </w:rPr>
        <w:t>（1）</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产品管理人或销售机构发现或有合理理由怀疑投资者或其资金存在洗钱、欺诈、恐怖融资、逃税等嫌疑</w:t>
      </w:r>
      <w:r>
        <w:rPr>
          <w:rFonts w:hint="eastAsia" w:ascii="黑体" w:hAnsi="黑体" w:eastAsia="黑体" w:cs="仿宋_GB2312"/>
          <w:kern w:val="0"/>
          <w:sz w:val="18"/>
          <w:szCs w:val="18"/>
          <w:lang w:eastAsia="zh-CN"/>
        </w:rPr>
        <w:t>或</w:t>
      </w:r>
      <w:r>
        <w:rPr>
          <w:rFonts w:hint="eastAsia" w:ascii="黑体" w:hAnsi="黑体" w:eastAsia="黑体" w:cs="仿宋_GB2312"/>
          <w:kern w:val="0"/>
          <w:sz w:val="18"/>
          <w:szCs w:val="18"/>
        </w:rPr>
        <w:t>投资者违反本协议所做的声明和保证</w:t>
      </w:r>
      <w:r>
        <w:rPr>
          <w:rFonts w:hint="eastAsia" w:ascii="黑体" w:hAnsi="黑体" w:eastAsia="黑体" w:cs="仿宋_GB2312"/>
          <w:kern w:val="0"/>
          <w:sz w:val="18"/>
          <w:szCs w:val="18"/>
          <w:lang w:eastAsia="zh-CN"/>
        </w:rPr>
        <w:t>或存在其他</w:t>
      </w:r>
      <w:r>
        <w:rPr>
          <w:rFonts w:hint="eastAsia" w:ascii="黑体" w:hAnsi="黑体" w:eastAsia="黑体" w:cs="仿宋_GB2312"/>
          <w:kern w:val="0"/>
          <w:sz w:val="18"/>
          <w:szCs w:val="18"/>
        </w:rPr>
        <w:t>违约行为或交易资金被国家有权机关采取保全措施时，产品管理人有权提前终止本协议</w:t>
      </w:r>
      <w:r>
        <w:rPr>
          <w:rFonts w:hint="eastAsia" w:ascii="黑体" w:hAnsi="黑体" w:eastAsia="黑体" w:cs="仿宋_GB2312"/>
          <w:kern w:val="0"/>
          <w:sz w:val="18"/>
          <w:szCs w:val="18"/>
          <w:lang w:eastAsia="zh-CN"/>
        </w:rPr>
        <w:t>，且不因此而承担责任</w:t>
      </w:r>
      <w:r>
        <w:rPr>
          <w:rFonts w:hint="eastAsia" w:ascii="黑体" w:hAnsi="黑体" w:eastAsia="黑体" w:cs="仿宋_GB2312"/>
          <w:kern w:val="0"/>
          <w:sz w:val="18"/>
          <w:szCs w:val="18"/>
        </w:rPr>
        <w:t>；</w:t>
      </w:r>
    </w:p>
    <w:p>
      <w:pPr>
        <w:autoSpaceDE w:val="0"/>
        <w:autoSpaceDN w:val="0"/>
        <w:adjustRightInd w:val="0"/>
        <w:snapToGrid w:val="0"/>
        <w:spacing w:line="360" w:lineRule="auto"/>
        <w:ind w:firstLine="360" w:firstLineChars="200"/>
        <w:rPr>
          <w:rFonts w:hint="eastAsia" w:ascii="黑体" w:hAnsi="黑体" w:eastAsia="黑体" w:cs="仿宋_GB2312"/>
          <w:kern w:val="0"/>
          <w:sz w:val="18"/>
          <w:szCs w:val="18"/>
        </w:rPr>
      </w:pPr>
      <w:r>
        <w:rPr>
          <w:rFonts w:hint="eastAsia" w:ascii="黑体" w:hAnsi="黑体" w:eastAsia="黑体" w:cs="仿宋_GB2312"/>
          <w:kern w:val="0"/>
          <w:sz w:val="18"/>
          <w:szCs w:val="18"/>
        </w:rPr>
        <w:t>（2）产品管理人宣布产品不成立、或理财产品终止并完成清算分配后，本协议自动终止；</w:t>
      </w:r>
    </w:p>
    <w:p>
      <w:pPr>
        <w:autoSpaceDE w:val="0"/>
        <w:autoSpaceDN w:val="0"/>
        <w:adjustRightInd w:val="0"/>
        <w:snapToGrid w:val="0"/>
        <w:spacing w:line="360" w:lineRule="auto"/>
        <w:ind w:firstLine="360" w:firstLineChars="200"/>
        <w:rPr>
          <w:rFonts w:hint="eastAsia" w:ascii="黑体" w:hAnsi="黑体" w:eastAsia="黑体" w:cs="仿宋_GB2312"/>
          <w:kern w:val="0"/>
          <w:sz w:val="18"/>
          <w:szCs w:val="18"/>
        </w:rPr>
      </w:pPr>
      <w:r>
        <w:rPr>
          <w:rFonts w:hint="eastAsia" w:ascii="黑体" w:hAnsi="黑体" w:eastAsia="黑体" w:cs="仿宋_GB2312"/>
          <w:kern w:val="0"/>
          <w:sz w:val="18"/>
          <w:szCs w:val="18"/>
        </w:rPr>
        <w:t>（3）本协议及《产品说明书》等销售文件项下各方权利义务履行完毕之日，本协议自动终止。</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3" w:name="_GoBack"/>
      <w:bookmarkEnd w:id="53"/>
      <w:bookmarkStart w:id="51" w:name="_Toc1745651480"/>
      <w:bookmarkStart w:id="52" w:name="_Toc77953869"/>
      <w:r>
        <w:rPr>
          <w:rFonts w:hint="eastAsia" w:ascii="Times New Roman"/>
          <w:color w:val="auto"/>
          <w:sz w:val="30"/>
        </w:rPr>
        <w:t>第</w:t>
      </w:r>
      <w:r>
        <w:rPr>
          <w:rFonts w:hint="eastAsia" w:ascii="Times New Roman"/>
          <w:color w:val="auto"/>
          <w:sz w:val="30"/>
          <w:lang w:eastAsia="zh-CN"/>
        </w:rPr>
        <w:t>六</w:t>
      </w:r>
      <w:r>
        <w:rPr>
          <w:rFonts w:hint="eastAsia" w:ascii="Times New Roman"/>
          <w:color w:val="auto"/>
          <w:sz w:val="30"/>
        </w:rPr>
        <w:t xml:space="preserve">条 </w:t>
      </w:r>
      <w:r>
        <w:rPr>
          <w:rFonts w:ascii="Times New Roman"/>
          <w:color w:val="auto"/>
          <w:sz w:val="30"/>
        </w:rPr>
        <w:t xml:space="preserve"> </w:t>
      </w:r>
      <w:r>
        <w:rPr>
          <w:rFonts w:hint="eastAsia" w:ascii="Times New Roman"/>
          <w:color w:val="auto"/>
          <w:sz w:val="30"/>
        </w:rPr>
        <w:t>消费者权益保护</w:t>
      </w:r>
      <w:bookmarkEnd w:id="51"/>
      <w:bookmarkEnd w:id="52"/>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hint="eastAsia" w:ascii="黑体" w:hAnsi="黑体" w:eastAsia="黑体"/>
          <w:sz w:val="18"/>
          <w:szCs w:val="18"/>
        </w:rPr>
      </w:pPr>
      <w:r>
        <w:rPr>
          <w:rFonts w:hint="eastAsia" w:ascii="黑体" w:hAnsi="黑体" w:eastAsia="黑体"/>
          <w:sz w:val="18"/>
          <w:szCs w:val="18"/>
        </w:rPr>
        <w:t>（一）投诉程序</w:t>
      </w:r>
    </w:p>
    <w:p>
      <w:pPr>
        <w:tabs>
          <w:tab w:val="left" w:pos="704"/>
          <w:tab w:val="left" w:pos="1995"/>
        </w:tabs>
        <w:autoSpaceDE w:val="0"/>
        <w:autoSpaceDN w:val="0"/>
        <w:adjustRightInd w:val="0"/>
        <w:snapToGrid w:val="0"/>
        <w:spacing w:line="360" w:lineRule="auto"/>
        <w:ind w:firstLine="360" w:firstLineChars="200"/>
        <w:rPr>
          <w:rFonts w:hint="eastAsia" w:ascii="黑体" w:hAnsi="黑体" w:eastAsia="黑体"/>
          <w:sz w:val="18"/>
          <w:szCs w:val="18"/>
        </w:rPr>
      </w:pPr>
      <w:r>
        <w:rPr>
          <w:rFonts w:hint="eastAsia" w:ascii="黑体" w:hAnsi="黑体" w:eastAsia="黑体"/>
          <w:sz w:val="18"/>
          <w:szCs w:val="18"/>
        </w:rPr>
        <w:t>您对本产品有任何意见或异议，可通过相应的投诉方式向产品管理人或销售机构反馈，产品管理人或销售机构将由专人接听、接收、记录您的意见或建议，调查核实投诉事项，并按照监管规定结合投资者诉求及时告知客户投</w:t>
      </w:r>
      <w:r>
        <w:rPr>
          <w:rFonts w:hint="eastAsia" w:ascii="黑体" w:hAnsi="黑体" w:eastAsia="黑体"/>
          <w:sz w:val="18"/>
          <w:szCs w:val="18"/>
          <w:lang w:eastAsia="zh-CN"/>
        </w:rPr>
        <w:t>诉</w:t>
      </w:r>
      <w:r>
        <w:rPr>
          <w:rFonts w:hint="eastAsia" w:ascii="黑体" w:hAnsi="黑体" w:eastAsia="黑体"/>
          <w:sz w:val="18"/>
          <w:szCs w:val="18"/>
        </w:rPr>
        <w:t>处理决定。如对投诉处理结果有异议，可通过申请核查、调解、诉讼等途径解决纠纷。</w:t>
      </w:r>
    </w:p>
    <w:p>
      <w:pPr>
        <w:tabs>
          <w:tab w:val="left" w:pos="704"/>
          <w:tab w:val="left" w:pos="1995"/>
        </w:tabs>
        <w:autoSpaceDE w:val="0"/>
        <w:autoSpaceDN w:val="0"/>
        <w:adjustRightInd w:val="0"/>
        <w:snapToGrid w:val="0"/>
        <w:spacing w:line="360" w:lineRule="auto"/>
        <w:ind w:firstLine="360" w:firstLineChars="200"/>
        <w:rPr>
          <w:rFonts w:hint="eastAsia" w:ascii="黑体" w:hAnsi="黑体" w:eastAsia="黑体"/>
          <w:sz w:val="18"/>
          <w:szCs w:val="18"/>
        </w:rPr>
      </w:pPr>
      <w:r>
        <w:rPr>
          <w:rFonts w:hint="eastAsia" w:ascii="黑体" w:hAnsi="黑体" w:eastAsia="黑体"/>
          <w:sz w:val="18"/>
          <w:szCs w:val="18"/>
        </w:rPr>
        <w:t xml:space="preserve">（二）产品管理人联络及投诉方式 </w:t>
      </w:r>
    </w:p>
    <w:p>
      <w:pPr>
        <w:tabs>
          <w:tab w:val="left" w:pos="704"/>
          <w:tab w:val="left" w:pos="1995"/>
        </w:tabs>
        <w:autoSpaceDE w:val="0"/>
        <w:autoSpaceDN w:val="0"/>
        <w:adjustRightInd w:val="0"/>
        <w:snapToGrid w:val="0"/>
        <w:spacing w:line="360" w:lineRule="auto"/>
        <w:ind w:firstLine="360" w:firstLineChars="200"/>
        <w:rPr>
          <w:rFonts w:hint="eastAsia" w:ascii="黑体" w:hAnsi="黑体" w:eastAsia="黑体"/>
          <w:sz w:val="18"/>
          <w:szCs w:val="18"/>
        </w:rPr>
      </w:pPr>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hint="eastAsia" w:ascii="黑体" w:hAnsi="黑体" w:eastAsia="黑体"/>
          <w:sz w:val="18"/>
          <w:szCs w:val="18"/>
          <w:lang w:eastAsia="zh-CN"/>
        </w:rPr>
      </w:pPr>
      <w:r>
        <w:rPr>
          <w:rFonts w:hint="eastAsia" w:ascii="黑体" w:hAnsi="黑体" w:eastAsia="黑体"/>
          <w:sz w:val="18"/>
          <w:szCs w:val="18"/>
        </w:rPr>
        <w:t>门户网站：www.cibwm.com.cn</w:t>
      </w:r>
      <w:r>
        <w:rPr>
          <w:rFonts w:hint="eastAsia" w:ascii="黑体" w:hAnsi="黑体" w:eastAsia="黑体"/>
          <w:sz w:val="18"/>
          <w:szCs w:val="18"/>
          <w:lang w:eastAsia="zh-CN"/>
        </w:rPr>
        <w:t>；</w:t>
      </w:r>
    </w:p>
    <w:p>
      <w:pPr>
        <w:tabs>
          <w:tab w:val="left" w:pos="704"/>
          <w:tab w:val="left" w:pos="1995"/>
        </w:tabs>
        <w:autoSpaceDE w:val="0"/>
        <w:autoSpaceDN w:val="0"/>
        <w:adjustRightInd w:val="0"/>
        <w:snapToGrid w:val="0"/>
        <w:spacing w:line="360" w:lineRule="auto"/>
        <w:ind w:firstLine="360" w:firstLineChars="200"/>
        <w:rPr>
          <w:rFonts w:hint="eastAsia" w:ascii="黑体" w:hAnsi="黑体" w:eastAsia="黑体"/>
          <w:sz w:val="18"/>
          <w:szCs w:val="18"/>
          <w:lang w:eastAsia="zh-CN"/>
        </w:rPr>
      </w:pPr>
      <w:r>
        <w:rPr>
          <w:rFonts w:hint="eastAsia" w:ascii="黑体" w:hAnsi="黑体" w:eastAsia="黑体"/>
          <w:sz w:val="18"/>
          <w:szCs w:val="18"/>
        </w:rPr>
        <w:t>客户服务与投诉热线：40015-95561（工作日9：00-17：00）</w:t>
      </w:r>
      <w:r>
        <w:rPr>
          <w:rFonts w:hint="eastAsia" w:ascii="黑体" w:hAnsi="黑体" w:eastAsia="黑体"/>
          <w:sz w:val="18"/>
          <w:szCs w:val="18"/>
          <w:lang w:eastAsia="zh-CN"/>
        </w:rPr>
        <w:t>；</w:t>
      </w:r>
    </w:p>
    <w:p>
      <w:pPr>
        <w:tabs>
          <w:tab w:val="left" w:pos="704"/>
          <w:tab w:val="left" w:pos="1995"/>
        </w:tabs>
        <w:autoSpaceDE w:val="0"/>
        <w:autoSpaceDN w:val="0"/>
        <w:adjustRightInd w:val="0"/>
        <w:snapToGrid w:val="0"/>
        <w:spacing w:line="360" w:lineRule="auto"/>
        <w:ind w:firstLine="360" w:firstLineChars="200"/>
        <w:rPr>
          <w:rFonts w:hint="eastAsia" w:ascii="黑体" w:hAnsi="黑体" w:eastAsia="黑体"/>
          <w:sz w:val="18"/>
          <w:szCs w:val="18"/>
          <w:lang w:eastAsia="zh-CN"/>
        </w:rPr>
      </w:pPr>
      <w:r>
        <w:rPr>
          <w:rFonts w:hint="eastAsia" w:ascii="黑体" w:hAnsi="黑体" w:eastAsia="黑体"/>
          <w:sz w:val="18"/>
          <w:szCs w:val="18"/>
        </w:rPr>
        <w:t>客户投诉受理邮箱：xylcts@cibwm.com.cn</w:t>
      </w:r>
      <w:r>
        <w:rPr>
          <w:rFonts w:hint="eastAsia" w:ascii="黑体" w:hAnsi="黑体" w:eastAsia="黑体"/>
          <w:sz w:val="18"/>
          <w:szCs w:val="18"/>
          <w:lang w:eastAsia="zh-CN"/>
        </w:rPr>
        <w:t>。</w:t>
      </w:r>
    </w:p>
    <w:p>
      <w:pPr>
        <w:tabs>
          <w:tab w:val="left" w:pos="704"/>
          <w:tab w:val="left" w:pos="1995"/>
        </w:tabs>
        <w:autoSpaceDE w:val="0"/>
        <w:autoSpaceDN w:val="0"/>
        <w:adjustRightInd w:val="0"/>
        <w:snapToGrid w:val="0"/>
        <w:spacing w:line="360" w:lineRule="auto"/>
        <w:ind w:firstLine="360" w:firstLineChars="200"/>
        <w:rPr>
          <w:rFonts w:hint="eastAsia"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hint="eastAsia" w:ascii="黑体" w:hAnsi="黑体" w:eastAsia="黑体"/>
          <w:sz w:val="18"/>
          <w:szCs w:val="18"/>
        </w:rPr>
      </w:pPr>
      <w:r>
        <w:rPr>
          <w:rFonts w:hint="eastAsia" w:ascii="黑体" w:hAnsi="黑体" w:eastAsia="黑体"/>
          <w:sz w:val="18"/>
          <w:szCs w:val="18"/>
        </w:rPr>
        <w:t xml:space="preserve">销售机构的联络及投诉方式，具体以《（代理）销售协议书》《投资者权益须知》等销售文件的内容为准。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47"/>
    <w:bookmarkEnd w:id="48"/>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permStart w:id="9" w:edGrp="everyone"/>
            <w:r>
              <w:rPr>
                <w:rFonts w:hint="eastAsia" w:ascii="宋体" w:hAnsi="宋体" w:cs="宋体"/>
                <w:bCs/>
                <w:sz w:val="18"/>
                <w:szCs w:val="18"/>
              </w:rPr>
              <w:t>【】</w:t>
            </w:r>
            <w:permEnd w:id="9"/>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permStart w:id="10" w:edGrp="everyone"/>
            <w:r>
              <w:rPr>
                <w:rFonts w:hint="eastAsia" w:ascii="宋体" w:hAnsi="宋体" w:cs="宋体"/>
                <w:bCs/>
                <w:sz w:val="18"/>
                <w:szCs w:val="18"/>
              </w:rPr>
              <w:t>【】类</w:t>
            </w:r>
            <w:r>
              <w:rPr>
                <w:rFonts w:ascii="宋体" w:hAnsi="宋体" w:cs="宋体"/>
                <w:bCs/>
                <w:sz w:val="18"/>
                <w:szCs w:val="18"/>
              </w:rPr>
              <w:t>份额</w:t>
            </w:r>
            <w:permEnd w:id="10"/>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11"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12"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1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13"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Cs/>
                <w:sz w:val="18"/>
                <w:szCs w:val="18"/>
              </w:rPr>
            </w:pPr>
            <w:permStart w:id="14" w:edGrp="everyone"/>
            <w:r>
              <w:rPr>
                <w:rFonts w:hint="eastAsia" w:asciiTheme="minorEastAsia" w:hAnsiTheme="minorEastAsia"/>
                <w:bCs/>
                <w:sz w:val="18"/>
                <w:szCs w:val="18"/>
              </w:rPr>
              <w:t>【</w:t>
            </w:r>
            <w:r>
              <w:rPr>
                <w:rFonts w:asciiTheme="minorEastAsia" w:hAnsiTheme="minorEastAsia"/>
                <w:bCs/>
                <w:sz w:val="18"/>
                <w:szCs w:val="18"/>
              </w:rPr>
              <w:t xml:space="preserve"> 】年</w:t>
            </w:r>
            <w:r>
              <w:rPr>
                <w:rFonts w:hint="eastAsia" w:asciiTheme="minorEastAsia" w:hAnsiTheme="minorEastAsia"/>
                <w:bCs/>
                <w:sz w:val="18"/>
                <w:szCs w:val="18"/>
              </w:rPr>
              <w:t>【</w:t>
            </w:r>
            <w:r>
              <w:rPr>
                <w:rFonts w:asciiTheme="minorEastAsia" w:hAnsiTheme="minorEastAsia"/>
                <w:bCs/>
                <w:sz w:val="18"/>
                <w:szCs w:val="18"/>
              </w:rPr>
              <w:t xml:space="preserve"> </w:t>
            </w:r>
            <w:r>
              <w:rPr>
                <w:rFonts w:hint="eastAsia" w:asciiTheme="minorEastAsia" w:hAnsiTheme="minorEastAsia"/>
                <w:bCs/>
                <w:sz w:val="18"/>
                <w:szCs w:val="18"/>
              </w:rPr>
              <w:t>】月【</w:t>
            </w:r>
            <w:r>
              <w:rPr>
                <w:rFonts w:asciiTheme="minorEastAsia" w:hAnsiTheme="minorEastAsia"/>
                <w:bCs/>
                <w:sz w:val="18"/>
                <w:szCs w:val="18"/>
              </w:rPr>
              <w:t xml:space="preserve"> </w:t>
            </w:r>
            <w:r>
              <w:rPr>
                <w:rFonts w:hint="eastAsia" w:asciiTheme="minorEastAsia" w:hAnsiTheme="minorEastAsia"/>
                <w:bCs/>
                <w:sz w:val="18"/>
                <w:szCs w:val="18"/>
              </w:rPr>
              <w:t>】日</w:t>
            </w:r>
            <w:permEnd w:id="14"/>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Cs/>
                <w:sz w:val="18"/>
                <w:szCs w:val="18"/>
              </w:rPr>
            </w:pPr>
            <w:r>
              <w:rPr>
                <w:rFonts w:hint="eastAsia"/>
                <w:bCs/>
                <w:sz w:val="18"/>
                <w:szCs w:val="18"/>
              </w:rPr>
              <w:t>个人投资者适用</w:t>
            </w:r>
          </w:p>
        </w:tc>
        <w:tc>
          <w:tcPr>
            <w:tcW w:w="6998" w:type="dxa"/>
            <w:gridSpan w:val="2"/>
          </w:tcPr>
          <w:p>
            <w:pPr>
              <w:spacing w:line="360" w:lineRule="auto"/>
              <w:rPr>
                <w:bCs/>
                <w:sz w:val="18"/>
                <w:szCs w:val="18"/>
              </w:rPr>
            </w:pPr>
            <w:r>
              <w:rPr>
                <w:rFonts w:hint="eastAsia"/>
                <w:bCs/>
                <w:sz w:val="18"/>
                <w:szCs w:val="18"/>
              </w:rPr>
              <w:t>投资者（签名/线上确认）：</w:t>
            </w:r>
          </w:p>
          <w:p>
            <w:pPr>
              <w:spacing w:line="360" w:lineRule="auto"/>
              <w:rPr>
                <w:bCs/>
                <w:sz w:val="18"/>
                <w:szCs w:val="18"/>
              </w:rPr>
            </w:pPr>
          </w:p>
          <w:p>
            <w:pPr>
              <w:spacing w:line="360" w:lineRule="auto"/>
              <w:rPr>
                <w:bCs/>
                <w:sz w:val="18"/>
                <w:szCs w:val="18"/>
              </w:rPr>
            </w:pPr>
            <w:r>
              <w:rPr>
                <w:rFonts w:hint="eastAsia"/>
                <w:bCs/>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Cs/>
                <w:sz w:val="18"/>
                <w:szCs w:val="18"/>
              </w:rPr>
            </w:pPr>
            <w:r>
              <w:rPr>
                <w:rFonts w:hint="eastAsia"/>
                <w:bCs/>
                <w:sz w:val="18"/>
                <w:szCs w:val="18"/>
              </w:rPr>
              <w:t>机构投资者适用</w:t>
            </w:r>
          </w:p>
        </w:tc>
        <w:tc>
          <w:tcPr>
            <w:tcW w:w="6998" w:type="dxa"/>
            <w:gridSpan w:val="2"/>
          </w:tcPr>
          <w:p>
            <w:pPr>
              <w:spacing w:line="360" w:lineRule="auto"/>
              <w:rPr>
                <w:rFonts w:cs="Arial"/>
                <w:bCs/>
                <w:sz w:val="18"/>
                <w:szCs w:val="18"/>
              </w:rPr>
            </w:pPr>
            <w:r>
              <w:rPr>
                <w:rFonts w:hint="eastAsia"/>
                <w:bCs/>
                <w:sz w:val="18"/>
                <w:szCs w:val="18"/>
              </w:rPr>
              <w:t>投资者</w:t>
            </w:r>
            <w:r>
              <w:rPr>
                <w:rFonts w:hint="eastAsia" w:cs="Arial"/>
                <w:bCs/>
                <w:sz w:val="18"/>
                <w:szCs w:val="18"/>
              </w:rPr>
              <w:t>（盖章/线上确认）：</w:t>
            </w:r>
          </w:p>
          <w:p>
            <w:pPr>
              <w:spacing w:line="360" w:lineRule="auto"/>
              <w:rPr>
                <w:rFonts w:cs="Arial"/>
                <w:bCs/>
                <w:sz w:val="18"/>
                <w:szCs w:val="18"/>
              </w:rPr>
            </w:pPr>
          </w:p>
          <w:p>
            <w:pPr>
              <w:spacing w:line="360" w:lineRule="auto"/>
              <w:rPr>
                <w:bCs/>
                <w:sz w:val="18"/>
                <w:szCs w:val="18"/>
              </w:rPr>
            </w:pPr>
            <w:r>
              <w:rPr>
                <w:rFonts w:hint="eastAsia" w:cs="Arial"/>
                <w:bCs/>
                <w:sz w:val="18"/>
                <w:szCs w:val="18"/>
              </w:rPr>
              <w:t>投资者法定代表人或授权代理人（签名/盖章/线上确认）：</w:t>
            </w:r>
          </w:p>
          <w:p>
            <w:pPr>
              <w:spacing w:line="360" w:lineRule="auto"/>
              <w:rPr>
                <w:bCs/>
                <w:sz w:val="18"/>
                <w:szCs w:val="18"/>
              </w:rPr>
            </w:pPr>
            <w:r>
              <w:rPr>
                <w:rFonts w:hint="eastAsia"/>
                <w:bCs/>
                <w:sz w:val="18"/>
                <w:szCs w:val="18"/>
              </w:rPr>
              <w:t>日期：</w:t>
            </w:r>
          </w:p>
        </w:tc>
      </w:tr>
    </w:tbl>
    <w:p>
      <w:pPr>
        <w:spacing w:line="360" w:lineRule="auto"/>
        <w:jc w:val="left"/>
        <w:rPr>
          <w:b/>
          <w:bCs/>
        </w:rPr>
      </w:pPr>
      <w:r>
        <w:rPr>
          <w:rFonts w:hint="eastAsia" w:ascii="宋体" w:hAnsi="宋体"/>
          <w:b/>
          <w:bCs/>
          <w:sz w:val="18"/>
          <w:szCs w:val="18"/>
        </w:rPr>
        <w:t>（本《投资协议书》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29583"/>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yLJHpRbWdoWiSmiHPYtT7JTzvUI=" w:salt="qRb9e2HicDtMJEfPfmiJP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4D64"/>
    <w:rsid w:val="000C5F0B"/>
    <w:rsid w:val="000C66F8"/>
    <w:rsid w:val="000C6CA3"/>
    <w:rsid w:val="000D7277"/>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4C5C"/>
    <w:rsid w:val="0021550E"/>
    <w:rsid w:val="0021697D"/>
    <w:rsid w:val="0022040D"/>
    <w:rsid w:val="0022092C"/>
    <w:rsid w:val="00222AF4"/>
    <w:rsid w:val="00225324"/>
    <w:rsid w:val="00225C55"/>
    <w:rsid w:val="00226166"/>
    <w:rsid w:val="00227D78"/>
    <w:rsid w:val="0023600D"/>
    <w:rsid w:val="00237F1A"/>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110A"/>
    <w:rsid w:val="003E70F6"/>
    <w:rsid w:val="003E7472"/>
    <w:rsid w:val="003F1181"/>
    <w:rsid w:val="003F29F2"/>
    <w:rsid w:val="003F63CA"/>
    <w:rsid w:val="0040416E"/>
    <w:rsid w:val="0040486B"/>
    <w:rsid w:val="00404F49"/>
    <w:rsid w:val="004067A7"/>
    <w:rsid w:val="00406971"/>
    <w:rsid w:val="004072EC"/>
    <w:rsid w:val="004117AA"/>
    <w:rsid w:val="004132EA"/>
    <w:rsid w:val="004134A1"/>
    <w:rsid w:val="00414562"/>
    <w:rsid w:val="0042301D"/>
    <w:rsid w:val="00423612"/>
    <w:rsid w:val="00424866"/>
    <w:rsid w:val="00426FD8"/>
    <w:rsid w:val="00431E1F"/>
    <w:rsid w:val="00435E5C"/>
    <w:rsid w:val="00436830"/>
    <w:rsid w:val="00436CF2"/>
    <w:rsid w:val="00437361"/>
    <w:rsid w:val="00444664"/>
    <w:rsid w:val="00444AD5"/>
    <w:rsid w:val="00445CFA"/>
    <w:rsid w:val="00446FBB"/>
    <w:rsid w:val="0045304A"/>
    <w:rsid w:val="004530E2"/>
    <w:rsid w:val="0045487E"/>
    <w:rsid w:val="0045508F"/>
    <w:rsid w:val="00460B00"/>
    <w:rsid w:val="0046227B"/>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19C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940"/>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1F68"/>
    <w:rsid w:val="009D2509"/>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41CE"/>
    <w:rsid w:val="00C550E2"/>
    <w:rsid w:val="00C561B4"/>
    <w:rsid w:val="00C569F3"/>
    <w:rsid w:val="00C57F3A"/>
    <w:rsid w:val="00C6321C"/>
    <w:rsid w:val="00C6524D"/>
    <w:rsid w:val="00C6577D"/>
    <w:rsid w:val="00C66942"/>
    <w:rsid w:val="00C7259B"/>
    <w:rsid w:val="00C80014"/>
    <w:rsid w:val="00C80C5E"/>
    <w:rsid w:val="00C81838"/>
    <w:rsid w:val="00C90BFF"/>
    <w:rsid w:val="00C9379A"/>
    <w:rsid w:val="00C94A3F"/>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114F"/>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9590C"/>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4DDDDDD"/>
    <w:rsid w:val="05F13238"/>
    <w:rsid w:val="08F06232"/>
    <w:rsid w:val="11421DE8"/>
    <w:rsid w:val="13792801"/>
    <w:rsid w:val="149E474A"/>
    <w:rsid w:val="16A50D85"/>
    <w:rsid w:val="18C37747"/>
    <w:rsid w:val="18D640E4"/>
    <w:rsid w:val="19212E29"/>
    <w:rsid w:val="1BC922C3"/>
    <w:rsid w:val="1E261887"/>
    <w:rsid w:val="1FFF217B"/>
    <w:rsid w:val="256A6380"/>
    <w:rsid w:val="2B274BC8"/>
    <w:rsid w:val="303D1CBE"/>
    <w:rsid w:val="33675167"/>
    <w:rsid w:val="35C802B9"/>
    <w:rsid w:val="35C863A1"/>
    <w:rsid w:val="3BFFB16E"/>
    <w:rsid w:val="3F4F2FAF"/>
    <w:rsid w:val="4069171A"/>
    <w:rsid w:val="487A428F"/>
    <w:rsid w:val="4C6D505D"/>
    <w:rsid w:val="4CD41237"/>
    <w:rsid w:val="4F9B33E8"/>
    <w:rsid w:val="54A87ECC"/>
    <w:rsid w:val="56C22B29"/>
    <w:rsid w:val="58EB4EC8"/>
    <w:rsid w:val="5BBEF0CD"/>
    <w:rsid w:val="5C090AEC"/>
    <w:rsid w:val="5E7BB315"/>
    <w:rsid w:val="64DE20E9"/>
    <w:rsid w:val="657411FF"/>
    <w:rsid w:val="66EC0511"/>
    <w:rsid w:val="68756A47"/>
    <w:rsid w:val="6AFFE8A2"/>
    <w:rsid w:val="6B364EF9"/>
    <w:rsid w:val="6BC43DCF"/>
    <w:rsid w:val="713E1AC1"/>
    <w:rsid w:val="761C1897"/>
    <w:rsid w:val="797C1DC4"/>
    <w:rsid w:val="7B799CFE"/>
    <w:rsid w:val="7E1F3BA6"/>
    <w:rsid w:val="7FDF3AC5"/>
    <w:rsid w:val="BFFF58D4"/>
    <w:rsid w:val="D5F30AD4"/>
    <w:rsid w:val="DBFF6D38"/>
    <w:rsid w:val="DCD7FFC8"/>
    <w:rsid w:val="E35142F5"/>
    <w:rsid w:val="EFF99BCB"/>
    <w:rsid w:val="FFBD8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C5F800AA-61CE-482E-B1D8-48A687DFE62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1529</Words>
  <Characters>8716</Characters>
  <Lines>72</Lines>
  <Paragraphs>20</Paragraphs>
  <TotalTime>6</TotalTime>
  <ScaleCrop>false</ScaleCrop>
  <LinksUpToDate>false</LinksUpToDate>
  <CharactersWithSpaces>10225</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2024-03-08T03:31:00Z</dcterms:created>
  <dc:creator>Mandy.Z</dc:creator>
  <cp:lastModifiedBy>cib</cp:lastModifiedBy>
  <cp:lastPrinted>2017-11-04T06:33:00Z</cp:lastPrinted>
  <dcterms:modified xsi:type="dcterms:W3CDTF">2026-08-25T10:26:00Z</dcterms:modified>
  <dc:title>___证券投资基金招募说明书1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7F764BA8FE1445D395384AAC04665998_13</vt:lpwstr>
  </property>
  <property fmtid="{D5CDD505-2E9C-101B-9397-08002B2CF9AE}" pid="4" name="DSMMark">
    <vt:i4>0</vt:i4>
  </property>
</Properties>
</file>