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hint="eastAsia" w:ascii="黑体" w:hAnsi="黑体" w:eastAsia="黑体"/>
          <w:sz w:val="44"/>
          <w:szCs w:val="44"/>
          <w:lang w:eastAsia="zh-CN"/>
        </w:rPr>
      </w:pPr>
      <w:r>
        <w:rPr>
          <w:rStyle w:val="10"/>
          <w:rFonts w:hint="eastAsia" w:ascii="黑体" w:hAnsi="黑体" w:eastAsia="黑体"/>
          <w:sz w:val="44"/>
          <w:szCs w:val="44"/>
          <w:lang w:eastAsia="zh-CN"/>
        </w:rPr>
        <w:t>【兴业银行天天万利宝稳利2号净值型理财产品A款】</w:t>
      </w:r>
    </w:p>
    <w:p>
      <w:pPr>
        <w:adjustRightInd w:val="0"/>
        <w:spacing w:line="360" w:lineRule="auto"/>
        <w:jc w:val="center"/>
        <w:rPr>
          <w:rStyle w:val="10"/>
          <w:rFonts w:ascii="黑体" w:hAnsi="黑体" w:eastAsia="黑体"/>
          <w:sz w:val="44"/>
          <w:szCs w:val="44"/>
        </w:rPr>
      </w:pPr>
      <w:r>
        <w:rPr>
          <w:rStyle w:val="10"/>
          <w:rFonts w:hint="eastAsia" w:ascii="黑体" w:hAnsi="黑体" w:eastAsia="黑体"/>
          <w:sz w:val="44"/>
          <w:szCs w:val="44"/>
        </w:rPr>
        <w:t>产品说明书</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黑体" w:hAnsi="黑体" w:eastAsia="黑体"/>
          <w:bCs w:val="0"/>
          <w:sz w:val="28"/>
          <w:szCs w:val="28"/>
        </w:rPr>
      </w:pPr>
    </w:p>
    <w:p>
      <w:pPr>
        <w:adjustRightInd w:val="0"/>
        <w:spacing w:line="360" w:lineRule="auto"/>
        <w:jc w:val="center"/>
        <w:rPr>
          <w:rStyle w:val="10"/>
          <w:rFonts w:ascii="宋体" w:hAnsi="宋体" w:cs="Times New Roman"/>
          <w:sz w:val="32"/>
          <w:szCs w:val="32"/>
        </w:rPr>
      </w:pPr>
      <w:r>
        <w:rPr>
          <w:rStyle w:val="10"/>
          <w:rFonts w:hint="eastAsia" w:ascii="宋体" w:hAnsi="宋体" w:cs="Times New Roman"/>
          <w:sz w:val="32"/>
          <w:szCs w:val="32"/>
        </w:rPr>
        <w:t>理财产品管理人：兴银理财有限责任公司</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cs="Times New Roman"/>
          <w:sz w:val="32"/>
          <w:szCs w:val="32"/>
        </w:rPr>
      </w:pPr>
      <w:r>
        <w:rPr>
          <w:rStyle w:val="10"/>
          <w:rFonts w:hint="eastAsia" w:ascii="宋体" w:hAnsi="宋体" w:cs="Times New Roman"/>
          <w:sz w:val="32"/>
          <w:szCs w:val="32"/>
        </w:rPr>
        <w:t>日期</w:t>
      </w:r>
      <w:r>
        <w:rPr>
          <w:rStyle w:val="10"/>
          <w:rFonts w:ascii="宋体" w:hAnsi="宋体" w:cs="Times New Roman"/>
          <w:sz w:val="32"/>
          <w:szCs w:val="32"/>
        </w:rPr>
        <w:t>：</w:t>
      </w:r>
      <w:r>
        <w:rPr>
          <w:rStyle w:val="10"/>
          <w:rFonts w:hint="eastAsia" w:ascii="宋体" w:hAnsi="宋体" w:cs="Times New Roman"/>
          <w:sz w:val="32"/>
          <w:szCs w:val="32"/>
        </w:rPr>
        <w:t>【2026】年【</w:t>
      </w:r>
      <w:r>
        <w:rPr>
          <w:rStyle w:val="10"/>
          <w:rFonts w:hint="eastAsia" w:ascii="宋体" w:hAnsi="宋体" w:cs="Times New Roman"/>
          <w:sz w:val="32"/>
          <w:szCs w:val="32"/>
          <w:lang w:val="en-US" w:eastAsia="zh-CN"/>
        </w:rPr>
        <w:t>9</w:t>
      </w:r>
      <w:r>
        <w:rPr>
          <w:rStyle w:val="10"/>
          <w:rFonts w:hint="eastAsia" w:ascii="宋体" w:hAnsi="宋体" w:cs="Times New Roman"/>
          <w:sz w:val="32"/>
          <w:szCs w:val="32"/>
        </w:rPr>
        <w:t>】月</w:t>
      </w:r>
    </w:p>
    <w:p>
      <w:pPr>
        <w:rPr>
          <w:rStyle w:val="10"/>
          <w:rFonts w:ascii="宋体" w:hAnsi="宋体"/>
          <w:sz w:val="32"/>
          <w:szCs w:val="32"/>
        </w:rPr>
      </w:pPr>
      <w:r>
        <w:rPr>
          <w:rStyle w:val="10"/>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13"/>
            <w:spacing w:line="360" w:lineRule="auto"/>
            <w:jc w:val="center"/>
          </w:pPr>
          <w:bookmarkStart w:id="0" w:name="_Toc78276587"/>
          <w:r>
            <w:rPr>
              <w:lang w:val="zh-CN"/>
            </w:rPr>
            <w:t>目录</w:t>
          </w:r>
        </w:p>
        <w:p>
          <w:pPr>
            <w:pStyle w:val="5"/>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"_Toc176181112" </w:instrText>
          </w:r>
          <w:r>
            <w:fldChar w:fldCharType="separate"/>
          </w:r>
          <w:r>
            <w:rPr>
              <w:rStyle w:val="11"/>
              <w:rFonts w:hint="eastAsia" w:ascii="Times New Roman"/>
            </w:rPr>
            <w:t>第一条</w:t>
          </w:r>
          <w:r>
            <w:rPr>
              <w:rStyle w:val="11"/>
              <w:rFonts w:ascii="Times New Roman"/>
            </w:rPr>
            <w:t xml:space="preserve">  </w:t>
          </w:r>
          <w:r>
            <w:rPr>
              <w:rStyle w:val="11"/>
              <w:rFonts w:hint="eastAsia" w:ascii="Times New Roman"/>
            </w:rPr>
            <w:t>释义</w:t>
          </w:r>
          <w:r>
            <w:tab/>
          </w:r>
          <w:r>
            <w:fldChar w:fldCharType="begin"/>
          </w:r>
          <w:r>
            <w:instrText xml:space="preserve"> PAGEREF _Toc176181112 \h </w:instrText>
          </w:r>
          <w:r>
            <w:fldChar w:fldCharType="separate"/>
          </w:r>
          <w:r>
            <w:t>3</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"_Toc176181113" </w:instrText>
          </w:r>
          <w:r>
            <w:fldChar w:fldCharType="separate"/>
          </w:r>
          <w:r>
            <w:rPr>
              <w:rStyle w:val="11"/>
              <w:rFonts w:hint="eastAsia" w:hAnsi="宋体"/>
            </w:rPr>
            <w:t>第二条</w:t>
          </w:r>
          <w:r>
            <w:rPr>
              <w:rStyle w:val="11"/>
              <w:rFonts w:hAnsi="宋体"/>
            </w:rPr>
            <w:t xml:space="preserve">  </w:t>
          </w:r>
          <w:r>
            <w:rPr>
              <w:rStyle w:val="11"/>
              <w:rFonts w:hint="eastAsia" w:hAnsi="宋体"/>
            </w:rPr>
            <w:t>理财产品基本情况</w:t>
          </w:r>
          <w:r>
            <w:tab/>
          </w:r>
          <w:r>
            <w:fldChar w:fldCharType="begin"/>
          </w:r>
          <w:r>
            <w:instrText xml:space="preserve"> PAGEREF _Toc176181113 \h </w:instrText>
          </w:r>
          <w:r>
            <w:fldChar w:fldCharType="separate"/>
          </w:r>
          <w:r>
            <w:t>9</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"_Toc176181114" </w:instrText>
          </w:r>
          <w:r>
            <w:fldChar w:fldCharType="separate"/>
          </w:r>
          <w:r>
            <w:rPr>
              <w:rStyle w:val="11"/>
              <w:rFonts w:hint="eastAsia" w:ascii="Times New Roman"/>
            </w:rPr>
            <w:t>第三条</w:t>
          </w:r>
          <w:r>
            <w:rPr>
              <w:rStyle w:val="11"/>
              <w:rFonts w:ascii="Times New Roman"/>
            </w:rPr>
            <w:t xml:space="preserve">  </w:t>
          </w:r>
          <w:r>
            <w:rPr>
              <w:rStyle w:val="11"/>
              <w:rFonts w:hint="eastAsia" w:ascii="Times New Roman"/>
            </w:rPr>
            <w:t>理财产品的认购</w:t>
          </w:r>
          <w:r>
            <w:tab/>
          </w:r>
          <w:r>
            <w:fldChar w:fldCharType="begin"/>
          </w:r>
          <w:r>
            <w:instrText xml:space="preserve"> PAGEREF _Toc176181114 \h </w:instrText>
          </w:r>
          <w:r>
            <w:fldChar w:fldCharType="separate"/>
          </w:r>
          <w:r>
            <w:t>17</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"_Toc176181115" </w:instrText>
          </w:r>
          <w:r>
            <w:fldChar w:fldCharType="separate"/>
          </w:r>
          <w:r>
            <w:rPr>
              <w:rStyle w:val="11"/>
              <w:rFonts w:hint="eastAsia" w:ascii="Times New Roman"/>
            </w:rPr>
            <w:t>第四条</w:t>
          </w:r>
          <w:r>
            <w:rPr>
              <w:rStyle w:val="11"/>
              <w:rFonts w:ascii="Times New Roman"/>
            </w:rPr>
            <w:t xml:space="preserve">  </w:t>
          </w:r>
          <w:r>
            <w:rPr>
              <w:rStyle w:val="11"/>
              <w:rFonts w:hint="eastAsia" w:ascii="Times New Roman"/>
            </w:rPr>
            <w:t>理财产品的申购与赎回</w:t>
          </w:r>
          <w:r>
            <w:tab/>
          </w:r>
          <w:r>
            <w:fldChar w:fldCharType="begin"/>
          </w:r>
          <w:r>
            <w:instrText xml:space="preserve"> PAGEREF _Toc176181115 \h </w:instrText>
          </w:r>
          <w:r>
            <w:fldChar w:fldCharType="separate"/>
          </w:r>
          <w:r>
            <w:t>19</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"_Toc176181116" </w:instrText>
          </w:r>
          <w:r>
            <w:fldChar w:fldCharType="separate"/>
          </w:r>
          <w:r>
            <w:rPr>
              <w:rStyle w:val="11"/>
              <w:rFonts w:hint="eastAsia" w:ascii="Times New Roman"/>
            </w:rPr>
            <w:t>第五条</w:t>
          </w:r>
          <w:r>
            <w:rPr>
              <w:rStyle w:val="11"/>
              <w:rFonts w:ascii="Times New Roman"/>
            </w:rPr>
            <w:t xml:space="preserve">  </w:t>
          </w:r>
          <w:r>
            <w:rPr>
              <w:rStyle w:val="11"/>
              <w:rFonts w:hint="eastAsia" w:ascii="Times New Roman"/>
            </w:rPr>
            <w:t>理财产品的投资</w:t>
          </w:r>
          <w:r>
            <w:tab/>
          </w:r>
          <w:r>
            <w:fldChar w:fldCharType="begin"/>
          </w:r>
          <w:r>
            <w:instrText xml:space="preserve"> PAGEREF _Toc176181116 \h </w:instrText>
          </w:r>
          <w:r>
            <w:fldChar w:fldCharType="separate"/>
          </w:r>
          <w:r>
            <w:t>23</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"_Toc176181117" </w:instrText>
          </w:r>
          <w:r>
            <w:fldChar w:fldCharType="separate"/>
          </w:r>
          <w:r>
            <w:rPr>
              <w:rStyle w:val="11"/>
              <w:rFonts w:hint="eastAsia" w:ascii="Times New Roman"/>
            </w:rPr>
            <w:t>第六条</w:t>
          </w:r>
          <w:r>
            <w:rPr>
              <w:rStyle w:val="11"/>
              <w:rFonts w:ascii="Times New Roman"/>
            </w:rPr>
            <w:t xml:space="preserve">  </w:t>
          </w:r>
          <w:r>
            <w:rPr>
              <w:rStyle w:val="11"/>
              <w:rFonts w:hint="eastAsia" w:ascii="Times New Roman"/>
            </w:rPr>
            <w:t>理财产品的资产</w:t>
          </w:r>
          <w:r>
            <w:tab/>
          </w:r>
          <w:r>
            <w:fldChar w:fldCharType="begin"/>
          </w:r>
          <w:r>
            <w:instrText xml:space="preserve"> PAGEREF _Toc176181117 \h </w:instrText>
          </w:r>
          <w:r>
            <w:fldChar w:fldCharType="separate"/>
          </w:r>
          <w:r>
            <w:t>26</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"_Toc176181118" </w:instrText>
          </w:r>
          <w:r>
            <w:fldChar w:fldCharType="separate"/>
          </w:r>
          <w:r>
            <w:rPr>
              <w:rStyle w:val="11"/>
              <w:rFonts w:hint="eastAsia" w:ascii="Times New Roman"/>
            </w:rPr>
            <w:t>第七条</w:t>
          </w:r>
          <w:r>
            <w:rPr>
              <w:rStyle w:val="11"/>
              <w:rFonts w:ascii="Times New Roman"/>
            </w:rPr>
            <w:t xml:space="preserve">  </w:t>
          </w:r>
          <w:r>
            <w:rPr>
              <w:rStyle w:val="11"/>
              <w:rFonts w:hint="eastAsia" w:ascii="Times New Roman"/>
            </w:rPr>
            <w:t>理财产品项下资产的估值</w:t>
          </w:r>
          <w:r>
            <w:tab/>
          </w:r>
          <w:r>
            <w:fldChar w:fldCharType="begin"/>
          </w:r>
          <w:r>
            <w:instrText xml:space="preserve"> PAGEREF _Toc176181118 \h </w:instrText>
          </w:r>
          <w:r>
            <w:fldChar w:fldCharType="separate"/>
          </w:r>
          <w:r>
            <w:t>27</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"_Toc176181119" </w:instrText>
          </w:r>
          <w:r>
            <w:fldChar w:fldCharType="separate"/>
          </w:r>
          <w:r>
            <w:rPr>
              <w:rStyle w:val="11"/>
              <w:rFonts w:hint="eastAsia" w:ascii="Times New Roman"/>
            </w:rPr>
            <w:t>第八条</w:t>
          </w:r>
          <w:r>
            <w:rPr>
              <w:rStyle w:val="11"/>
              <w:rFonts w:ascii="Times New Roman"/>
            </w:rPr>
            <w:t xml:space="preserve">  </w:t>
          </w:r>
          <w:r>
            <w:rPr>
              <w:rStyle w:val="11"/>
              <w:rFonts w:hint="eastAsia" w:ascii="Times New Roman"/>
            </w:rPr>
            <w:t>理财产品的利益分配</w:t>
          </w:r>
          <w:r>
            <w:tab/>
          </w:r>
          <w:r>
            <w:fldChar w:fldCharType="begin"/>
          </w:r>
          <w:r>
            <w:instrText xml:space="preserve"> PAGEREF _Toc176181119 \h </w:instrText>
          </w:r>
          <w:r>
            <w:fldChar w:fldCharType="separate"/>
          </w:r>
          <w:r>
            <w:t>31</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"_Toc176181120" </w:instrText>
          </w:r>
          <w:r>
            <w:fldChar w:fldCharType="separate"/>
          </w:r>
          <w:r>
            <w:rPr>
              <w:rStyle w:val="11"/>
              <w:rFonts w:hint="eastAsia" w:ascii="Times New Roman"/>
            </w:rPr>
            <w:t>第九条</w:t>
          </w:r>
          <w:r>
            <w:rPr>
              <w:rStyle w:val="11"/>
              <w:rFonts w:ascii="Times New Roman"/>
            </w:rPr>
            <w:t xml:space="preserve">  </w:t>
          </w:r>
          <w:r>
            <w:rPr>
              <w:rStyle w:val="11"/>
              <w:rFonts w:hint="eastAsia" w:ascii="Times New Roman"/>
            </w:rPr>
            <w:t>理财产品的费用与税收</w:t>
          </w:r>
          <w:r>
            <w:tab/>
          </w:r>
          <w:r>
            <w:fldChar w:fldCharType="begin"/>
          </w:r>
          <w:r>
            <w:instrText xml:space="preserve"> PAGEREF _Toc176181120 \h </w:instrText>
          </w:r>
          <w:r>
            <w:fldChar w:fldCharType="separate"/>
          </w:r>
          <w:r>
            <w:t>32</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"_Toc176181121" </w:instrText>
          </w:r>
          <w:r>
            <w:fldChar w:fldCharType="separate"/>
          </w:r>
          <w:r>
            <w:rPr>
              <w:rStyle w:val="11"/>
              <w:rFonts w:hint="eastAsia"/>
            </w:rPr>
            <w:t>第十条</w:t>
          </w:r>
          <w:r>
            <w:rPr>
              <w:rStyle w:val="11"/>
            </w:rPr>
            <w:t xml:space="preserve">  </w:t>
          </w:r>
          <w:r>
            <w:rPr>
              <w:rStyle w:val="11"/>
              <w:rFonts w:hint="eastAsia"/>
            </w:rPr>
            <w:t>理财产品的终止与清算</w:t>
          </w:r>
          <w:r>
            <w:tab/>
          </w:r>
          <w:r>
            <w:fldChar w:fldCharType="begin"/>
          </w:r>
          <w:r>
            <w:instrText xml:space="preserve"> PAGEREF _Toc176181121 \h </w:instrText>
          </w:r>
          <w:r>
            <w:fldChar w:fldCharType="separate"/>
          </w:r>
          <w:r>
            <w:t>36</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"_Toc176181122" </w:instrText>
          </w:r>
          <w:r>
            <w:fldChar w:fldCharType="separate"/>
          </w:r>
          <w:r>
            <w:rPr>
              <w:rStyle w:val="11"/>
              <w:rFonts w:hint="eastAsia" w:ascii="Times New Roman"/>
            </w:rPr>
            <w:t>第十一条</w:t>
          </w:r>
          <w:r>
            <w:rPr>
              <w:rStyle w:val="11"/>
              <w:rFonts w:ascii="Times New Roman"/>
            </w:rPr>
            <w:t xml:space="preserve">  </w:t>
          </w:r>
          <w:r>
            <w:rPr>
              <w:rStyle w:val="11"/>
              <w:rFonts w:hint="eastAsia" w:ascii="Times New Roman"/>
            </w:rPr>
            <w:t>理财产品的信息披露</w:t>
          </w:r>
          <w:r>
            <w:tab/>
          </w:r>
          <w:r>
            <w:fldChar w:fldCharType="begin"/>
          </w:r>
          <w:r>
            <w:instrText xml:space="preserve"> PAGEREF _Toc176181122 \h </w:instrText>
          </w:r>
          <w:r>
            <w:fldChar w:fldCharType="separate"/>
          </w:r>
          <w:r>
            <w:t>38</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"_Toc176181123" </w:instrText>
          </w:r>
          <w:r>
            <w:fldChar w:fldCharType="separate"/>
          </w:r>
          <w:r>
            <w:rPr>
              <w:rStyle w:val="11"/>
              <w:rFonts w:hint="eastAsia" w:ascii="Times New Roman"/>
            </w:rPr>
            <w:t>第十二条</w:t>
          </w:r>
          <w:r>
            <w:rPr>
              <w:rStyle w:val="11"/>
              <w:rFonts w:ascii="Times New Roman"/>
            </w:rPr>
            <w:t xml:space="preserve">  </w:t>
          </w:r>
          <w:r>
            <w:rPr>
              <w:rStyle w:val="11"/>
              <w:rFonts w:hint="eastAsia" w:ascii="Times New Roman"/>
            </w:rPr>
            <w:t>理财产品的风险揭示</w:t>
          </w:r>
          <w:r>
            <w:tab/>
          </w:r>
          <w:r>
            <w:fldChar w:fldCharType="begin"/>
          </w:r>
          <w:r>
            <w:instrText xml:space="preserve"> PAGEREF _Toc176181123 \h </w:instrText>
          </w:r>
          <w:r>
            <w:fldChar w:fldCharType="separate"/>
          </w:r>
          <w:r>
            <w:t>42</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left"/>
        <w:rPr>
          <w:rFonts w:hint="eastAsia" w:ascii="黑体" w:hAnsi="黑体" w:eastAsia="黑体" w:cs="黑体"/>
          <w:b w:val="0"/>
          <w:bCs/>
          <w:color w:val="auto"/>
          <w:kern w:val="0"/>
          <w:sz w:val="24"/>
          <w:szCs w:val="24"/>
          <w:lang w:val="en-US" w:eastAsia="zh-CN" w:bidi="ar-SA"/>
        </w:rPr>
      </w:pPr>
      <w:bookmarkStart w:id="1" w:name="_Toc92377130"/>
      <w:bookmarkStart w:id="2" w:name="_Toc116984884"/>
      <w:bookmarkStart w:id="3" w:name="_Toc176181112"/>
      <w:r>
        <w:rPr>
          <w:rFonts w:hint="eastAsia" w:ascii="黑体" w:hAnsi="黑体" w:eastAsia="黑体" w:cs="黑体"/>
          <w:bCs/>
          <w:color w:val="auto"/>
          <w:sz w:val="24"/>
          <w:szCs w:val="24"/>
        </w:rPr>
        <w:t>★</w:t>
      </w:r>
      <w:r>
        <w:rPr>
          <w:rFonts w:hint="eastAsia" w:ascii="黑体" w:hAnsi="黑体" w:eastAsia="黑体" w:cs="黑体"/>
          <w:b w:val="0"/>
          <w:bCs/>
          <w:color w:val="auto"/>
          <w:kern w:val="0"/>
          <w:sz w:val="24"/>
          <w:szCs w:val="24"/>
          <w:lang w:val="en-US" w:eastAsia="zh-CN" w:bidi="ar-SA"/>
        </w:rPr>
        <w:t>理财产品名称：【</w:t>
      </w:r>
      <w:r>
        <w:rPr>
          <w:rFonts w:hint="eastAsia" w:ascii="黑体" w:hAnsi="黑体" w:eastAsia="黑体" w:cs="黑体"/>
          <w:bCs/>
          <w:kern w:val="0"/>
          <w:sz w:val="24"/>
          <w:szCs w:val="24"/>
        </w:rPr>
        <w:t>兴业银行天天万利宝稳利2号净值型理财产品A款</w:t>
      </w:r>
      <w:r>
        <w:rPr>
          <w:rFonts w:hint="eastAsia" w:ascii="黑体" w:hAnsi="黑体" w:eastAsia="黑体" w:cs="黑体"/>
          <w:b w:val="0"/>
          <w:bCs/>
          <w:color w:val="auto"/>
          <w:kern w:val="0"/>
          <w:sz w:val="24"/>
          <w:szCs w:val="24"/>
          <w:lang w:val="en-US" w:eastAsia="zh-CN" w:bidi="ar-SA"/>
        </w:rPr>
        <w:t>】；理财产品登记编码：【</w:t>
      </w:r>
      <w:r>
        <w:rPr>
          <w:rFonts w:hint="eastAsia" w:ascii="黑体" w:hAnsi="黑体" w:eastAsia="黑体" w:cs="黑体"/>
          <w:sz w:val="24"/>
          <w:szCs w:val="24"/>
        </w:rPr>
        <w:t>Z7002020000018</w:t>
      </w:r>
      <w:r>
        <w:rPr>
          <w:rFonts w:hint="eastAsia" w:ascii="黑体" w:hAnsi="黑体" w:eastAsia="黑体" w:cs="黑体"/>
          <w:b w:val="0"/>
          <w:bCs/>
          <w:color w:val="auto"/>
          <w:kern w:val="0"/>
          <w:sz w:val="24"/>
          <w:szCs w:val="24"/>
          <w:lang w:val="en-US" w:eastAsia="zh-CN" w:bidi="ar-SA"/>
        </w:rPr>
        <w:t>】，投资者可依据理财产品登记编码在中国理财网(www.chinawealth.com.cn）查询产品信息。</w:t>
      </w:r>
    </w:p>
    <w:p>
      <w:pPr>
        <w:rPr>
          <w:rFonts w:hint="eastAsia"/>
          <w:lang w:val="en-US" w:eastAsia="zh-CN"/>
        </w:rPr>
      </w:pPr>
    </w:p>
    <w:p>
      <w:pPr>
        <w:pStyle w:val="2"/>
        <w:spacing w:before="0" w:after="0" w:line="360" w:lineRule="auto"/>
        <w:jc w:val="center"/>
        <w:rPr>
          <w:rFonts w:ascii="Times New Roman"/>
          <w:sz w:val="30"/>
        </w:rPr>
      </w:pPr>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1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）。兴银理财是兴业银行股份有限公司全资控股的银行理财子公司，作为产品管理人其主要职责为按照理财产品销售文件约定，履行投资、资产管理、信息披露以及监管规定的其他职责。</w:t>
      </w:r>
    </w:p>
    <w:p>
      <w:pPr>
        <w:pStyle w:val="1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产品托管人/理财产品托管人：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产品托管人主要职责为根据法律法规规定和托管合同约定，为托管产品提供账户开立、财产保管、清算交割、会计核算、资产估值、信息披露、投资监督等服务。</w:t>
      </w:r>
    </w:p>
    <w:p>
      <w:pPr>
        <w:pStyle w:val="14"/>
        <w:spacing w:line="360" w:lineRule="auto"/>
        <w:ind w:firstLine="360" w:firstLineChars="200"/>
        <w:rPr>
          <w:rFonts w:hint="eastAsia" w:ascii="宋体" w:hAnsi="宋体" w:eastAsia="宋体"/>
          <w:bCs/>
          <w:color w:val="auto"/>
          <w:sz w:val="18"/>
          <w:szCs w:val="18"/>
        </w:rPr>
      </w:pPr>
      <w:r>
        <w:rPr>
          <w:rFonts w:hint="eastAsia" w:ascii="宋体" w:hAnsi="宋体" w:eastAsia="宋体"/>
          <w:bCs/>
          <w:color w:val="auto"/>
          <w:sz w:val="18"/>
          <w:szCs w:val="18"/>
        </w:rPr>
        <w:t>（3）★销售机构：指具备理财产品销售资格的机构。按是否销售本公司发行的理财产品，销售机构可分为直销机构和代销机构，其中：直销机构指销售本公司发行理财产品的理财公司，代销机构指接受理财公司委托销售理财产品的代理销售机构。</w:t>
      </w:r>
    </w:p>
    <w:p>
      <w:pPr>
        <w:pStyle w:val="14"/>
        <w:spacing w:line="360" w:lineRule="auto"/>
        <w:ind w:firstLine="360" w:firstLineChars="200"/>
        <w:rPr>
          <w:rFonts w:hint="eastAsia" w:ascii="宋体" w:hAnsi="宋体" w:eastAsia="宋体"/>
          <w:bCs/>
          <w:sz w:val="18"/>
          <w:szCs w:val="18"/>
        </w:rPr>
      </w:pPr>
      <w:r>
        <w:rPr>
          <w:rFonts w:hint="eastAsia" w:ascii="宋体" w:hAnsi="宋体" w:eastAsia="宋体"/>
          <w:bCs/>
          <w:color w:val="auto"/>
          <w:sz w:val="18"/>
          <w:szCs w:val="18"/>
        </w:rPr>
        <w:t>销售机构主要职责为向投资者宣传推介理财产品、为投资者办理理财产品认购/申购（如有）/赎回（如有）、投资者风险承受能力评和投资者适当性管理、协助管理人与投资者沟通及进行信息披露、客户维护以及监管规定的其他职责等。</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1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1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1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1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1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1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1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投资协议书》，以及对该文件的有效修改或补充。</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产品说明书》，以及对该文件的有效修改或补充。</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【兴业银行天天万利宝稳利2号净值型理财产品A款】</w:t>
      </w:r>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1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w:t>
      </w:r>
      <w:r>
        <w:rPr>
          <w:rFonts w:hint="eastAsia" w:asciiTheme="majorEastAsia" w:hAnsiTheme="majorEastAsia" w:eastAsiaTheme="majorEastAsia"/>
          <w:bCs/>
          <w:color w:val="auto"/>
          <w:sz w:val="18"/>
          <w:szCs w:val="18"/>
          <w:lang w:eastAsia="zh-CN"/>
        </w:rPr>
        <w:t>份额代码</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eastAsia="zh-CN"/>
        </w:rPr>
        <w:t>份额代码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w:t>
      </w:r>
      <w:r>
        <w:rPr>
          <w:rFonts w:hint="eastAsia" w:asciiTheme="majorEastAsia" w:hAnsiTheme="majorEastAsia" w:eastAsiaTheme="majorEastAsia"/>
          <w:bCs/>
          <w:color w:val="auto"/>
          <w:sz w:val="18"/>
          <w:szCs w:val="18"/>
          <w:lang w:eastAsia="zh-CN"/>
        </w:rPr>
        <w:t>份额代码</w:t>
      </w:r>
      <w:r>
        <w:rPr>
          <w:rFonts w:hint="eastAsia" w:asciiTheme="majorEastAsia" w:hAnsiTheme="majorEastAsia" w:eastAsiaTheme="majorEastAsia"/>
          <w:bCs/>
          <w:color w:val="auto"/>
          <w:sz w:val="18"/>
          <w:szCs w:val="18"/>
        </w:rPr>
        <w:t>。</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1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1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1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1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1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r>
        <w:rPr>
          <w:rFonts w:asciiTheme="majorEastAsia" w:hAnsiTheme="majorEastAsia" w:eastAsiaTheme="majorEastAsia"/>
          <w:bCs/>
          <w:color w:val="auto"/>
          <w:sz w:val="18"/>
          <w:szCs w:val="18"/>
        </w:rPr>
        <w:t xml:space="preserve"> </w:t>
      </w:r>
    </w:p>
    <w:p>
      <w:pPr>
        <w:pStyle w:val="1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1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1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1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1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1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1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1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1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1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1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1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1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14"/>
        <w:spacing w:line="360" w:lineRule="auto"/>
        <w:ind w:firstLine="360" w:firstLineChars="200"/>
        <w:rPr>
          <w:rFonts w:hint="eastAsia" w:hAnsi="宋体" w:eastAsia="宋体"/>
          <w:sz w:val="18"/>
          <w:szCs w:val="18"/>
          <w:lang w:eastAsia="zh-CN"/>
        </w:rPr>
      </w:pPr>
      <w:r>
        <w:rPr>
          <w:rFonts w:hint="eastAsia" w:hAnsi="宋体"/>
          <w:sz w:val="18"/>
          <w:szCs w:val="18"/>
          <w:lang w:eastAsia="zh-CN"/>
        </w:rPr>
        <w:t>（</w:t>
      </w:r>
      <w:r>
        <w:rPr>
          <w:rFonts w:hint="eastAsia" w:hAnsi="宋体"/>
          <w:sz w:val="18"/>
          <w:szCs w:val="18"/>
          <w:lang w:val="en-US" w:eastAsia="zh-CN"/>
        </w:rPr>
        <w:t>7</w:t>
      </w:r>
      <w:r>
        <w:rPr>
          <w:rFonts w:hint="eastAsia" w:hAnsi="宋体"/>
          <w:sz w:val="18"/>
          <w:szCs w:val="18"/>
          <w:lang w:eastAsia="zh-CN"/>
        </w:rPr>
        <w:t>）★信息技术服务费：指因银行业理财登记托管中心有限公司提供数据交换服务所收取的费用。</w:t>
      </w:r>
    </w:p>
    <w:p>
      <w:pPr>
        <w:pStyle w:val="1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w:t>
      </w:r>
      <w:r>
        <w:rPr>
          <w:rFonts w:hint="eastAsia" w:hAnsi="宋体"/>
          <w:sz w:val="18"/>
          <w:szCs w:val="18"/>
          <w:lang w:val="en-US" w:eastAsia="zh-CN"/>
        </w:rPr>
        <w:t>8</w:t>
      </w:r>
      <w:r>
        <w:rPr>
          <w:rFonts w:hint="eastAsia" w:hAnsi="宋体"/>
          <w:sz w:val="18"/>
          <w:szCs w:val="18"/>
        </w:rPr>
        <w:t>）</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1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14"/>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4" w:name="_Toc79154665"/>
      <w:bookmarkStart w:id="5" w:name="_Toc176181113"/>
      <w:bookmarkStart w:id="6" w:name="_Toc92377131"/>
      <w:bookmarkStart w:id="7" w:name="_Toc116984885"/>
      <w:r>
        <w:rPr>
          <w:rFonts w:hint="eastAsia" w:hAnsi="宋体"/>
          <w:sz w:val="28"/>
          <w:szCs w:val="28"/>
        </w:rPr>
        <w:t>第二条  理财产品基本情况</w:t>
      </w:r>
      <w:bookmarkEnd w:id="4"/>
      <w:bookmarkEnd w:id="5"/>
      <w:bookmarkEnd w:id="6"/>
      <w:r>
        <w:rPr>
          <w:rFonts w:hint="eastAsia" w:hAnsi="宋体"/>
          <w:sz w:val="28"/>
          <w:szCs w:val="28"/>
        </w:rPr>
        <w:t xml:space="preserve"> </w:t>
      </w:r>
      <w:bookmarkEnd w:id="7"/>
    </w:p>
    <w:tbl>
      <w:tblPr>
        <w:tblStyle w:val="7"/>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【兴业银行天天万利宝稳利2号净值型理财产品A款】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widowControl/>
              <w:spacing w:line="360" w:lineRule="auto"/>
              <w:jc w:val="left"/>
              <w:rPr>
                <w:rFonts w:ascii="宋体" w:hAnsi="宋体"/>
                <w:kern w:val="0"/>
                <w:sz w:val="22"/>
              </w:rPr>
            </w:pPr>
            <w:r>
              <w:rPr>
                <w:rFonts w:ascii="宋体" w:hAnsi="宋体" w:eastAsia="宋体" w:cs="宋体"/>
                <w:sz w:val="18"/>
              </w:rPr>
              <w:t>【稳利恒盈A 6个月】 (适用【A】类份额)</w:t>
            </w:r>
            <w:r>
              <w:rPr>
                <w:rFonts w:ascii="宋体" w:hAnsi="宋体" w:eastAsia="宋体" w:cs="宋体"/>
                <w:sz w:val="18"/>
              </w:rPr>
              <w:br w:type="textWrapping"/>
            </w:r>
            <w:r>
              <w:rPr>
                <w:rFonts w:ascii="宋体" w:hAnsi="宋体" w:eastAsia="宋体" w:cs="宋体"/>
                <w:sz w:val="18"/>
              </w:rPr>
              <w:t>【稳利恒盈A 6个月B】 (适用【B】类份额)</w:t>
            </w:r>
            <w:r>
              <w:rPr>
                <w:rFonts w:ascii="宋体" w:hAnsi="宋体" w:eastAsia="宋体" w:cs="宋体"/>
                <w:sz w:val="18"/>
              </w:rPr>
              <w:br w:type="textWrapping"/>
            </w:r>
            <w:r>
              <w:rPr>
                <w:rFonts w:ascii="宋体" w:hAnsi="宋体" w:eastAsia="宋体" w:cs="宋体"/>
                <w:sz w:val="18"/>
              </w:rPr>
              <w:t>【稳利恒盈A 6个月（惠享款）】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【Z7002020000018】</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9K218021】</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int="eastAsia" w:hAnsi="宋体" w:eastAsia="宋体"/>
                <w:b/>
                <w:sz w:val="18"/>
                <w:szCs w:val="18"/>
                <w:lang w:eastAsia="zh-CN"/>
              </w:rPr>
            </w:pPr>
            <w:r>
              <w:rPr>
                <w:rFonts w:hint="eastAsia" w:hAnsi="宋体"/>
                <w:b/>
                <w:sz w:val="18"/>
                <w:szCs w:val="18"/>
              </w:rPr>
              <w:t>★</w:t>
            </w:r>
            <w:r>
              <w:rPr>
                <w:rFonts w:hint="eastAsia" w:hAnsi="宋体"/>
                <w:b/>
                <w:sz w:val="18"/>
                <w:szCs w:val="18"/>
                <w:lang w:eastAsia="zh-CN"/>
              </w:rPr>
              <w:t>份额代码</w:t>
            </w:r>
          </w:p>
        </w:tc>
        <w:tc>
          <w:tcPr>
            <w:tcW w:w="7704" w:type="dxa"/>
            <w:shd w:val="solid" w:color="FFFFFF" w:fill="FFFFFF"/>
          </w:tcPr>
          <w:p>
            <w:pPr>
              <w:spacing w:line="360" w:lineRule="auto"/>
              <w:jc w:val="left"/>
              <w:rPr>
                <w:rFonts w:hAnsi="宋体"/>
                <w:sz w:val="18"/>
                <w:szCs w:val="18"/>
              </w:rPr>
            </w:pPr>
            <w:r>
              <w:rPr>
                <w:rFonts w:ascii="宋体" w:hAnsi="宋体" w:eastAsia="宋体" w:cs="宋体"/>
                <w:sz w:val="18"/>
              </w:rPr>
              <w:t>【9K218021】 (适用【A】类份额)</w:t>
            </w:r>
            <w:r>
              <w:rPr>
                <w:rFonts w:ascii="宋体" w:hAnsi="宋体" w:eastAsia="宋体" w:cs="宋体"/>
                <w:sz w:val="18"/>
              </w:rPr>
              <w:br w:type="textWrapping"/>
            </w:r>
            <w:r>
              <w:rPr>
                <w:rFonts w:ascii="宋体" w:hAnsi="宋体" w:eastAsia="宋体" w:cs="宋体"/>
                <w:sz w:val="18"/>
              </w:rPr>
              <w:t>【9K218121】 (适用【B】类份额)</w:t>
            </w:r>
            <w:r>
              <w:rPr>
                <w:rFonts w:ascii="宋体" w:hAnsi="宋体" w:eastAsia="宋体" w:cs="宋体"/>
                <w:sz w:val="18"/>
              </w:rPr>
              <w:br w:type="textWrapping"/>
            </w:r>
            <w:r>
              <w:rPr>
                <w:rFonts w:ascii="宋体" w:hAnsi="宋体" w:eastAsia="宋体" w:cs="宋体"/>
                <w:sz w:val="18"/>
              </w:rPr>
              <w:t>【9K218221】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hint="eastAsia" w:ascii="宋体" w:hAnsi="宋体" w:eastAsia="宋体"/>
                <w:bCs/>
                <w:sz w:val="18"/>
                <w:szCs w:val="18"/>
                <w:lang w:eastAsia="zh-CN"/>
              </w:rPr>
            </w:pPr>
            <w:r>
              <w:rPr>
                <w:rFonts w:hint="eastAsia" w:ascii="宋体" w:hAnsi="宋体"/>
                <w:bCs/>
                <w:sz w:val="18"/>
                <w:szCs w:val="18"/>
              </w:rPr>
              <w:t>（4）</w:t>
            </w:r>
            <w:r>
              <w:rPr>
                <w:rFonts w:hint="eastAsia" w:ascii="宋体" w:hAnsi="宋体"/>
                <w:bCs/>
                <w:sz w:val="18"/>
                <w:szCs w:val="18"/>
                <w:lang w:eastAsia="zh-CN"/>
              </w:rPr>
              <w:t>份额代码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w:t>
            </w:r>
            <w:r>
              <w:rPr>
                <w:rFonts w:hint="eastAsia" w:ascii="黑体" w:hAnsi="黑体" w:eastAsia="黑体"/>
                <w:sz w:val="18"/>
                <w:szCs w:val="18"/>
                <w:lang w:eastAsia="zh-CN"/>
              </w:rPr>
              <w:t>监管规定及</w:t>
            </w:r>
            <w:r>
              <w:rPr>
                <w:rFonts w:hint="eastAsia" w:ascii="黑体" w:hAnsi="黑体" w:eastAsia="黑体"/>
                <w:sz w:val="18"/>
                <w:szCs w:val="18"/>
              </w:rPr>
              <w:t>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rPr>
                <w:rFonts w:hint="eastAsia" w:ascii="宋体" w:hAnsi="宋体"/>
                <w:sz w:val="18"/>
                <w:szCs w:val="18"/>
              </w:rPr>
            </w:pPr>
            <w:r>
              <w:rPr>
                <w:rFonts w:hint="eastAsia" w:ascii="宋体" w:hAnsi="宋体"/>
                <w:sz w:val="18"/>
                <w:szCs w:val="18"/>
              </w:rPr>
              <w:t>□直销适用</w:t>
            </w:r>
          </w:p>
          <w:p>
            <w:pPr>
              <w:spacing w:line="360" w:lineRule="auto"/>
              <w:rPr>
                <w:rFonts w:hint="eastAsia" w:ascii="宋体" w:hAnsi="宋体"/>
                <w:sz w:val="18"/>
                <w:szCs w:val="18"/>
              </w:rPr>
            </w:pPr>
            <w:r>
              <w:rPr>
                <w:rFonts w:hint="eastAsia" w:ascii="宋体" w:hAnsi="宋体"/>
                <w:sz w:val="18"/>
                <w:szCs w:val="18"/>
              </w:rPr>
              <w:t>本产品由产品管理人销售。</w:t>
            </w:r>
          </w:p>
          <w:p>
            <w:pPr>
              <w:spacing w:line="360" w:lineRule="auto"/>
              <w:rPr>
                <w:rFonts w:hint="eastAsia" w:ascii="宋体" w:hAnsi="宋体"/>
                <w:sz w:val="18"/>
                <w:szCs w:val="18"/>
              </w:rPr>
            </w:pPr>
            <w:r>
              <w:rPr>
                <w:rFonts w:hint="eastAsia" w:ascii="宋体" w:hAnsi="宋体"/>
                <w:sz w:val="18"/>
                <w:szCs w:val="18"/>
              </w:rPr>
              <w:t>■代销适用</w:t>
            </w:r>
          </w:p>
          <w:p>
            <w:pPr>
              <w:spacing w:line="360" w:lineRule="auto"/>
              <w:rPr>
                <w:rFonts w:hint="eastAsia" w:ascii="宋体" w:hAnsi="宋体"/>
                <w:sz w:val="18"/>
                <w:szCs w:val="18"/>
              </w:rPr>
            </w:pPr>
            <w:r>
              <w:rPr>
                <w:rFonts w:hint="eastAsia" w:ascii="宋体" w:hAnsi="宋体"/>
                <w:sz w:val="18"/>
                <w:szCs w:val="18"/>
              </w:rPr>
              <w:t>本产品由代理销售机构销售。</w:t>
            </w:r>
          </w:p>
          <w:p>
            <w:pPr>
              <w:spacing w:line="360" w:lineRule="auto"/>
              <w:rPr>
                <w:rFonts w:hint="eastAsia" w:ascii="宋体" w:hAnsi="宋体"/>
                <w:sz w:val="18"/>
                <w:szCs w:val="18"/>
              </w:rPr>
            </w:pPr>
            <w:r>
              <w:rPr>
                <w:rFonts w:hint="eastAsia" w:ascii="宋体" w:hAnsi="宋体"/>
                <w:sz w:val="18"/>
                <w:szCs w:val="18"/>
              </w:rPr>
              <w:t>销售机构信息详见本产品说明书附表1：销售机构基本情况。</w:t>
            </w:r>
          </w:p>
          <w:p>
            <w:pPr>
              <w:spacing w:line="360" w:lineRule="auto"/>
              <w:rPr>
                <w:rFonts w:hint="eastAsia" w:ascii="宋体" w:hAnsi="宋体"/>
                <w:sz w:val="18"/>
                <w:szCs w:val="18"/>
              </w:rPr>
            </w:pPr>
            <w:r>
              <w:rPr>
                <w:rFonts w:hint="eastAsia" w:ascii="宋体" w:hAnsi="宋体"/>
                <w:sz w:val="18"/>
                <w:szCs w:val="18"/>
              </w:rPr>
              <w:t>后续如有新增或变更，以产品管理人的信息披露为准。</w:t>
            </w:r>
          </w:p>
          <w:p>
            <w:pPr>
              <w:spacing w:line="360" w:lineRule="auto"/>
              <w:rPr>
                <w:rFonts w:asciiTheme="majorEastAsia" w:hAnsiTheme="majorEastAsia" w:eastAsiaTheme="majorEastAsia"/>
                <w:bCs/>
                <w:sz w:val="18"/>
                <w:szCs w:val="18"/>
              </w:rPr>
            </w:pPr>
            <w:r>
              <w:rPr>
                <w:rFonts w:hint="eastAsia" w:ascii="宋体" w:hAnsi="宋体"/>
                <w:sz w:val="18"/>
                <w:szCs w:val="18"/>
              </w:rPr>
              <w:t>■本理财产品的部分销售机构为理财产品管理人的关联方，相关销售机构与管理人之间的关联关系明细详见附表2：销售机构关联关系情况。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企业名称：</w:t>
            </w:r>
            <w:r>
              <w:rPr>
                <w:rFonts w:hint="eastAsia" w:ascii="黑体" w:hAnsi="黑体" w:eastAsia="黑体" w:cs="黑体"/>
                <w:bCs/>
                <w:sz w:val="18"/>
                <w:szCs w:val="18"/>
                <w:lang w:eastAsia="zh-CN"/>
              </w:rPr>
              <w:t>【</w:t>
            </w:r>
            <w:r>
              <w:rPr>
                <w:rFonts w:hint="eastAsia" w:ascii="黑体" w:hAnsi="黑体" w:eastAsia="黑体" w:cs="黑体"/>
                <w:bCs/>
                <w:sz w:val="18"/>
                <w:szCs w:val="18"/>
              </w:rPr>
              <w:t>兴银理财有限责任公司</w:t>
            </w:r>
            <w:r>
              <w:rPr>
                <w:rFonts w:hint="eastAsia" w:ascii="黑体" w:hAnsi="黑体" w:eastAsia="黑体" w:cs="黑体"/>
                <w:bCs/>
                <w:sz w:val="18"/>
                <w:szCs w:val="18"/>
                <w:lang w:eastAsia="zh-CN"/>
              </w:rPr>
              <w:t>】</w:t>
            </w:r>
          </w:p>
          <w:p>
            <w:pPr>
              <w:spacing w:line="360" w:lineRule="auto"/>
              <w:rPr>
                <w:rFonts w:hint="eastAsia" w:ascii="黑体" w:hAnsi="黑体" w:eastAsia="黑体" w:cs="黑体"/>
                <w:bCs/>
                <w:sz w:val="18"/>
                <w:szCs w:val="18"/>
              </w:rPr>
            </w:pPr>
            <w:r>
              <w:rPr>
                <w:rFonts w:hint="eastAsia" w:ascii="黑体" w:hAnsi="黑体" w:eastAsia="黑体" w:cs="黑体"/>
                <w:bCs/>
                <w:sz w:val="18"/>
                <w:szCs w:val="18"/>
              </w:rPr>
              <w:t>住所：【福建省福州市鼓楼区湖东路 154 号中山大厦 A 座 6 层、11 层、12 层、15 层】</w:t>
            </w:r>
          </w:p>
          <w:p>
            <w:pPr>
              <w:spacing w:line="360" w:lineRule="auto"/>
              <w:rPr>
                <w:rFonts w:hint="eastAsia" w:ascii="黑体" w:hAnsi="黑体" w:eastAsia="黑体" w:cs="黑体"/>
                <w:bCs/>
                <w:sz w:val="18"/>
                <w:szCs w:val="18"/>
              </w:rPr>
            </w:pPr>
            <w:r>
              <w:rPr>
                <w:rFonts w:hint="eastAsia" w:ascii="黑体" w:hAnsi="黑体" w:eastAsia="黑体" w:cs="黑体"/>
                <w:bCs/>
                <w:sz w:val="18"/>
                <w:szCs w:val="18"/>
              </w:rPr>
              <w:t>联系方式：【门户网站：www.cibwm.com.cn；客户服务热线：40015-95561】</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企业名称：【兴业银行股份有限公司】</w:t>
            </w:r>
          </w:p>
          <w:p>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住所：【福建省福州市台江区江滨中大道398号兴业银行大厦】</w:t>
            </w:r>
          </w:p>
          <w:p>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联系方式：【门户网站：www.cib.com.cn；客户服务热线：95561】</w:t>
            </w:r>
          </w:p>
          <w:p>
            <w:pPr>
              <w:spacing w:line="360" w:lineRule="auto"/>
              <w:rPr>
                <w:rFonts w:hint="eastAsia" w:asciiTheme="majorEastAsia" w:hAnsiTheme="majorEastAsia" w:eastAsiaTheme="majorEastAsia"/>
                <w:bCs/>
                <w:sz w:val="18"/>
                <w:szCs w:val="18"/>
              </w:rPr>
            </w:pPr>
            <w:r>
              <w:rPr>
                <w:rFonts w:hint="eastAsia" w:ascii="黑体" w:hAnsi="黑体" w:eastAsia="黑体" w:cs="黑体"/>
                <w:bCs/>
                <w:sz w:val="18"/>
                <w:szCs w:val="18"/>
              </w:rPr>
              <w:t>■ 本理财产品的托管机构【兴业银行股份有限公司】为理财产品管理人的关联方。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【2018年07月24日】【</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:00】至【2018年08月06日】【15:45】</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hint="eastAsia" w:ascii="宋体" w:hAnsi="宋体"/>
                <w:bCs/>
                <w:sz w:val="18"/>
                <w:szCs w:val="18"/>
              </w:rPr>
              <w:t>3.投资者认购资金实际扣划至管理人募集账户后，认购资金在认购期/募集期内产生的利息（如有）归投资者所有；投资者认购资金实际扣划至管理人募集账户前的计息规则，具体以销售机构实际情况为准。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asciiTheme="minorEastAsia" w:hAnsiTheme="minorEastAsia"/>
                <w:bCs/>
                <w:sz w:val="18"/>
                <w:szCs w:val="18"/>
                <w:lang w:eastAsia="zh-CN"/>
              </w:rPr>
              <w:t>【</w:t>
            </w:r>
            <w:r>
              <w:rPr>
                <w:rFonts w:hint="eastAsia" w:cs="Times New Roman" w:asciiTheme="minorEastAsia" w:hAnsiTheme="minorEastAsia"/>
                <w:sz w:val="18"/>
                <w:szCs w:val="18"/>
                <w:lang w:val="en-US" w:eastAsia="zh-CN"/>
              </w:rPr>
              <w:t>2018年08月07日】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asciiTheme="minorEastAsia" w:hAnsiTheme="minorEastAsia"/>
                <w:bCs/>
                <w:sz w:val="18"/>
                <w:szCs w:val="18"/>
                <w:lang w:eastAsia="zh-CN"/>
              </w:rPr>
              <w:t>【</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（2）每一个投资周期的期间：</w:t>
            </w:r>
            <w:r>
              <w:rPr>
                <w:rFonts w:asciiTheme="majorEastAsia" w:hAnsiTheme="majorEastAsia" w:eastAsiaTheme="majorEastAsia"/>
                <w:bCs/>
                <w:color w:val="000000" w:themeColor="text1"/>
                <w:sz w:val="18"/>
                <w:szCs w:val="18"/>
                <w14:textFill>
                  <w14:solidFill>
                    <w14:schemeClr w14:val="tx1"/>
                  </w14:solidFill>
                </w14:textFill>
              </w:rPr>
              <w:t>自</w:t>
            </w:r>
            <w:r>
              <w:rPr>
                <w:rFonts w:hint="eastAsia" w:asciiTheme="majorEastAsia" w:hAnsiTheme="majorEastAsia" w:eastAsiaTheme="majorEastAsia"/>
                <w:bCs/>
                <w:color w:val="000000" w:themeColor="text1"/>
                <w:sz w:val="18"/>
                <w:szCs w:val="18"/>
                <w14:textFill>
                  <w14:solidFill>
                    <w14:schemeClr w14:val="tx1"/>
                  </w14:solidFill>
                </w14:textFill>
              </w:rPr>
              <w:t>投资者持有理财产品份额的认购确认日或申购确认日起至持有该产品份额经历一个投资周期后的最近一个赎回确认日或产品终止日的期间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”所载明的时间计算为准。投资周期终止日如遇非工作日则产品管理人做相应调整。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hint="eastAsia" w:asciiTheme="majorEastAsia" w:hAnsiTheme="majorEastAsia" w:eastAsiaTheme="majorEastAsia"/>
                <w:bCs/>
                <w:color w:val="000000" w:themeColor="text1"/>
                <w:sz w:val="18"/>
                <w:szCs w:val="18"/>
                <w:highlight w:val="none"/>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highlight w:val="none"/>
                <w14:textFill>
                  <w14:solidFill>
                    <w14:schemeClr w14:val="tx1"/>
                  </w14:solidFill>
                </w14:textFill>
              </w:rPr>
              <w:t>预约申购期：【2026】年【0</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9</w:t>
            </w:r>
            <w:r>
              <w:rPr>
                <w:rFonts w:hint="eastAsia" w:asciiTheme="majorEastAsia" w:hAnsiTheme="majorEastAsia" w:eastAsiaTheme="majorEastAsia"/>
                <w:bCs/>
                <w:color w:val="000000" w:themeColor="text1"/>
                <w:sz w:val="18"/>
                <w:szCs w:val="18"/>
                <w:highlight w:val="none"/>
                <w14:textFill>
                  <w14:solidFill>
                    <w14:schemeClr w14:val="tx1"/>
                  </w14:solidFill>
                </w14:textFill>
              </w:rPr>
              <w:t>】月【</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01</w:t>
            </w:r>
            <w:r>
              <w:rPr>
                <w:rFonts w:hint="eastAsia" w:asciiTheme="majorEastAsia" w:hAnsiTheme="majorEastAsia" w:eastAsiaTheme="majorEastAsia"/>
                <w:bCs/>
                <w:color w:val="000000" w:themeColor="text1"/>
                <w:sz w:val="18"/>
                <w:szCs w:val="18"/>
                <w:highlight w:val="none"/>
                <w14:textFill>
                  <w14:solidFill>
                    <w14:schemeClr w14:val="tx1"/>
                  </w14:solidFill>
                </w14:textFill>
              </w:rPr>
              <w:t>】日11:00至【2026】年【0</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9</w:t>
            </w:r>
            <w:r>
              <w:rPr>
                <w:rFonts w:hint="eastAsia" w:asciiTheme="majorEastAsia" w:hAnsiTheme="majorEastAsia" w:eastAsiaTheme="majorEastAsia"/>
                <w:bCs/>
                <w:color w:val="000000" w:themeColor="text1"/>
                <w:sz w:val="18"/>
                <w:szCs w:val="18"/>
                <w:highlight w:val="none"/>
                <w14:textFill>
                  <w14:solidFill>
                    <w14:schemeClr w14:val="tx1"/>
                  </w14:solidFill>
                </w14:textFill>
              </w:rPr>
              <w:t>】月【</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07</w:t>
            </w:r>
            <w:r>
              <w:rPr>
                <w:rFonts w:hint="eastAsia" w:asciiTheme="majorEastAsia" w:hAnsiTheme="majorEastAsia" w:eastAsiaTheme="majorEastAsia"/>
                <w:bCs/>
                <w:color w:val="000000" w:themeColor="text1"/>
                <w:sz w:val="18"/>
                <w:szCs w:val="18"/>
                <w:highlight w:val="none"/>
                <w14:textFill>
                  <w14:solidFill>
                    <w14:schemeClr w14:val="tx1"/>
                  </w14:solidFill>
                </w14:textFill>
              </w:rPr>
              <w:t>】日17:00；投资周期【19</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highlight w:val="none"/>
                <w14:textFill>
                  <w14:solidFill>
                    <w14:schemeClr w14:val="tx1"/>
                  </w14:solidFill>
                </w14:textFill>
              </w:rPr>
              <w:t>】天；</w:t>
            </w:r>
          </w:p>
          <w:p>
            <w:pPr>
              <w:spacing w:line="360" w:lineRule="auto"/>
              <w:rPr>
                <w:rFonts w:asciiTheme="majorEastAsia" w:hAnsiTheme="majorEastAsia" w:eastAsiaTheme="majorEastAsia"/>
                <w:bCs/>
                <w:color w:val="000000" w:themeColor="text1"/>
                <w:sz w:val="18"/>
                <w:szCs w:val="18"/>
                <w:highlight w:val="none"/>
                <w14:textFill>
                  <w14:solidFill>
                    <w14:schemeClr w14:val="tx1"/>
                  </w14:solidFill>
                </w14:textFill>
              </w:rPr>
            </w:pPr>
            <w:r>
              <w:rPr>
                <w:rFonts w:hint="eastAsia" w:asciiTheme="majorEastAsia" w:hAnsiTheme="majorEastAsia" w:eastAsiaTheme="majorEastAsia"/>
                <w:bCs/>
                <w:sz w:val="18"/>
                <w:szCs w:val="18"/>
                <w:highlight w:val="none"/>
              </w:rPr>
              <w:t>■</w:t>
            </w:r>
            <w:r>
              <w:rPr>
                <w:rFonts w:hint="eastAsia" w:asciiTheme="majorEastAsia" w:hAnsiTheme="majorEastAsia" w:eastAsiaTheme="majorEastAsia"/>
                <w:bCs/>
                <w:color w:val="000000" w:themeColor="text1"/>
                <w:sz w:val="18"/>
                <w:szCs w:val="18"/>
                <w:highlight w:val="none"/>
                <w14:textFill>
                  <w14:solidFill>
                    <w14:schemeClr w14:val="tx1"/>
                  </w14:solidFill>
                </w14:textFill>
              </w:rPr>
              <w:t>预约申购期：【2026】年【0</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9</w:t>
            </w:r>
            <w:r>
              <w:rPr>
                <w:rFonts w:hint="eastAsia" w:asciiTheme="majorEastAsia" w:hAnsiTheme="majorEastAsia" w:eastAsiaTheme="majorEastAsia"/>
                <w:bCs/>
                <w:color w:val="000000" w:themeColor="text1"/>
                <w:sz w:val="18"/>
                <w:szCs w:val="18"/>
                <w:highlight w:val="none"/>
                <w14:textFill>
                  <w14:solidFill>
                    <w14:schemeClr w14:val="tx1"/>
                  </w14:solidFill>
                </w14:textFill>
              </w:rPr>
              <w:t>】月【</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08</w:t>
            </w:r>
            <w:r>
              <w:rPr>
                <w:rFonts w:hint="eastAsia" w:asciiTheme="majorEastAsia" w:hAnsiTheme="majorEastAsia" w:eastAsiaTheme="majorEastAsia"/>
                <w:bCs/>
                <w:color w:val="000000" w:themeColor="text1"/>
                <w:sz w:val="18"/>
                <w:szCs w:val="18"/>
                <w:highlight w:val="none"/>
                <w14:textFill>
                  <w14:solidFill>
                    <w14:schemeClr w14:val="tx1"/>
                  </w14:solidFill>
                </w14:textFill>
              </w:rPr>
              <w:t>】日11:00至【2026】年【0</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9</w:t>
            </w:r>
            <w:r>
              <w:rPr>
                <w:rFonts w:hint="eastAsia" w:asciiTheme="majorEastAsia" w:hAnsiTheme="majorEastAsia" w:eastAsiaTheme="majorEastAsia"/>
                <w:bCs/>
                <w:color w:val="000000" w:themeColor="text1"/>
                <w:sz w:val="18"/>
                <w:szCs w:val="18"/>
                <w:highlight w:val="none"/>
                <w14:textFill>
                  <w14:solidFill>
                    <w14:schemeClr w14:val="tx1"/>
                  </w14:solidFill>
                </w14:textFill>
              </w:rPr>
              <w:t>】月【</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14</w:t>
            </w:r>
            <w:r>
              <w:rPr>
                <w:rFonts w:hint="eastAsia" w:asciiTheme="majorEastAsia" w:hAnsiTheme="majorEastAsia" w:eastAsiaTheme="majorEastAsia"/>
                <w:bCs/>
                <w:color w:val="000000" w:themeColor="text1"/>
                <w:sz w:val="18"/>
                <w:szCs w:val="18"/>
                <w:highlight w:val="none"/>
                <w14:textFill>
                  <w14:solidFill>
                    <w14:schemeClr w14:val="tx1"/>
                  </w14:solidFill>
                </w14:textFill>
              </w:rPr>
              <w:t>】日17:00；投资周期【189】天。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8"/>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1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1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1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1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1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14"/>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1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1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760" w:type="dxa"/>
                </w:tcPr>
                <w:p>
                  <w:pPr>
                    <w:pStyle w:val="1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本产品成立后可设置多个预约申购期。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hint="eastAsia" w:asciiTheme="majorEastAsia" w:hAnsiTheme="majorEastAsia" w:eastAsiaTheme="majorEastAsia"/>
                <w:bCs/>
                <w:color w:val="000000" w:themeColor="text1"/>
                <w:sz w:val="18"/>
                <w:szCs w:val="18"/>
                <w:highlight w:val="yellow"/>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预约赎回期:【2027年03月09日】【00:00】至【2027</w:t>
            </w:r>
            <w:bookmarkStart w:id="182" w:name="_GoBack"/>
            <w:bookmarkEnd w:id="182"/>
            <w:r>
              <w:rPr>
                <w:rFonts w:hint="eastAsia" w:asciiTheme="majorEastAsia" w:hAnsiTheme="majorEastAsia" w:eastAsiaTheme="majorEastAsia"/>
                <w:bCs/>
                <w:color w:val="000000" w:themeColor="text1"/>
                <w:sz w:val="18"/>
                <w:szCs w:val="18"/>
                <w:highlight w:val="none"/>
                <w:lang w:val="en-US" w:eastAsia="zh-CN"/>
                <w14:textFill>
                  <w14:solidFill>
                    <w14:schemeClr w14:val="tx1"/>
                  </w14:solidFill>
                </w14:textFill>
              </w:rPr>
              <w:t>年03月22日】【17：00】
</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8"/>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1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1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1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1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1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1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14"/>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1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618" w:type="dxa"/>
                </w:tcPr>
                <w:p>
                  <w:pPr>
                    <w:pStyle w:val="1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5</w:t>
            </w:r>
            <w:r>
              <w:rPr>
                <w:rFonts w:hint="eastAsia" w:ascii="黑体" w:hAnsi="黑体" w:eastAsia="黑体" w:cs="黑体"/>
                <w:kern w:val="0"/>
                <w:sz w:val="18"/>
              </w:rPr>
              <w:t>】个工作日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14"/>
              <w:spacing w:line="360" w:lineRule="auto"/>
              <w:rPr>
                <w:rFonts w:hint="eastAsia" w:hAnsi="宋体"/>
                <w:bCs/>
                <w:sz w:val="18"/>
                <w:szCs w:val="18"/>
                <w:lang w:val="en-US" w:eastAsia="zh-CN"/>
              </w:rPr>
            </w:pPr>
            <w:r>
              <w:rPr>
                <w:rFonts w:ascii="宋体" w:hAnsi="宋体" w:eastAsia="宋体" w:cs="宋体"/>
                <w:sz w:val="18"/>
              </w:rPr>
              <w:t>1.认购的数量限制</w:t>
            </w:r>
            <w:r>
              <w:rPr>
                <w:rFonts w:ascii="宋体" w:hAnsi="宋体" w:eastAsia="宋体" w:cs="宋体"/>
                <w:sz w:val="18"/>
              </w:rPr>
              <w:br w:type="textWrapping"/>
            </w:r>
            <w:r>
              <w:rPr>
                <w:rFonts w:ascii="宋体" w:hAnsi="宋体" w:eastAsia="宋体" w:cs="宋体"/>
                <w:sz w:val="18"/>
              </w:rPr>
              <w:t>单一投资者认购上限为【/】元。如需突破上限，请与产品管理人或销售机构客户经理联系。（适用【A】类份额)</w:t>
            </w:r>
            <w:r>
              <w:rPr>
                <w:rFonts w:ascii="宋体" w:hAnsi="宋体" w:eastAsia="宋体" w:cs="宋体"/>
                <w:sz w:val="18"/>
              </w:rPr>
              <w:br w:type="textWrapping"/>
            </w:r>
            <w:r>
              <w:rPr>
                <w:rFonts w:ascii="宋体" w:hAnsi="宋体" w:eastAsia="宋体" w:cs="宋体"/>
                <w:sz w:val="18"/>
              </w:rPr>
              <w:t>单一投资者认购上限为【/】元。如需突破上限，请与产品管理人或销售机构客户经理联系。（适用【B】类份额)</w:t>
            </w:r>
            <w:r>
              <w:rPr>
                <w:rFonts w:ascii="宋体" w:hAnsi="宋体" w:eastAsia="宋体" w:cs="宋体"/>
                <w:sz w:val="18"/>
              </w:rPr>
              <w:br w:type="textWrapping"/>
            </w:r>
            <w:r>
              <w:rPr>
                <w:rFonts w:ascii="宋体" w:hAnsi="宋体" w:eastAsia="宋体" w:cs="宋体"/>
                <w:sz w:val="18"/>
              </w:rPr>
              <w:t>单一投资者认购上限为【/】元。如需突破上限，请与产品管理人或销售机构客户经理联系。（适用【C】类份额)</w:t>
            </w:r>
            <w:r>
              <w:rPr>
                <w:rFonts w:ascii="宋体" w:hAnsi="宋体" w:eastAsia="宋体" w:cs="宋体"/>
                <w:sz w:val="18"/>
              </w:rPr>
              <w:br w:type="textWrapping"/>
            </w:r>
            <w:r>
              <w:rPr>
                <w:rFonts w:ascii="宋体" w:hAnsi="宋体" w:eastAsia="宋体" w:cs="宋体"/>
                <w:sz w:val="18"/>
              </w:rPr>
              <w:t>2.申购的数量限制</w:t>
            </w:r>
            <w:r>
              <w:rPr>
                <w:rFonts w:ascii="宋体" w:hAnsi="宋体" w:eastAsia="宋体" w:cs="宋体"/>
                <w:sz w:val="18"/>
              </w:rPr>
              <w:br w:type="textWrapping"/>
            </w:r>
            <w:r>
              <w:rPr>
                <w:rFonts w:ascii="宋体" w:hAnsi="宋体" w:eastAsia="宋体" w:cs="宋体"/>
                <w:sz w:val="18"/>
              </w:rPr>
              <w:t>（1）单一投资者申购上限为【/】份。（适用【A】类份额)</w:t>
            </w:r>
            <w:r>
              <w:rPr>
                <w:rFonts w:ascii="宋体" w:hAnsi="宋体" w:eastAsia="宋体" w:cs="宋体"/>
                <w:sz w:val="18"/>
              </w:rPr>
              <w:br w:type="textWrapping"/>
            </w:r>
            <w:r>
              <w:rPr>
                <w:rFonts w:ascii="宋体" w:hAnsi="宋体" w:eastAsia="宋体" w:cs="宋体"/>
                <w:sz w:val="18"/>
              </w:rPr>
              <w:t xml:space="preserve">     单一投资者申购上限为【/】份。（适用【B】类份额)</w:t>
            </w:r>
            <w:r>
              <w:rPr>
                <w:rFonts w:ascii="宋体" w:hAnsi="宋体" w:eastAsia="宋体" w:cs="宋体"/>
                <w:sz w:val="18"/>
              </w:rPr>
              <w:br w:type="textWrapping"/>
            </w:r>
            <w:r>
              <w:rPr>
                <w:rFonts w:ascii="宋体" w:hAnsi="宋体" w:eastAsia="宋体" w:cs="宋体"/>
                <w:sz w:val="18"/>
              </w:rPr>
              <w:t xml:space="preserve">     单一投资者申购上限为【/】份。（适用【C】类份额)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如需突破上限，请与产品管理人或销售机构客户经理联系。</w:t>
            </w:r>
            <w:r>
              <w:rPr>
                <w:rFonts w:ascii="宋体" w:hAnsi="宋体" w:eastAsia="宋体" w:cs="宋体"/>
                <w:sz w:val="18"/>
              </w:rPr>
              <w:br w:type="textWrapping"/>
            </w:r>
            <w:r>
              <w:rPr>
                <w:rFonts w:ascii="宋体" w:hAnsi="宋体" w:eastAsia="宋体" w:cs="宋体"/>
                <w:sz w:val="18"/>
              </w:rPr>
              <w:t>3.赎回的数量限制</w:t>
            </w:r>
            <w:r>
              <w:rPr>
                <w:rFonts w:ascii="宋体" w:hAnsi="宋体" w:eastAsia="宋体" w:cs="宋体"/>
                <w:sz w:val="18"/>
              </w:rPr>
              <w:br w:type="textWrapping"/>
            </w:r>
            <w:r>
              <w:rPr>
                <w:rFonts w:ascii="宋体" w:hAnsi="宋体" w:eastAsia="宋体" w:cs="宋体"/>
                <w:sz w:val="18"/>
              </w:rPr>
              <w:t>（1）单一投资者赎回上限为【/】份。（适用【A】类份额)</w:t>
            </w:r>
            <w:r>
              <w:rPr>
                <w:rFonts w:ascii="宋体" w:hAnsi="宋体" w:eastAsia="宋体" w:cs="宋体"/>
                <w:sz w:val="18"/>
              </w:rPr>
              <w:br w:type="textWrapping"/>
            </w:r>
            <w:r>
              <w:rPr>
                <w:rFonts w:ascii="宋体" w:hAnsi="宋体" w:eastAsia="宋体" w:cs="宋体"/>
                <w:sz w:val="18"/>
              </w:rPr>
              <w:t xml:space="preserve">     单一投资者赎回上限为【/】份。（适用【B】类份额)</w:t>
            </w:r>
            <w:r>
              <w:rPr>
                <w:rFonts w:ascii="宋体" w:hAnsi="宋体" w:eastAsia="宋体" w:cs="宋体"/>
                <w:sz w:val="18"/>
              </w:rPr>
              <w:br w:type="textWrapping"/>
            </w:r>
            <w:r>
              <w:rPr>
                <w:rFonts w:ascii="宋体" w:hAnsi="宋体" w:eastAsia="宋体" w:cs="宋体"/>
                <w:sz w:val="18"/>
              </w:rPr>
              <w:t xml:space="preserve">     单一投资者赎回上限为【/】份。（适用【C】类份额)</w:t>
            </w:r>
            <w:r>
              <w:rPr>
                <w:rFonts w:ascii="宋体" w:hAnsi="宋体" w:eastAsia="宋体" w:cs="宋体"/>
                <w:sz w:val="18"/>
              </w:rPr>
              <w:br w:type="textWrapping"/>
            </w:r>
            <w:r>
              <w:rPr>
                <w:rFonts w:ascii="宋体" w:hAnsi="宋体" w:eastAsia="宋体" w:cs="宋体"/>
                <w:sz w:val="18"/>
              </w:rPr>
              <w:t>（2）投资者可全部或部分赎回其理财份额，但是部分赎回后单一投资者持有产品份额不得低于【/】份。（适用【A】类份额)</w:t>
            </w:r>
            <w:r>
              <w:rPr>
                <w:rFonts w:ascii="宋体" w:hAnsi="宋体" w:eastAsia="宋体" w:cs="宋体"/>
                <w:sz w:val="18"/>
              </w:rPr>
              <w:br w:type="textWrapping"/>
            </w:r>
            <w:r>
              <w:rPr>
                <w:rFonts w:ascii="宋体" w:hAnsi="宋体" w:eastAsia="宋体" w:cs="宋体"/>
                <w:sz w:val="18"/>
              </w:rPr>
              <w:t xml:space="preserve">     投资者可全部或部分赎回其理财份额，但是部分赎回后单一投资者持有产品份额不得低于【/】份。（适用【B】类份额)</w:t>
            </w:r>
            <w:r>
              <w:rPr>
                <w:rFonts w:ascii="宋体" w:hAnsi="宋体" w:eastAsia="宋体" w:cs="宋体"/>
                <w:sz w:val="18"/>
              </w:rPr>
              <w:br w:type="textWrapping"/>
            </w:r>
            <w:r>
              <w:rPr>
                <w:rFonts w:ascii="宋体" w:hAnsi="宋体" w:eastAsia="宋体" w:cs="宋体"/>
                <w:sz w:val="18"/>
              </w:rPr>
              <w:t xml:space="preserve">     投资者可全部或部分赎回其理财份额，但是部分赎回后单一投资者持有产品份额不得低于【/】份。（适用【C】类份额)</w:t>
            </w:r>
            <w:r>
              <w:rPr>
                <w:rFonts w:ascii="宋体" w:hAnsi="宋体" w:eastAsia="宋体" w:cs="宋体"/>
                <w:sz w:val="18"/>
              </w:rPr>
              <w:br w:type="textWrapping"/>
            </w:r>
            <w:r>
              <w:rPr>
                <w:rFonts w:ascii="宋体" w:hAnsi="宋体" w:eastAsia="宋体" w:cs="宋体"/>
                <w:sz w:val="18"/>
              </w:rPr>
              <w:t>受理财利益分配去尾规则的影响，投资者持有产品份额较低时可能无法取得利益。巨额赎回情景发生时，投资者的可赎回份额需要根据巨额赎回规则确定。</w:t>
            </w:r>
          </w:p>
          <w:p>
            <w:pPr>
              <w:pStyle w:val="14"/>
              <w:spacing w:line="360" w:lineRule="auto"/>
              <w:rPr>
                <w:rFonts w:hint="eastAsia" w:hAnsi="宋体"/>
                <w:bCs/>
                <w:sz w:val="18"/>
                <w:szCs w:val="18"/>
                <w:lang w:val="en-US" w:eastAsia="zh-CN"/>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14"/>
              <w:spacing w:line="360" w:lineRule="auto"/>
              <w:rPr>
                <w:rFonts w:asciiTheme="minorEastAsia" w:hAnsiTheme="minorEastAsia" w:eastAsiaTheme="minorEastAsia"/>
                <w:color w:val="auto"/>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1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hint="eastAsia" w:ascii="宋体" w:hAnsi="宋体" w:eastAsia="宋体" w:cs="宋体"/>
                <w:sz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（1）业绩比较基准的说明：【以一年期定期存款利率为无风险利率，基于当前对未来市场的判断，根据拟投资债权类资产的信用利差、久期敞口以及流动性溢价，预判组合的波动幅度，设定业绩比较基准】。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hint="eastAsia" w:ascii="宋体" w:hAnsi="宋体" w:eastAsia="宋体" w:cs="宋体"/>
                <w:sz w:val="18"/>
              </w:rPr>
              <w:t>（含业绩比较基准历次调整情况，如涉及）</w:t>
            </w:r>
          </w:p>
          <w:p>
            <w:pPr>
              <w:spacing w:line="360" w:lineRule="auto"/>
              <w:jc w:val="left"/>
              <w:rPr>
                <w:rFonts w:hint="eastAsia" w:ascii="宋体" w:hAnsi="宋体" w:eastAsia="宋体" w:cs="宋体"/>
                <w:sz w:val="18"/>
              </w:rPr>
            </w:pPr>
            <w:r>
              <w:rPr>
                <w:rFonts w:hint="eastAsia" w:ascii="宋体" w:hAnsi="宋体" w:eastAsia="宋体" w:cs="宋体"/>
                <w:sz w:val="18"/>
              </w:rPr>
              <w:t>【2018年08月07日-2019年02月11日】，业绩比较基准为：年化【5%-5.2%】；（适用【A】类份额）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【2019年02月12日-2019年08月05日】，业绩比较基准为：年化【4.25%-4.55%】；（适用【A】类份额）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【2019年08月06日-2020年02月03日】，业绩比较基准为：年化【4%-4.3%】；（适用【A】类份额）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【2020年02月04日-2020年08月03日】，业绩比较基准为：年化【3.8%-4.2%】；（适用【A】类份额）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【2020年08月04日-2021年02月01日】，业绩比较基准为：年化【3.65%-4.15%】；（适用【A】类份额）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【2021年02月02日-2021年08月02日】，业绩比较基准为：年化【3.35%-4.35%】；（适用【A】类份额）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【2021年08月03日-2022年01月27日】，业绩比较基准为：年化【3.6%-4.6%】；（适用【A】类份额）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【2022年01月28日-2022年08月01日】，业绩比较基准为：年化【3.05%-4.05%】；（适用【A】类份额）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【2022年08月02日-2023年01月30日】，业绩比较基准为：年化【3%-4%】；（适用【A】类份额）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【2023年01月31日-2023年07月31日】，业绩比较基准为：年化【2.9%-3.9%】；（适用【A】类份额）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【2023年08月01日-2024年01月29日】，业绩比较基准为：年化【2.5%-3.5%】；（适用【A】类份额）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【2024年01月30日-2024年07月29日】，业绩比较基准为：年化【2.4%-3.9%】；（适用【A】类份额）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【2024年07月30日-2025年01月23日】，业绩比较基准为：年化【2%-3.8%】；（适用【A】类份额）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【2025年01月24日-2025年08月11日】，业绩比较基准为：年化【1.55%-2.55%】；（适用【A】类份额）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【2025年08月12日-2026年02月24日】，业绩比较基准为：年化【1.4%-2.2%】；（适用【A】类份额）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【2026年02月25日-2026年09月07日】，业绩比较基准为：年化【1.25%-2.05%】；（适用【A】类份额）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【2026年09月08日及以后】，业绩比较基准为：【中债-新综合全价(1年以下)指数收益率*100%】；（适用【A】类份额）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【2024年01月22日-2024年07月29日】，业绩比较基准为：年化【2.3%-3.8%】；（适用【A】类份额）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【2024年07月30日-2025年01月23日】，业绩比较基准为：年化【1.9%-3.7%】；（适用【A】类份额）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【2025年01月24日-2025年08月11日】，业绩比较基准为：年化【1.45%-2.45%】；（适用【A】类份额）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【2025年08月12日-2026年02月24日】，业绩比较基准为：年化【1.3%-2.1%】；（适用【A】类份额）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【2026年02月25日-2026年09月07日】，业绩比较基准为：年化【1.15%-1.95%】；（适用【A】类份额）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【2026年09月08日及以后】，业绩比较基准为：【中债-新综合全价(1年以下)指数收益率*100%】；（适用【B】类份额）</w:t>
            </w:r>
          </w:p>
          <w:p>
            <w:pPr>
              <w:spacing w:line="360" w:lineRule="auto"/>
              <w:jc w:val="left"/>
              <w:rPr>
                <w:rFonts w:hint="eastAsia" w:ascii="宋体" w:hAnsi="宋体" w:eastAsia="宋体" w:cs="宋体"/>
                <w:sz w:val="18"/>
              </w:rPr>
            </w:pPr>
            <w:r>
              <w:rPr>
                <w:rFonts w:hint="eastAsia" w:ascii="宋体" w:hAnsi="宋体" w:eastAsia="宋体" w:cs="宋体"/>
                <w:sz w:val="18"/>
              </w:rPr>
              <w:t>【2025年01月21日-2025年08月11日】，业绩比较基准为：年化【1.6%-2.6%】；（适用【A】类份额）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【2025年08月12日-2026年02月24日】，业绩比较基准为：年化【1.45%-2.25%】；（适用【A】类份额）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【2026年02月25日-2026年09月07日】，业绩比较基准为：年化【1.3%-2.1%】；（适用【A】类份额）</w:t>
            </w:r>
          </w:p>
          <w:p>
            <w:pPr>
              <w:spacing w:line="360" w:lineRule="auto"/>
              <w:jc w:val="left"/>
              <w:rPr>
                <w:rFonts w:hint="eastAsia" w:ascii="宋体" w:hAnsi="宋体" w:eastAsia="宋体" w:cs="宋体"/>
                <w:sz w:val="18"/>
              </w:rPr>
            </w:pPr>
            <w:r>
              <w:rPr>
                <w:rFonts w:hint="eastAsia" w:ascii="宋体" w:hAnsi="宋体" w:eastAsia="宋体" w:cs="宋体"/>
                <w:sz w:val="18"/>
              </w:rPr>
              <w:t>【2026年09月08日及以后】，业绩比较基准为：【中债-新综合全价(1年以下)指数收益率*100%】</w:t>
            </w:r>
            <w:r>
              <w:rPr>
                <w:rFonts w:hint="eastAsia" w:ascii="宋体" w:hAnsi="宋体" w:cs="宋体"/>
                <w:sz w:val="18"/>
                <w:lang w:eastAsia="zh-CN"/>
              </w:rPr>
              <w:t>。</w:t>
            </w:r>
            <w:r>
              <w:rPr>
                <w:rFonts w:hint="eastAsia" w:ascii="宋体" w:hAnsi="宋体" w:eastAsia="宋体" w:cs="宋体"/>
                <w:sz w:val="18"/>
              </w:rPr>
              <w:t>（适用【C】类份额）</w:t>
            </w:r>
          </w:p>
          <w:p>
            <w:pPr>
              <w:spacing w:line="360" w:lineRule="auto"/>
              <w:jc w:val="left"/>
              <w:rPr>
                <w:rFonts w:hint="eastAsia" w:hAnsi="宋体"/>
                <w:bCs/>
                <w:sz w:val="18"/>
                <w:szCs w:val="18"/>
              </w:rPr>
            </w:pP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Cs/>
                <w:sz w:val="18"/>
                <w:szCs w:val="18"/>
              </w:rPr>
            </w:pPr>
            <w:r>
              <w:rPr>
                <w:rFonts w:hint="eastAsia" w:ascii="黑体" w:hAnsi="黑体" w:eastAsia="黑体" w:cs="黑体"/>
                <w:bCs/>
                <w:sz w:val="18"/>
                <w:szCs w:val="18"/>
              </w:rPr>
              <w:t>（2）产品管理人在符合届时有效的监管规定下可变更业绩比较基准并按照本产品说明书“理财产品的信息披露”条款约定及时公告。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523"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int="eastAsia" w:hAnsi="宋体"/>
                <w:bCs/>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highlight w:val="none"/>
              </w:rPr>
              <w:t>年化【1.</w:t>
            </w:r>
            <w:r>
              <w:rPr>
                <w:rFonts w:hint="eastAsia" w:ascii="宋体" w:hAnsi="宋体" w:cs="宋体"/>
                <w:sz w:val="18"/>
                <w:highlight w:val="none"/>
                <w:lang w:val="en-US" w:eastAsia="zh-CN"/>
              </w:rPr>
              <w:t>50</w:t>
            </w:r>
            <w:r>
              <w:rPr>
                <w:rFonts w:ascii="宋体" w:hAnsi="宋体" w:eastAsia="宋体" w:cs="宋体"/>
                <w:sz w:val="18"/>
                <w:highlight w:val="none"/>
              </w:rPr>
              <w:t>%】。（适用【A】类份额)</w:t>
            </w:r>
            <w:r>
              <w:rPr>
                <w:rFonts w:ascii="宋体" w:hAnsi="宋体" w:eastAsia="宋体" w:cs="宋体"/>
                <w:sz w:val="18"/>
                <w:highlight w:val="none"/>
              </w:rPr>
              <w:br w:type="textWrapping"/>
            </w:r>
            <w:r>
              <w:rPr>
                <w:rFonts w:ascii="宋体" w:hAnsi="宋体" w:eastAsia="宋体" w:cs="宋体"/>
                <w:sz w:val="18"/>
                <w:highlight w:val="none"/>
              </w:rPr>
              <w:t>年化【1.5</w:t>
            </w:r>
            <w:r>
              <w:rPr>
                <w:rFonts w:hint="eastAsia" w:ascii="宋体" w:hAnsi="宋体" w:cs="宋体"/>
                <w:sz w:val="18"/>
                <w:highlight w:val="none"/>
                <w:lang w:val="en-US" w:eastAsia="zh-CN"/>
              </w:rPr>
              <w:t>0</w:t>
            </w:r>
            <w:r>
              <w:rPr>
                <w:rFonts w:ascii="宋体" w:hAnsi="宋体" w:eastAsia="宋体" w:cs="宋体"/>
                <w:sz w:val="18"/>
                <w:highlight w:val="none"/>
              </w:rPr>
              <w:t>%】。（适用【B】类份额)</w:t>
            </w:r>
            <w:r>
              <w:rPr>
                <w:rFonts w:ascii="宋体" w:hAnsi="宋体" w:eastAsia="宋体" w:cs="宋体"/>
                <w:sz w:val="18"/>
                <w:highlight w:val="none"/>
              </w:rPr>
              <w:br w:type="textWrapping"/>
            </w:r>
            <w:r>
              <w:rPr>
                <w:rFonts w:ascii="宋体" w:hAnsi="宋体" w:eastAsia="宋体" w:cs="宋体"/>
                <w:sz w:val="18"/>
                <w:highlight w:val="none"/>
              </w:rPr>
              <w:t>年化【1.</w:t>
            </w:r>
            <w:r>
              <w:rPr>
                <w:rFonts w:hint="eastAsia" w:ascii="宋体" w:hAnsi="宋体" w:cs="宋体"/>
                <w:sz w:val="18"/>
                <w:highlight w:val="none"/>
                <w:lang w:val="en-US" w:eastAsia="zh-CN"/>
              </w:rPr>
              <w:t>50</w:t>
            </w:r>
            <w:r>
              <w:rPr>
                <w:rFonts w:ascii="宋体" w:hAnsi="宋体" w:eastAsia="宋体" w:cs="宋体"/>
                <w:sz w:val="18"/>
                <w:highlight w:val="none"/>
              </w:rPr>
              <w:t>%】。（适用【C】类份额)</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黑体" w:hAnsi="黑体" w:eastAsia="黑体" w:cs="黑体"/>
                <w:bCs/>
                <w:sz w:val="18"/>
                <w:szCs w:val="18"/>
              </w:rPr>
              <w:t>（2）产品管理人有权根据相关法律和国家政策规定等变更业绩报酬计提基准并按照本产品说明书“理财产品的信息披露”条款约定及时公告。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highlight w:val="none"/>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（2）申购费：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（3）赎回费：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（4）销售服务费：</w:t>
            </w:r>
            <w:r>
              <w:rPr>
                <w:rFonts w:ascii="黑体" w:hAnsi="黑体" w:eastAsia="黑体" w:cs="黑体"/>
                <w:sz w:val="18"/>
              </w:rPr>
              <w:br w:type="textWrapping"/>
            </w:r>
            <w:r>
              <w:rPr>
                <w:rFonts w:ascii="黑体" w:hAnsi="黑体" w:eastAsia="黑体" w:cs="黑体"/>
                <w:sz w:val="18"/>
              </w:rPr>
              <w:t>年化费率【0.4%】。（适用【A】类份额）</w:t>
            </w:r>
            <w:r>
              <w:rPr>
                <w:rFonts w:ascii="黑体" w:hAnsi="黑体" w:eastAsia="黑体" w:cs="黑体"/>
                <w:sz w:val="18"/>
              </w:rPr>
              <w:br w:type="textWrapping"/>
            </w:r>
            <w:r>
              <w:rPr>
                <w:rFonts w:ascii="黑体" w:hAnsi="黑体" w:eastAsia="黑体" w:cs="黑体"/>
                <w:sz w:val="18"/>
              </w:rPr>
              <w:t>年化费率【0.3%】。（适用【B】类份额）</w:t>
            </w:r>
            <w:r>
              <w:rPr>
                <w:rFonts w:ascii="黑体" w:hAnsi="黑体" w:eastAsia="黑体" w:cs="黑体"/>
                <w:sz w:val="18"/>
              </w:rPr>
              <w:br w:type="textWrapping"/>
            </w:r>
            <w:r>
              <w:rPr>
                <w:rFonts w:ascii="黑体" w:hAnsi="黑体" w:eastAsia="黑体" w:cs="黑体"/>
                <w:sz w:val="18"/>
              </w:rPr>
              <w:t>年化费率【0.35%】。（适用【C】类份额）</w:t>
            </w:r>
            <w:r>
              <w:rPr>
                <w:rFonts w:ascii="黑体" w:hAnsi="黑体" w:eastAsia="黑体" w:cs="黑体"/>
                <w:sz w:val="18"/>
              </w:rPr>
              <w:br w:type="textWrapping"/>
            </w:r>
            <w:r>
              <w:rPr>
                <w:rFonts w:ascii="黑体" w:hAnsi="黑体" w:eastAsia="黑体" w:cs="黑体"/>
                <w:sz w:val="18"/>
              </w:rPr>
              <w:t>（5）投资管理费：年化费率【0.2%】</w:t>
            </w:r>
            <w:r>
              <w:rPr>
                <w:rFonts w:ascii="黑体" w:hAnsi="黑体" w:eastAsia="黑体" w:cs="黑体"/>
                <w:sz w:val="18"/>
              </w:rPr>
              <w:br w:type="textWrapping"/>
            </w:r>
            <w:r>
              <w:rPr>
                <w:rFonts w:ascii="黑体" w:hAnsi="黑体" w:eastAsia="黑体" w:cs="黑体"/>
                <w:sz w:val="18"/>
              </w:rPr>
              <w:t>（6）产品托管费：年化费率【0.03%】</w:t>
            </w:r>
          </w:p>
          <w:p>
            <w:pPr>
              <w:spacing w:line="360" w:lineRule="auto"/>
              <w:rPr>
                <w:rFonts w:hint="eastAsia" w:ascii="黑体" w:hAnsi="黑体" w:eastAsia="黑体"/>
                <w:bCs/>
                <w:color w:val="000000" w:themeColor="text1"/>
                <w:sz w:val="18"/>
                <w:szCs w:val="18"/>
                <w:highlight w:val="none"/>
                <w14:textFill>
                  <w14:solidFill>
                    <w14:schemeClr w14:val="tx1"/>
                  </w14:solidFill>
                </w14:textFill>
              </w:rPr>
            </w:pPr>
            <w:r>
              <w:rPr>
                <w:rFonts w:hint="eastAsia" w:ascii="黑体" w:hAnsi="黑体" w:eastAsia="黑体"/>
                <w:bCs/>
                <w:color w:val="000000" w:themeColor="text1"/>
                <w:sz w:val="18"/>
                <w:szCs w:val="18"/>
                <w:highlight w:val="none"/>
                <w14:textFill>
                  <w14:solidFill>
                    <w14:schemeClr w14:val="tx1"/>
                  </w14:solidFill>
                </w14:textFill>
              </w:rPr>
              <w:t>（</w:t>
            </w:r>
            <w:r>
              <w:rPr>
                <w:rFonts w:hint="eastAsia" w:ascii="黑体" w:hAnsi="黑体" w:eastAsia="黑体"/>
                <w:bCs/>
                <w:color w:val="000000" w:themeColor="text1"/>
                <w:sz w:val="18"/>
                <w:szCs w:val="18"/>
                <w:highlight w:val="none"/>
                <w:lang w:val="en-US" w:eastAsia="zh-CN"/>
                <w14:textFill>
                  <w14:solidFill>
                    <w14:schemeClr w14:val="tx1"/>
                  </w14:solidFill>
                </w14:textFill>
              </w:rPr>
              <w:t>5</w:t>
            </w:r>
            <w:r>
              <w:rPr>
                <w:rFonts w:hint="eastAsia" w:ascii="黑体" w:hAnsi="黑体" w:eastAsia="黑体"/>
                <w:bCs/>
                <w:color w:val="000000" w:themeColor="text1"/>
                <w:sz w:val="18"/>
                <w:szCs w:val="18"/>
                <w:highlight w:val="none"/>
                <w14:textFill>
                  <w14:solidFill>
                    <w14:schemeClr w14:val="tx1"/>
                  </w14:solidFill>
                </w14:textFill>
              </w:rPr>
              <w:t>）信息技术服务费：年化费率【</w:t>
            </w:r>
            <w:r>
              <w:rPr>
                <w:rFonts w:hint="eastAsia" w:ascii="黑体" w:hAnsi="黑体" w:eastAsia="黑体"/>
                <w:bCs/>
                <w:color w:val="000000" w:themeColor="text1"/>
                <w:sz w:val="18"/>
                <w:szCs w:val="18"/>
                <w:highlight w:val="none"/>
                <w:lang w:val="en-US" w:eastAsia="zh-CN"/>
                <w14:textFill>
                  <w14:solidFill>
                    <w14:schemeClr w14:val="tx1"/>
                  </w14:solidFill>
                </w14:textFill>
              </w:rPr>
              <w:t>/</w:t>
            </w:r>
            <w:r>
              <w:rPr>
                <w:rFonts w:hint="eastAsia" w:ascii="黑体" w:hAnsi="黑体" w:eastAsia="黑体"/>
                <w:bCs/>
                <w:color w:val="000000" w:themeColor="text1"/>
                <w:sz w:val="18"/>
                <w:szCs w:val="18"/>
                <w:highlight w:val="none"/>
                <w14:textFill>
                  <w14:solidFill>
                    <w14:schemeClr w14:val="tx1"/>
                  </w14:solidFill>
                </w14:textFill>
              </w:rPr>
              <w:t>】。</w:t>
            </w:r>
          </w:p>
          <w:p>
            <w:pPr>
              <w:widowControl/>
              <w:spacing w:line="360" w:lineRule="auto"/>
              <w:jc w:val="left"/>
              <w:rPr>
                <w:rFonts w:ascii="黑体" w:hAnsi="黑体" w:eastAsia="黑体"/>
                <w:bCs/>
                <w:color w:val="000000" w:themeColor="text1"/>
                <w:sz w:val="18"/>
                <w:szCs w:val="18"/>
                <w:highlight w:val="none"/>
                <w14:textFill>
                  <w14:solidFill>
                    <w14:schemeClr w14:val="tx1"/>
                  </w14:solidFill>
                </w14:textFill>
              </w:rPr>
            </w:pPr>
            <w:r>
              <w:rPr>
                <w:rFonts w:hint="eastAsia" w:ascii="黑体" w:hAnsi="黑体" w:eastAsia="黑体"/>
                <w:bCs/>
                <w:color w:val="000000" w:themeColor="text1"/>
                <w:sz w:val="18"/>
                <w:szCs w:val="18"/>
                <w:highlight w:val="none"/>
                <w14:textFill>
                  <w14:solidFill>
                    <w14:schemeClr w14:val="tx1"/>
                  </w14:solidFill>
                </w14:textFill>
              </w:rPr>
              <w:t>（</w:t>
            </w:r>
            <w:r>
              <w:rPr>
                <w:rFonts w:hint="eastAsia" w:ascii="黑体" w:hAnsi="黑体" w:eastAsia="黑体"/>
                <w:bCs/>
                <w:color w:val="000000" w:themeColor="text1"/>
                <w:sz w:val="18"/>
                <w:szCs w:val="18"/>
                <w:highlight w:val="none"/>
                <w:lang w:val="en-US" w:eastAsia="zh-CN"/>
                <w14:textFill>
                  <w14:solidFill>
                    <w14:schemeClr w14:val="tx1"/>
                  </w14:solidFill>
                </w14:textFill>
              </w:rPr>
              <w:t>6</w:t>
            </w:r>
            <w:r>
              <w:rPr>
                <w:rFonts w:ascii="黑体" w:hAnsi="黑体" w:eastAsia="黑体"/>
                <w:bCs/>
                <w:color w:val="000000" w:themeColor="text1"/>
                <w:sz w:val="18"/>
                <w:szCs w:val="18"/>
                <w:highlight w:val="none"/>
                <w14:textFill>
                  <w14:solidFill>
                    <w14:schemeClr w14:val="tx1"/>
                  </w14:solidFill>
                </w14:textFill>
              </w:rPr>
              <w:t>）超额业绩报酬：</w:t>
            </w:r>
          </w:p>
          <w:p>
            <w:pPr>
              <w:widowControl/>
              <w:spacing w:line="360" w:lineRule="auto"/>
              <w:jc w:val="left"/>
              <w:rPr>
                <w:rFonts w:hint="eastAsia" w:ascii="黑体" w:hAnsi="黑体" w:eastAsia="黑体"/>
                <w:bCs/>
                <w:sz w:val="18"/>
                <w:szCs w:val="18"/>
                <w:highlight w:val="none"/>
              </w:rPr>
            </w:pPr>
            <w:r>
              <w:rPr>
                <w:rFonts w:hint="eastAsia" w:ascii="黑体" w:hAnsi="黑体" w:eastAsia="黑体" w:cs="黑体"/>
                <w:sz w:val="18"/>
                <w:szCs w:val="18"/>
                <w:highlight w:val="none"/>
              </w:rPr>
              <w:t>在超额业绩报酬计提日时，若理财资产扣除销售服务费、产品托管费</w:t>
            </w:r>
            <w:r>
              <w:rPr>
                <w:rFonts w:hint="eastAsia" w:ascii="黑体" w:hAnsi="黑体" w:eastAsia="黑体" w:cs="黑体"/>
                <w:sz w:val="18"/>
                <w:szCs w:val="18"/>
                <w:highlight w:val="none"/>
                <w:lang w:eastAsia="zh-CN"/>
              </w:rPr>
              <w:t>、</w:t>
            </w:r>
            <w:r>
              <w:rPr>
                <w:rFonts w:hint="eastAsia" w:ascii="黑体" w:hAnsi="黑体" w:eastAsia="黑体" w:cs="黑体"/>
                <w:sz w:val="18"/>
                <w:szCs w:val="18"/>
                <w:highlight w:val="none"/>
              </w:rPr>
              <w:t>投资管理费和信息技术服务费等相关费用和税收后，超额业绩报酬计提日产品份额净值折算的当前年化收益率超过当前业绩报酬计提基准，则产品管理人收取超出部分的【</w:t>
            </w:r>
            <w:r>
              <w:rPr>
                <w:rFonts w:hint="eastAsia" w:ascii="黑体" w:hAnsi="黑体" w:eastAsia="黑体" w:cs="黑体"/>
                <w:sz w:val="18"/>
                <w:szCs w:val="18"/>
                <w:highlight w:val="none"/>
                <w:lang w:val="en-US" w:eastAsia="zh-CN"/>
              </w:rPr>
              <w:t>50%</w:t>
            </w:r>
            <w:r>
              <w:rPr>
                <w:rFonts w:hint="eastAsia" w:ascii="黑体" w:hAnsi="黑体" w:eastAsia="黑体" w:cs="黑体"/>
                <w:sz w:val="18"/>
                <w:szCs w:val="18"/>
                <w:highlight w:val="none"/>
              </w:rPr>
              <w:t>】作为超额业绩报酬。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1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8" w:name="_Toc176181114"/>
      <w:bookmarkStart w:id="9" w:name="_Toc92377132"/>
      <w:bookmarkStart w:id="10" w:name="_Toc79154666"/>
      <w:bookmarkStart w:id="11" w:name="_Toc116984886"/>
      <w:r>
        <w:rPr>
          <w:rFonts w:ascii="Times New Roman"/>
          <w:sz w:val="30"/>
        </w:rPr>
        <w:t>第</w:t>
      </w:r>
      <w:r>
        <w:rPr>
          <w:rFonts w:hint="eastAsia" w:ascii="Times New Roman"/>
          <w:sz w:val="30"/>
        </w:rPr>
        <w:t>三条</w:t>
      </w:r>
      <w:r>
        <w:rPr>
          <w:rFonts w:ascii="Times New Roman"/>
          <w:sz w:val="30"/>
        </w:rPr>
        <w:t xml:space="preserve">  </w:t>
      </w:r>
      <w:bookmarkStart w:id="12" w:name="_Toc79392573"/>
      <w:r>
        <w:rPr>
          <w:rFonts w:hint="eastAsia" w:ascii="Times New Roman"/>
          <w:sz w:val="30"/>
        </w:rPr>
        <w:t>理财产品的认购</w:t>
      </w:r>
      <w:bookmarkEnd w:id="8"/>
      <w:bookmarkEnd w:id="9"/>
      <w:bookmarkEnd w:id="10"/>
      <w:bookmarkEnd w:id="11"/>
    </w:p>
    <w:p>
      <w:pPr>
        <w:spacing w:line="360" w:lineRule="auto"/>
        <w:ind w:firstLine="361" w:firstLineChars="200"/>
        <w:outlineLvl w:val="1"/>
        <w:rPr>
          <w:rFonts w:asciiTheme="minorEastAsia" w:hAnsiTheme="minorEastAsia"/>
          <w:b/>
          <w:bCs/>
          <w:sz w:val="18"/>
          <w:szCs w:val="18"/>
        </w:rPr>
      </w:pPr>
      <w:bookmarkStart w:id="13" w:name="_Hlt88031774"/>
      <w:bookmarkEnd w:id="13"/>
      <w:bookmarkStart w:id="14" w:name="_Hlt88031741"/>
      <w:r>
        <w:rPr>
          <w:rFonts w:hint="eastAsia" w:asciiTheme="minorEastAsia" w:hAnsiTheme="minorEastAsia"/>
          <w:b/>
          <w:bCs/>
          <w:sz w:val="18"/>
          <w:szCs w:val="18"/>
        </w:rPr>
        <w:t>（一）理财产品的认购</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1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1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认购期/募集期内投资者可提交认购申请。提交认购申请并不代表认购成功，产品管理人将在认购确认日确认投资者是否认购成功，是否成功以管理人的确认结果为准。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1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1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6.认购份额的计算</w:t>
      </w:r>
    </w:p>
    <w:p>
      <w:pPr>
        <w:pStyle w:val="1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1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1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1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1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9.募集期认购资金利息的处理</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1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1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1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5" w:name="_Toc176181115"/>
      <w:bookmarkStart w:id="16" w:name="_Toc116984887"/>
      <w:bookmarkStart w:id="17" w:name="_Toc79154667"/>
      <w:bookmarkStart w:id="18" w:name="_Toc9237713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5"/>
      <w:bookmarkEnd w:id="16"/>
      <w:bookmarkEnd w:id="17"/>
      <w:bookmarkEnd w:id="18"/>
    </w:p>
    <w:bookmarkEnd w:id="14"/>
    <w:p>
      <w:pPr>
        <w:pStyle w:val="1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1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1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1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1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bCs/>
          <w:kern w:val="0"/>
          <w:sz w:val="18"/>
          <w:szCs w:val="18"/>
        </w:rPr>
      </w:pPr>
      <w:r>
        <w:rPr>
          <w:rFonts w:hint="eastAsia" w:asciiTheme="minorEastAsia" w:hAnsiTheme="minorEastAsia"/>
          <w:bCs/>
          <w:kern w:val="0"/>
          <w:sz w:val="18"/>
          <w:szCs w:val="18"/>
        </w:rPr>
        <w:t>提交预约申购申请并不代表申购成功，产品管理人将在申购确认日确认投资者是否申购成功，是否成功以管理人的确认结果为准。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1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1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4"/>
        <w:spacing w:line="360" w:lineRule="auto"/>
        <w:ind w:firstLine="361" w:firstLineChars="200"/>
        <w:outlineLvl w:val="2"/>
        <w:rPr>
          <w:rFonts w:hint="eastAsia" w:asciiTheme="minorEastAsia" w:hAnsiTheme="minorEastAsia" w:eastAsiaTheme="minorEastAsia"/>
          <w:b/>
          <w:bCs/>
          <w:color w:val="auto"/>
          <w:sz w:val="18"/>
          <w:szCs w:val="18"/>
        </w:rPr>
      </w:pPr>
      <w:r>
        <w:rPr>
          <w:rFonts w:hint="eastAsia" w:asciiTheme="minorEastAsia" w:hAnsiTheme="minorEastAsia" w:eastAsiaTheme="minorEastAsia"/>
          <w:b/>
          <w:bCs/>
          <w:color w:val="auto"/>
          <w:sz w:val="18"/>
          <w:szCs w:val="18"/>
        </w:rPr>
        <w:t>9.申购确认日前申购资金利息的处理</w:t>
      </w:r>
    </w:p>
    <w:p>
      <w:pPr>
        <w:pStyle w:val="1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申购资金在实际扣划至管理人募集账户之日起至申购确认日期间的利息（如有）归投资者所有；申购资金实际扣划至管理人募集账户前的计息规则，具体以销售机构实际情况为准。</w:t>
      </w:r>
    </w:p>
    <w:p>
      <w:pPr>
        <w:pStyle w:val="1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1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1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1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1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提交预约赎回申请并不代表赎回成功，产品管理人将在赎回确认日确认投资者是否赎回成功，是否成功以管理人的确认结果为准。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1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1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1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1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1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1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1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2"/>
    <w:p>
      <w:pPr>
        <w:pStyle w:val="2"/>
        <w:spacing w:before="0" w:after="0" w:line="360" w:lineRule="auto"/>
        <w:jc w:val="center"/>
        <w:rPr>
          <w:rFonts w:ascii="Times New Roman"/>
          <w:sz w:val="30"/>
        </w:rPr>
      </w:pPr>
      <w:bookmarkStart w:id="19" w:name="_Toc27226"/>
      <w:bookmarkStart w:id="20" w:name="_Toc6714"/>
      <w:bookmarkStart w:id="21" w:name="_Toc176181116"/>
      <w:bookmarkStart w:id="22" w:name="_Toc29948"/>
      <w:bookmarkStart w:id="23" w:name="_Toc90742390"/>
      <w:bookmarkStart w:id="24" w:name="_Toc27189"/>
      <w:bookmarkStart w:id="25" w:name="_Toc92377134"/>
      <w:bookmarkStart w:id="26" w:name="_Toc90742688"/>
      <w:bookmarkStart w:id="27" w:name="_Toc15203"/>
      <w:bookmarkStart w:id="28" w:name="_Toc74065741"/>
      <w:bookmarkStart w:id="29" w:name="_Toc116984888"/>
      <w:bookmarkStart w:id="30" w:name="_Toc29784"/>
      <w:bookmarkStart w:id="31" w:name="_Toc16265"/>
      <w:bookmarkStart w:id="32" w:name="_Toc79154668"/>
      <w:bookmarkStart w:id="33" w:name="_Toc90742321"/>
      <w:bookmarkStart w:id="34" w:name="_Toc3266"/>
      <w:bookmarkStart w:id="35" w:name="_Toc7151"/>
      <w:bookmarkStart w:id="36" w:name="_Toc2207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1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1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
      <w:pPr>
        <w:pStyle w:val="14"/>
        <w:spacing w:line="360" w:lineRule="auto"/>
        <w:ind w:firstLine="361" w:firstLineChars="200"/>
        <w:outlineLvl w:val="1"/>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14"/>
        <w:spacing w:line="360" w:lineRule="auto"/>
        <w:ind w:firstLine="360" w:firstLineChars="200"/>
        <w:rPr>
          <w:rFonts w:ascii="宋体" w:hAnsi="宋体" w:eastAsia="宋体" w:cs="宋体"/>
          <w:sz w:val="18"/>
        </w:rPr>
      </w:pPr>
      <w:r>
        <w:rPr>
          <w:rFonts w:ascii="宋体" w:hAnsi="宋体" w:eastAsia="宋体" w:cs="宋体"/>
          <w:sz w:val="18"/>
        </w:rPr>
        <w:t>（1）银行存款、债券逆回购、货币基金等货币市场工具及其它银行间和交易所资金融通工具；</w:t>
      </w:r>
    </w:p>
    <w:p>
      <w:pPr>
        <w:pStyle w:val="14"/>
        <w:spacing w:line="360" w:lineRule="auto"/>
        <w:ind w:firstLine="360" w:firstLineChars="200"/>
        <w:rPr>
          <w:rFonts w:ascii="宋体" w:hAnsi="宋体" w:eastAsia="宋体" w:cs="宋体"/>
          <w:sz w:val="18"/>
        </w:rPr>
      </w:pP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14"/>
        <w:spacing w:line="360" w:lineRule="auto"/>
        <w:ind w:firstLine="360" w:firstLineChars="200"/>
        <w:rPr>
          <w:rFonts w:ascii="宋体" w:hAnsi="宋体" w:eastAsia="宋体" w:cs="宋体"/>
          <w:sz w:val="18"/>
        </w:rPr>
      </w:pPr>
      <w:r>
        <w:rPr>
          <w:rFonts w:ascii="宋体" w:hAnsi="宋体" w:eastAsia="宋体" w:cs="宋体"/>
          <w:sz w:val="18"/>
        </w:rPr>
        <w:t>（3）符合监管要求的债权类资产。</w:t>
      </w:r>
    </w:p>
    <w:p>
      <w:pPr>
        <w:pStyle w:val="14"/>
        <w:spacing w:line="360" w:lineRule="auto"/>
        <w:ind w:firstLine="360" w:firstLineChars="200"/>
        <w:rPr>
          <w:rFonts w:ascii="宋体" w:hAnsi="宋体" w:eastAsia="宋体" w:cs="宋体"/>
          <w:sz w:val="18"/>
        </w:rPr>
      </w:pPr>
      <w:r>
        <w:rPr>
          <w:rFonts w:ascii="宋体" w:hAnsi="宋体" w:eastAsia="宋体" w:cs="宋体"/>
          <w:sz w:val="18"/>
        </w:rPr>
        <w:t>（4）以套期保值为目的的国债期货、利率互换、信用风险缓释工具、债券借贷。</w:t>
      </w:r>
    </w:p>
    <w:p>
      <w:pPr>
        <w:pStyle w:val="14"/>
        <w:spacing w:line="360" w:lineRule="auto"/>
        <w:ind w:firstLine="360" w:firstLineChars="200"/>
        <w:rPr>
          <w:rFonts w:ascii="宋体" w:hAnsi="宋体" w:eastAsia="宋体" w:cs="宋体"/>
          <w:sz w:val="18"/>
        </w:rPr>
      </w:pPr>
      <w:r>
        <w:rPr>
          <w:rFonts w:ascii="宋体" w:hAnsi="宋体" w:eastAsia="宋体" w:cs="宋体"/>
          <w:sz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14"/>
        <w:spacing w:line="360" w:lineRule="auto"/>
        <w:ind w:firstLine="360" w:firstLineChars="200"/>
        <w:rPr>
          <w:rFonts w:asciiTheme="majorEastAsia" w:hAnsiTheme="majorEastAsia" w:eastAsiaTheme="majorEastAsia"/>
          <w:bCs/>
          <w:color w:val="auto"/>
          <w:sz w:val="18"/>
          <w:szCs w:val="18"/>
        </w:rPr>
      </w:pPr>
      <w:r>
        <w:rPr>
          <w:rFonts w:ascii="宋体" w:hAnsi="宋体" w:eastAsia="宋体" w:cs="宋体"/>
          <w:sz w:val="18"/>
        </w:rPr>
        <w:t>（6）其他风险不高于前述资产的资产。</w:t>
      </w:r>
      <w:r>
        <w:rPr>
          <w:rFonts w:ascii="宋体" w:hAnsi="宋体" w:eastAsia="宋体" w:cs="宋体"/>
          <w:sz w:val="18"/>
        </w:rPr>
        <w:br w:type="textWrapping"/>
      </w:r>
      <w:r>
        <w:rPr>
          <w:rFonts w:ascii="宋体" w:hAnsi="宋体" w:eastAsia="宋体" w:cs="宋体"/>
          <w:sz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宋体" w:hAnsi="宋体" w:eastAsia="宋体" w:cs="宋体"/>
          <w:sz w:val="18"/>
        </w:rPr>
      </w:pPr>
      <w:r>
        <w:rPr>
          <w:rFonts w:ascii="宋体" w:hAnsi="宋体" w:eastAsia="宋体" w:cs="宋体"/>
          <w:sz w:val="18"/>
        </w:rPr>
        <w:t xml:space="preserve">（1）本产品投资于债权类资产的比例不低于产品总资产的80%。 </w:t>
      </w:r>
    </w:p>
    <w:p>
      <w:pPr>
        <w:autoSpaceDE w:val="0"/>
        <w:autoSpaceDN w:val="0"/>
        <w:adjustRightInd w:val="0"/>
        <w:spacing w:line="360" w:lineRule="auto"/>
        <w:ind w:firstLine="360" w:firstLineChars="200"/>
        <w:jc w:val="left"/>
        <w:rPr>
          <w:rFonts w:ascii="宋体" w:hAnsi="宋体" w:eastAsia="宋体" w:cs="宋体"/>
          <w:sz w:val="18"/>
        </w:rPr>
      </w:pPr>
      <w:r>
        <w:rPr>
          <w:rFonts w:ascii="宋体" w:hAnsi="宋体" w:eastAsia="宋体" w:cs="宋体"/>
          <w:sz w:val="18"/>
        </w:rPr>
        <w:t>（2）符合监管要求的非标准化债权类资产低于产品净资产的50%。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（3）国债期货、利率互换、债券借贷的合约价值占产品总资产比例不高于5%。</w:t>
      </w:r>
    </w:p>
    <w:p>
      <w:pPr>
        <w:autoSpaceDE w:val="0"/>
        <w:autoSpaceDN w:val="0"/>
        <w:adjustRightInd w:val="0"/>
        <w:spacing w:line="360" w:lineRule="auto"/>
        <w:ind w:firstLine="360" w:firstLineChars="200"/>
        <w:jc w:val="left"/>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非因管理人主观因素导致突破前款规定比例限制的，产品管理人在流动性受限资产可出售、可转让或者恢复交易的1</w:t>
      </w:r>
      <w:r>
        <w:rPr>
          <w:rFonts w:hint="eastAsia" w:asciiTheme="majorEastAsia" w:hAnsiTheme="majorEastAsia" w:eastAsiaTheme="majorEastAsia"/>
          <w:bCs/>
          <w:color w:val="auto"/>
          <w:sz w:val="18"/>
          <w:szCs w:val="18"/>
          <w:lang w:val="en-US" w:eastAsia="zh-CN"/>
        </w:rPr>
        <w:t>5</w:t>
      </w:r>
      <w:r>
        <w:rPr>
          <w:rFonts w:hint="eastAsia" w:asciiTheme="majorEastAsia" w:hAnsiTheme="majorEastAsia" w:eastAsiaTheme="majorEastAsia"/>
          <w:bCs/>
          <w:color w:val="auto"/>
          <w:sz w:val="18"/>
          <w:szCs w:val="18"/>
        </w:rPr>
        <w:t xml:space="preserve">个交易日内调整至符合要求，监管机构规定的特殊情形除外。 </w:t>
      </w:r>
    </w:p>
    <w:p>
      <w:pPr>
        <w:autoSpaceDE w:val="0"/>
        <w:autoSpaceDN w:val="0"/>
        <w:adjustRightInd w:val="0"/>
        <w:spacing w:line="360" w:lineRule="auto"/>
        <w:ind w:firstLine="361" w:firstLineChars="200"/>
        <w:jc w:val="left"/>
        <w:rPr>
          <w:rFonts w:asciiTheme="majorEastAsia" w:hAnsiTheme="majorEastAsia" w:eastAsiaTheme="majorEastAsia"/>
          <w:bCs/>
          <w:color w:val="auto"/>
          <w:sz w:val="18"/>
          <w:szCs w:val="18"/>
        </w:rPr>
      </w:pPr>
      <w:r>
        <w:rPr>
          <w:rFonts w:hint="eastAsia" w:asciiTheme="majorEastAsia" w:hAnsiTheme="majorEastAsia" w:eastAsiaTheme="majorEastAsia"/>
          <w:b/>
          <w:bCs w:val="0"/>
          <w:color w:val="auto"/>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
          <w:bCs w:val="0"/>
          <w:sz w:val="18"/>
          <w:szCs w:val="18"/>
        </w:rPr>
        <w:t>。</w:t>
      </w:r>
      <w:r>
        <w:rPr>
          <w:rFonts w:hint="eastAsia" w:asciiTheme="majorEastAsia" w:hAnsiTheme="majorEastAsia" w:eastAsiaTheme="majorEastAsia"/>
          <w:bCs/>
          <w:color w:val="auto"/>
          <w:sz w:val="18"/>
          <w:szCs w:val="18"/>
        </w:rPr>
        <w:t xml:space="preserve"> </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1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14"/>
        <w:spacing w:line="360" w:lineRule="auto"/>
        <w:ind w:firstLine="271" w:firstLineChars="150"/>
        <w:outlineLvl w:val="1"/>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1）-（4）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（5）每只开放式公募理财产品直接投资于流动性受限资产的市值在开放日不得超过该产品资产净值的15%。</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 xml:space="preserve">（7）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（8）本产品因为流动性需要可开展存单质押、债券正回购等融资业务，本产品总资产不超过净资产的140%。 </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outlineLvl w:val="1"/>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14"/>
        <w:spacing w:line="360" w:lineRule="auto"/>
        <w:ind w:firstLine="360" w:firstLineChars="200"/>
        <w:rPr>
          <w:rFonts w:ascii="宋体" w:hAnsi="宋体" w:eastAsia="宋体" w:cs="宋体"/>
          <w:sz w:val="18"/>
        </w:rPr>
      </w:pPr>
      <w:r>
        <w:rPr>
          <w:rFonts w:ascii="宋体" w:hAnsi="宋体" w:eastAsia="宋体" w:cs="宋体"/>
          <w:sz w:val="18"/>
        </w:rPr>
        <w:t>【通过对经济基本面、企业盈利、无风险利率水平、资金面等因素进行定性和定量分析，根据产品的业绩目标和回撤目标制定各个阶段产品资产投资比例。</w:t>
      </w:r>
    </w:p>
    <w:p>
      <w:pPr>
        <w:pStyle w:val="14"/>
        <w:spacing w:line="360" w:lineRule="auto"/>
        <w:ind w:firstLine="540" w:firstLineChars="300"/>
        <w:rPr>
          <w:rFonts w:asciiTheme="majorEastAsia" w:hAnsiTheme="majorEastAsia" w:eastAsiaTheme="majorEastAsia"/>
          <w:bCs/>
          <w:color w:val="auto"/>
          <w:sz w:val="18"/>
          <w:szCs w:val="18"/>
        </w:rPr>
      </w:pPr>
      <w:r>
        <w:rPr>
          <w:rFonts w:ascii="宋体" w:hAnsi="宋体" w:eastAsia="宋体" w:cs="宋体"/>
          <w:sz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pPr>
        <w:pStyle w:val="6"/>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7" w:name="_Toc26986"/>
      <w:bookmarkStart w:id="38" w:name="_Toc92377135"/>
      <w:bookmarkStart w:id="39" w:name="_Toc141703885"/>
      <w:bookmarkStart w:id="40" w:name="_Toc18526"/>
      <w:bookmarkStart w:id="41" w:name="_Toc176181117"/>
      <w:bookmarkStart w:id="42" w:name="_Toc17912"/>
      <w:bookmarkStart w:id="43" w:name="_Toc21988"/>
      <w:bookmarkStart w:id="44" w:name="_Toc18797"/>
      <w:bookmarkStart w:id="45" w:name="_Toc1823"/>
      <w:bookmarkStart w:id="46" w:name="_Toc4741"/>
      <w:bookmarkStart w:id="47" w:name="_Toc79154669"/>
      <w:bookmarkStart w:id="48" w:name="_Toc14893"/>
      <w:bookmarkStart w:id="49" w:name="_Toc7848"/>
      <w:bookmarkStart w:id="50" w:name="_Toc139991735"/>
      <w:bookmarkStart w:id="51" w:name="_Toc74065742"/>
      <w:bookmarkStart w:id="52" w:name="_Toc116984889"/>
      <w:bookmarkStart w:id="53" w:name="_Toc18329"/>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14"/>
        <w:spacing w:line="360" w:lineRule="auto"/>
        <w:ind w:firstLine="361" w:firstLineChars="200"/>
        <w:outlineLvl w:val="1"/>
        <w:rPr>
          <w:rFonts w:asciiTheme="majorEastAsia" w:hAnsiTheme="majorEastAsia" w:eastAsiaTheme="majorEastAsia"/>
          <w:b/>
          <w:color w:val="auto"/>
          <w:sz w:val="18"/>
          <w:szCs w:val="18"/>
        </w:rPr>
      </w:pPr>
      <w:bookmarkStart w:id="54" w:name="_Hlk490214295"/>
      <w:r>
        <w:rPr>
          <w:rFonts w:hint="eastAsia" w:asciiTheme="majorEastAsia" w:hAnsiTheme="majorEastAsia" w:eastAsiaTheme="majorEastAsia"/>
          <w:b/>
          <w:color w:val="auto"/>
          <w:sz w:val="18"/>
          <w:szCs w:val="18"/>
        </w:rPr>
        <w:t>（一）理财产品的资产的保管和处分</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1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1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54"/>
    <w:p>
      <w:pPr>
        <w:pStyle w:val="2"/>
        <w:spacing w:before="0" w:after="0" w:line="360" w:lineRule="auto"/>
        <w:jc w:val="center"/>
        <w:rPr>
          <w:rFonts w:ascii="Times New Roman"/>
          <w:sz w:val="28"/>
          <w:szCs w:val="28"/>
        </w:rPr>
      </w:pPr>
      <w:bookmarkStart w:id="55" w:name="_Toc92377136"/>
      <w:bookmarkStart w:id="56" w:name="_Toc83391971"/>
      <w:bookmarkStart w:id="57" w:name="_Toc176181118"/>
      <w:bookmarkStart w:id="58" w:name="_Toc116984890"/>
      <w:bookmarkStart w:id="59" w:name="_Toc23822"/>
      <w:bookmarkStart w:id="60" w:name="_Toc79392606"/>
      <w:bookmarkStart w:id="61" w:name="_Toc7920"/>
      <w:bookmarkStart w:id="62" w:name="_Toc141703886"/>
      <w:bookmarkStart w:id="63" w:name="_Toc1427"/>
      <w:bookmarkStart w:id="64" w:name="_Toc17244"/>
      <w:bookmarkStart w:id="65" w:name="_Toc610"/>
      <w:bookmarkStart w:id="66" w:name="_Toc48649707"/>
      <w:bookmarkStart w:id="67" w:name="_Toc79154670"/>
      <w:bookmarkStart w:id="68" w:name="_Toc4003"/>
      <w:bookmarkStart w:id="69" w:name="_Toc74065743"/>
      <w:bookmarkStart w:id="70" w:name="_Toc23261"/>
      <w:bookmarkStart w:id="71" w:name="_Toc10463"/>
      <w:bookmarkStart w:id="72" w:name="_Toc123102453"/>
      <w:bookmarkStart w:id="73" w:name="_Toc123112234"/>
      <w:bookmarkStart w:id="74" w:name="_Toc20733"/>
      <w:bookmarkStart w:id="75" w:name="_Toc123051452"/>
      <w:bookmarkStart w:id="76" w:name="_Toc139991736"/>
      <w:bookmarkStart w:id="77" w:name="_Toc98560352"/>
      <w:bookmarkStart w:id="78" w:name="_Toc1270"/>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55"/>
      <w:bookmarkEnd w:id="56"/>
      <w:bookmarkEnd w:id="57"/>
      <w:bookmarkEnd w:id="58"/>
    </w:p>
    <w:p>
      <w:pPr>
        <w:pStyle w:val="1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14"/>
        <w:spacing w:line="360" w:lineRule="auto"/>
        <w:ind w:firstLine="361" w:firstLineChars="200"/>
        <w:outlineLvl w:val="1"/>
        <w:rPr>
          <w:rFonts w:hint="default" w:asciiTheme="minorEastAsia" w:hAnsiTheme="minorEastAsia" w:eastAsiaTheme="minorEastAsia"/>
          <w:b/>
          <w:color w:val="auto"/>
          <w:sz w:val="18"/>
          <w:szCs w:val="18"/>
          <w:lang w:val="en-US" w:eastAsia="zh-CN"/>
        </w:rPr>
      </w:pPr>
      <w:r>
        <w:rPr>
          <w:rFonts w:hint="eastAsia" w:asciiTheme="minorEastAsia" w:hAnsiTheme="minorEastAsia" w:eastAsiaTheme="minorEastAsia"/>
          <w:b/>
          <w:color w:val="auto"/>
          <w:sz w:val="18"/>
          <w:szCs w:val="18"/>
        </w:rPr>
        <w:t>（一）估值目的</w:t>
      </w:r>
      <w:r>
        <w:rPr>
          <w:rFonts w:hint="eastAsia" w:asciiTheme="minorEastAsia" w:hAnsiTheme="minorEastAsia" w:eastAsiaTheme="minorEastAsia"/>
          <w:b/>
          <w:color w:val="auto"/>
          <w:sz w:val="18"/>
          <w:szCs w:val="18"/>
          <w:lang w:val="en-US" w:eastAsia="zh-CN"/>
        </w:rPr>
        <w:t>与原则</w:t>
      </w:r>
    </w:p>
    <w:p>
      <w:pPr>
        <w:pStyle w:val="1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1.估值目的：理财资产估值的目的是客观、准确地反映理财资产是否保值、增值。</w:t>
      </w:r>
    </w:p>
    <w:p>
      <w:pPr>
        <w:pStyle w:val="1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2.估值原则：管理人在对理财产品进行估值时，应符合《企业会计准则》等监管要求及规定，遵循以下基本原则：</w:t>
      </w:r>
    </w:p>
    <w:p>
      <w:pPr>
        <w:pStyle w:val="1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（1）公允性原则：估值结果应真实、公允地反映金融工具的价值。</w:t>
      </w:r>
    </w:p>
    <w:p>
      <w:pPr>
        <w:pStyle w:val="1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（2）一致性原则：管理人对不同理财产品持有的具有相同特征的金融工具的估值原则、程序及技术应当保持一致。</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（3）审慎性原则：管理人应充分、审慎地考虑影响金融工具价值的风险因素，确保估值方法、模型、参数与假设的合理性。</w:t>
      </w:r>
    </w:p>
    <w:p>
      <w:pPr>
        <w:pStyle w:val="1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6"/>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本产品存续期间，产品管理人每【日】估值。</w:t>
      </w:r>
    </w:p>
    <w:p>
      <w:pPr>
        <w:pStyle w:val="1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14"/>
        <w:spacing w:line="360" w:lineRule="auto"/>
        <w:ind w:firstLine="361" w:firstLineChars="20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1）标准化债权类资产以公允价值计量，主要依据为第三方估值机构提供的价格数据。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hint="eastAsia" w:asciiTheme="majorEastAsia" w:hAnsiTheme="majorEastAsia" w:eastAsiaTheme="majorEastAsia"/>
          <w:bCs/>
          <w:sz w:val="18"/>
          <w:szCs w:val="18"/>
        </w:rPr>
        <w:t>对已发行但未上市流通，且第三方估值机构未提供估值数据的标准化债权类资产，采用当前情况下适用并且有足够可利用数据和其他信息支持的估值技术确定其公允价值。</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sz w:val="18"/>
          <w:szCs w:val="18"/>
        </w:rPr>
        <w:t>对于同时在多个不同市场交易的标准化债权类资产，按照其所处的市场及相应的估值标准，分别进行估值。</w:t>
      </w:r>
    </w:p>
    <w:p>
      <w:pPr>
        <w:pStyle w:val="1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1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3.非标准化债权类资产</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1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4.上市公司股票</w:t>
      </w:r>
      <w:r>
        <w:rPr>
          <w:rFonts w:hint="eastAsia" w:asciiTheme="majorEastAsia" w:hAnsiTheme="majorEastAsia" w:eastAsiaTheme="majorEastAsia"/>
          <w:bCs/>
          <w:color w:val="auto"/>
          <w:sz w:val="18"/>
          <w:szCs w:val="18"/>
        </w:rPr>
        <w:t>估值</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1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5.未上市公司股权</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int="eastAsia"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6.</w:t>
      </w:r>
      <w:r>
        <w:rPr>
          <w:rFonts w:hint="eastAsia" w:asciiTheme="minorEastAsia" w:hAnsiTheme="minorEastAsia" w:eastAsiaTheme="minorEastAsia"/>
          <w:color w:val="auto"/>
          <w:sz w:val="18"/>
          <w:szCs w:val="18"/>
        </w:rPr>
        <w:t>优先股</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证券投资基金估值</w:t>
      </w:r>
    </w:p>
    <w:p>
      <w:pPr>
        <w:pStyle w:val="1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r>
        <w:rPr>
          <w:rFonts w:asciiTheme="minorEastAsia" w:hAnsiTheme="minorEastAsia" w:eastAsiaTheme="minorEastAsia"/>
          <w:color w:val="auto"/>
          <w:sz w:val="18"/>
          <w:szCs w:val="18"/>
        </w:rPr>
        <w:t>。</w:t>
      </w:r>
    </w:p>
    <w:p>
      <w:pPr>
        <w:pStyle w:val="1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8.</w:t>
      </w:r>
      <w:r>
        <w:rPr>
          <w:rFonts w:hint="eastAsia" w:asciiTheme="minorEastAsia" w:hAnsiTheme="minorEastAsia" w:eastAsiaTheme="minorEastAsia"/>
          <w:color w:val="auto"/>
          <w:sz w:val="18"/>
          <w:szCs w:val="18"/>
        </w:rPr>
        <w:t>其他资产管理产品的估值</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9.衍生金融工具估值</w:t>
      </w:r>
    </w:p>
    <w:p>
      <w:pPr>
        <w:pStyle w:val="1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1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（2）对于非交易所交易的衍生金融工具，可依据第三方机构提供的价格数据或采取相应衍生金融工具估值模型确定公允价值。</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10.</w:t>
      </w:r>
      <w:r>
        <w:rPr>
          <w:rFonts w:hint="eastAsia" w:asciiTheme="minorEastAsia" w:hAnsiTheme="minorEastAsia" w:eastAsiaTheme="minorEastAsia"/>
          <w:color w:val="auto"/>
          <w:sz w:val="18"/>
          <w:szCs w:val="18"/>
        </w:rPr>
        <w:t>存款、拆借、回购等货币市场工具的估值</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1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1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1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1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1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1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14"/>
        <w:spacing w:line="360" w:lineRule="auto"/>
        <w:ind w:firstLine="361" w:firstLineChars="200"/>
        <w:outlineLvl w:val="1"/>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1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14"/>
        <w:spacing w:line="360" w:lineRule="auto"/>
        <w:ind w:firstLine="361" w:firstLineChars="200"/>
        <w:outlineLvl w:val="1"/>
        <w:rPr>
          <w:rFonts w:ascii="黑体" w:hAnsi="黑体" w:eastAsia="黑体"/>
          <w:b/>
          <w:sz w:val="18"/>
          <w:szCs w:val="18"/>
        </w:rPr>
      </w:pPr>
      <w:r>
        <w:rPr>
          <w:rFonts w:hint="eastAsia" w:ascii="黑体" w:hAnsi="黑体" w:eastAsia="黑体"/>
          <w:b/>
          <w:sz w:val="18"/>
          <w:szCs w:val="18"/>
        </w:rPr>
        <w:t>（七）★暂停估值</w:t>
      </w:r>
    </w:p>
    <w:p>
      <w:pPr>
        <w:pStyle w:val="1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1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1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1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1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Pr>
        <w:pStyle w:val="2"/>
        <w:spacing w:before="0" w:after="0" w:line="360" w:lineRule="auto"/>
        <w:ind w:left="60" w:firstLine="10"/>
        <w:jc w:val="center"/>
        <w:rPr>
          <w:rFonts w:ascii="Times New Roman"/>
          <w:sz w:val="30"/>
        </w:rPr>
      </w:pPr>
      <w:bookmarkStart w:id="79" w:name="_Hlt70481650"/>
      <w:bookmarkEnd w:id="79"/>
      <w:bookmarkStart w:id="80" w:name="_Toc31235"/>
      <w:bookmarkStart w:id="81" w:name="_Toc139991737"/>
      <w:bookmarkStart w:id="82" w:name="_Toc92377137"/>
      <w:bookmarkStart w:id="83" w:name="_Toc31653"/>
      <w:bookmarkStart w:id="84" w:name="_Toc176181119"/>
      <w:bookmarkStart w:id="85" w:name="_Toc141703887"/>
      <w:bookmarkStart w:id="86" w:name="_Toc116984891"/>
      <w:bookmarkStart w:id="87" w:name="_Toc3601"/>
      <w:bookmarkStart w:id="88" w:name="_Toc74065744"/>
      <w:bookmarkStart w:id="89" w:name="_Toc79154671"/>
      <w:bookmarkStart w:id="90" w:name="_Toc29251"/>
      <w:bookmarkStart w:id="91" w:name="_Toc123112235"/>
      <w:bookmarkStart w:id="92" w:name="_Toc31644"/>
      <w:bookmarkStart w:id="93" w:name="_Toc123102454"/>
      <w:bookmarkStart w:id="94" w:name="_Toc14835"/>
      <w:bookmarkStart w:id="95" w:name="_Toc12245"/>
      <w:bookmarkStart w:id="96" w:name="_Toc123051453"/>
      <w:bookmarkStart w:id="97" w:name="_Toc26207"/>
      <w:bookmarkStart w:id="98" w:name="_Toc98560353"/>
      <w:bookmarkStart w:id="99" w:name="_Toc6405"/>
      <w:bookmarkStart w:id="100" w:name="_Toc15143"/>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Hlt55355235"/>
      <w:bookmarkEnd w:id="101"/>
      <w:bookmarkStart w:id="102" w:name="_Toc57530239"/>
      <w:bookmarkStart w:id="103" w:name="_Toc15118234"/>
      <w:bookmarkStart w:id="104" w:name="_Toc523711668"/>
      <w:bookmarkStart w:id="105" w:name="_Toc79392580"/>
    </w:p>
    <w:p>
      <w:pPr>
        <w:pStyle w:val="14"/>
        <w:spacing w:line="360" w:lineRule="auto"/>
        <w:ind w:firstLine="361" w:firstLineChars="200"/>
        <w:outlineLvl w:val="1"/>
        <w:rPr>
          <w:rFonts w:hint="eastAsia" w:hAnsi="宋体"/>
          <w:b/>
          <w:color w:val="auto"/>
          <w:sz w:val="18"/>
          <w:szCs w:val="18"/>
        </w:rPr>
      </w:pPr>
      <w:r>
        <w:rPr>
          <w:rFonts w:hint="eastAsia" w:hAnsi="宋体"/>
          <w:b/>
          <w:color w:val="auto"/>
          <w:sz w:val="18"/>
          <w:szCs w:val="18"/>
        </w:rPr>
        <w:t>（一）理财利益和收益的构成</w:t>
      </w:r>
    </w:p>
    <w:p>
      <w:pPr>
        <w:pStyle w:val="14"/>
        <w:spacing w:line="360" w:lineRule="auto"/>
        <w:ind w:firstLine="360" w:firstLineChars="200"/>
        <w:outlineLvl w:val="1"/>
        <w:rPr>
          <w:rFonts w:hint="eastAsia" w:hAnsi="宋体"/>
          <w:b w:val="0"/>
          <w:bCs/>
          <w:color w:val="auto"/>
          <w:sz w:val="18"/>
          <w:szCs w:val="18"/>
        </w:rPr>
      </w:pPr>
      <w:r>
        <w:rPr>
          <w:rFonts w:hint="eastAsia" w:hAnsi="宋体"/>
          <w:b w:val="0"/>
          <w:bCs/>
          <w:color w:val="auto"/>
          <w:sz w:val="18"/>
          <w:szCs w:val="18"/>
        </w:rPr>
        <w:t>理财利益由投资本金和理财收益（如有）构成。其中，理财收益是指产品运作过程中产生的利息收入、投资收益、公允价值变动收益和其他收入扣除相关税收和费用后的余额。</w:t>
      </w:r>
    </w:p>
    <w:p>
      <w:pPr>
        <w:pStyle w:val="14"/>
        <w:spacing w:line="360" w:lineRule="auto"/>
        <w:ind w:firstLine="360" w:firstLineChars="200"/>
        <w:outlineLvl w:val="1"/>
        <w:rPr>
          <w:rFonts w:hint="eastAsia" w:hAnsi="宋体"/>
          <w:b w:val="0"/>
          <w:bCs/>
          <w:color w:val="auto"/>
          <w:sz w:val="18"/>
          <w:szCs w:val="18"/>
        </w:rPr>
      </w:pPr>
      <w:r>
        <w:rPr>
          <w:rFonts w:hint="eastAsia" w:hAnsi="宋体"/>
          <w:b w:val="0"/>
          <w:bCs/>
          <w:color w:val="auto"/>
          <w:sz w:val="18"/>
          <w:szCs w:val="18"/>
        </w:rPr>
        <w:t>该收益的构成不代表投资者一定可以获得收益。</w:t>
      </w:r>
    </w:p>
    <w:p>
      <w:pPr>
        <w:pStyle w:val="14"/>
        <w:spacing w:line="360" w:lineRule="auto"/>
        <w:ind w:firstLine="361" w:firstLineChars="200"/>
        <w:outlineLvl w:val="1"/>
        <w:rPr>
          <w:rFonts w:hAnsi="宋体"/>
          <w:b/>
          <w:color w:val="auto"/>
          <w:sz w:val="18"/>
          <w:szCs w:val="18"/>
        </w:rPr>
      </w:pPr>
      <w:r>
        <w:rPr>
          <w:rFonts w:hint="eastAsia" w:hAnsi="宋体"/>
          <w:b/>
          <w:color w:val="auto"/>
          <w:sz w:val="18"/>
          <w:szCs w:val="18"/>
        </w:rPr>
        <w:t>（</w:t>
      </w:r>
      <w:r>
        <w:rPr>
          <w:rFonts w:hint="eastAsia" w:hAnsi="宋体"/>
          <w:b/>
          <w:color w:val="auto"/>
          <w:sz w:val="18"/>
          <w:szCs w:val="18"/>
          <w:lang w:val="en-US" w:eastAsia="zh-CN"/>
        </w:rPr>
        <w:t>二</w:t>
      </w:r>
      <w:r>
        <w:rPr>
          <w:rFonts w:hint="eastAsia" w:hAnsi="宋体"/>
          <w:b/>
          <w:color w:val="auto"/>
          <w:sz w:val="18"/>
          <w:szCs w:val="18"/>
        </w:rPr>
        <w:t>）理财利益的分配类型</w:t>
      </w:r>
    </w:p>
    <w:p>
      <w:pPr>
        <w:pStyle w:val="1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1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14"/>
        <w:spacing w:line="360" w:lineRule="auto"/>
        <w:ind w:firstLine="361" w:firstLineChars="200"/>
        <w:outlineLvl w:val="1"/>
        <w:rPr>
          <w:rFonts w:hAnsi="宋体"/>
          <w:color w:val="auto"/>
          <w:sz w:val="18"/>
          <w:szCs w:val="18"/>
        </w:rPr>
      </w:pPr>
      <w:r>
        <w:rPr>
          <w:rFonts w:hint="eastAsia" w:hAnsi="宋体"/>
          <w:b/>
          <w:color w:val="auto"/>
          <w:sz w:val="18"/>
          <w:szCs w:val="18"/>
        </w:rPr>
        <w:t>（</w:t>
      </w:r>
      <w:r>
        <w:rPr>
          <w:rFonts w:hint="eastAsia" w:hAnsi="宋体"/>
          <w:b/>
          <w:color w:val="auto"/>
          <w:sz w:val="18"/>
          <w:szCs w:val="18"/>
          <w:lang w:val="en-US" w:eastAsia="zh-CN"/>
        </w:rPr>
        <w:t>三</w:t>
      </w:r>
      <w:r>
        <w:rPr>
          <w:rFonts w:hint="eastAsia" w:hAnsi="宋体"/>
          <w:b/>
          <w:color w:val="auto"/>
          <w:sz w:val="18"/>
          <w:szCs w:val="18"/>
        </w:rPr>
        <w:t>）理财利益的分配原则</w:t>
      </w:r>
    </w:p>
    <w:p>
      <w:pPr>
        <w:pStyle w:val="1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1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1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14"/>
        <w:spacing w:line="360" w:lineRule="auto"/>
        <w:ind w:firstLine="361" w:firstLineChars="200"/>
        <w:outlineLvl w:val="1"/>
        <w:rPr>
          <w:rFonts w:hAnsi="宋体"/>
          <w:b/>
          <w:bCs/>
          <w:color w:val="auto"/>
          <w:sz w:val="18"/>
          <w:szCs w:val="18"/>
        </w:rPr>
      </w:pPr>
      <w:r>
        <w:rPr>
          <w:rFonts w:hint="eastAsia" w:hAnsi="宋体"/>
          <w:b/>
          <w:bCs/>
          <w:color w:val="auto"/>
          <w:sz w:val="18"/>
          <w:szCs w:val="18"/>
        </w:rPr>
        <w:t>（</w:t>
      </w:r>
      <w:r>
        <w:rPr>
          <w:rFonts w:hint="eastAsia" w:hAnsi="宋体"/>
          <w:b/>
          <w:bCs/>
          <w:color w:val="auto"/>
          <w:sz w:val="18"/>
          <w:szCs w:val="18"/>
          <w:lang w:val="en-US" w:eastAsia="zh-CN"/>
        </w:rPr>
        <w:t>四</w:t>
      </w:r>
      <w:r>
        <w:rPr>
          <w:rFonts w:hint="eastAsia" w:hAnsi="宋体"/>
          <w:b/>
          <w:bCs/>
          <w:color w:val="auto"/>
          <w:sz w:val="18"/>
          <w:szCs w:val="18"/>
        </w:rPr>
        <w:t>）理财利益的分配方案</w:t>
      </w:r>
    </w:p>
    <w:p>
      <w:pPr>
        <w:pStyle w:val="14"/>
        <w:spacing w:line="360" w:lineRule="auto"/>
        <w:ind w:firstLine="360" w:firstLineChars="200"/>
        <w:rPr>
          <w:rFonts w:hAnsi="宋体"/>
          <w:bCs/>
          <w:color w:val="auto"/>
          <w:sz w:val="18"/>
          <w:szCs w:val="18"/>
        </w:rPr>
      </w:pPr>
      <w:r>
        <w:rPr>
          <w:rFonts w:hAnsi="宋体"/>
          <w:bCs/>
          <w:color w:val="auto"/>
          <w:sz w:val="18"/>
          <w:szCs w:val="18"/>
        </w:rPr>
        <w:t>1.分配方案要点：</w:t>
      </w:r>
    </w:p>
    <w:p>
      <w:pPr>
        <w:pStyle w:val="1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1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1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1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outlineLvl w:val="1"/>
        <w:rPr>
          <w:rFonts w:ascii="宋体" w:hAnsi="宋体"/>
          <w:b/>
          <w:sz w:val="18"/>
          <w:szCs w:val="18"/>
        </w:rPr>
      </w:pPr>
      <w:r>
        <w:rPr>
          <w:rFonts w:hint="eastAsia" w:ascii="宋体" w:hAnsi="宋体"/>
          <w:b/>
          <w:kern w:val="0"/>
          <w:sz w:val="18"/>
          <w:szCs w:val="18"/>
        </w:rPr>
        <w:t>（</w:t>
      </w:r>
      <w:r>
        <w:rPr>
          <w:rFonts w:hint="eastAsia" w:ascii="宋体" w:hAnsi="宋体"/>
          <w:b/>
          <w:kern w:val="0"/>
          <w:sz w:val="18"/>
          <w:szCs w:val="18"/>
          <w:lang w:val="en-US" w:eastAsia="zh-CN"/>
        </w:rPr>
        <w:t>五</w:t>
      </w:r>
      <w:r>
        <w:rPr>
          <w:rFonts w:hint="eastAsia" w:ascii="宋体" w:hAnsi="宋体"/>
          <w:b/>
          <w:kern w:val="0"/>
          <w:sz w:val="18"/>
          <w:szCs w:val="18"/>
        </w:rPr>
        <w:t>）理财利益的分配</w:t>
      </w:r>
    </w:p>
    <w:p>
      <w:pPr>
        <w:pStyle w:val="14"/>
        <w:spacing w:line="360" w:lineRule="auto"/>
        <w:ind w:firstLine="360" w:firstLineChars="200"/>
        <w:outlineLvl w:val="2"/>
        <w:rPr>
          <w:rFonts w:hAnsi="宋体"/>
          <w:color w:val="auto"/>
          <w:sz w:val="18"/>
          <w:szCs w:val="18"/>
        </w:rPr>
      </w:pPr>
      <w:r>
        <w:rPr>
          <w:rFonts w:hint="eastAsia" w:hAnsi="宋体"/>
          <w:color w:val="auto"/>
          <w:sz w:val="18"/>
          <w:szCs w:val="18"/>
        </w:rPr>
        <w:t>1.理财利益的分配日</w:t>
      </w:r>
    </w:p>
    <w:p>
      <w:pPr>
        <w:pStyle w:val="1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1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1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
      <w:pPr>
        <w:widowControl/>
        <w:spacing w:line="360" w:lineRule="auto"/>
        <w:jc w:val="left"/>
        <w:rPr>
          <w:rFonts w:ascii="宋体" w:hAnsi="宋体"/>
          <w:kern w:val="0"/>
          <w:sz w:val="18"/>
          <w:szCs w:val="18"/>
        </w:rPr>
      </w:pPr>
      <w:r>
        <w:rPr>
          <w:rFonts w:hAnsi="宋体"/>
          <w:sz w:val="18"/>
          <w:szCs w:val="18"/>
        </w:rPr>
        <w:br w:type="page"/>
      </w:r>
    </w:p>
    <w:bookmarkEnd w:id="102"/>
    <w:bookmarkEnd w:id="103"/>
    <w:bookmarkEnd w:id="104"/>
    <w:bookmarkEnd w:id="105"/>
    <w:p>
      <w:pPr>
        <w:pStyle w:val="2"/>
        <w:spacing w:before="0" w:after="0" w:line="360" w:lineRule="auto"/>
        <w:jc w:val="center"/>
        <w:rPr>
          <w:rFonts w:ascii="Times New Roman"/>
          <w:sz w:val="30"/>
        </w:rPr>
      </w:pPr>
      <w:bookmarkStart w:id="106" w:name="_Hlt88825574"/>
      <w:bookmarkEnd w:id="106"/>
      <w:bookmarkStart w:id="107" w:name="_Hlt88897298"/>
      <w:bookmarkEnd w:id="107"/>
      <w:bookmarkStart w:id="108" w:name="_Toc176181120"/>
      <w:bookmarkStart w:id="109" w:name="_Toc10650"/>
      <w:bookmarkStart w:id="110" w:name="_Toc116984892"/>
      <w:bookmarkStart w:id="111" w:name="_Toc18567"/>
      <w:bookmarkStart w:id="112" w:name="_Toc3771"/>
      <w:bookmarkStart w:id="113" w:name="_Toc139991738"/>
      <w:bookmarkStart w:id="114" w:name="_Toc123112236"/>
      <w:bookmarkStart w:id="115" w:name="_Toc74065745"/>
      <w:bookmarkStart w:id="116" w:name="_Toc98560354"/>
      <w:bookmarkStart w:id="117" w:name="_Toc11030"/>
      <w:bookmarkStart w:id="118" w:name="_Toc6447"/>
      <w:bookmarkStart w:id="119" w:name="_Toc7058"/>
      <w:bookmarkStart w:id="120" w:name="_Toc92377138"/>
      <w:bookmarkStart w:id="121" w:name="_Toc79154672"/>
      <w:bookmarkStart w:id="122" w:name="_Toc25783"/>
      <w:bookmarkStart w:id="123" w:name="_Toc141703888"/>
      <w:bookmarkStart w:id="124" w:name="_Toc123051454"/>
      <w:bookmarkStart w:id="125" w:name="_Toc3321"/>
      <w:bookmarkStart w:id="126" w:name="_Toc4559"/>
      <w:bookmarkStart w:id="127" w:name="_Toc123102455"/>
      <w:bookmarkStart w:id="128" w:name="_Toc9706"/>
      <w:bookmarkStart w:id="129" w:name="_Toc79392583"/>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14"/>
        <w:spacing w:line="360" w:lineRule="auto"/>
        <w:ind w:firstLine="361" w:firstLineChars="200"/>
        <w:outlineLvl w:val="1"/>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（5）理财产品的信息技术服务费；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lang w:eastAsia="zh-CN"/>
        </w:rPr>
        <w:t>（</w:t>
      </w:r>
      <w:r>
        <w:rPr>
          <w:rFonts w:hint="eastAsia" w:ascii="黑体" w:hAnsi="黑体" w:eastAsia="黑体" w:cs="黑体"/>
          <w:kern w:val="0"/>
          <w:sz w:val="18"/>
          <w:szCs w:val="18"/>
          <w:lang w:val="en-US" w:eastAsia="zh-CN"/>
        </w:rPr>
        <w:t>6</w:t>
      </w:r>
      <w:r>
        <w:rPr>
          <w:rFonts w:hint="eastAsia" w:ascii="黑体" w:hAnsi="黑体" w:eastAsia="黑体" w:cs="黑体"/>
          <w:kern w:val="0"/>
          <w:sz w:val="18"/>
          <w:szCs w:val="18"/>
          <w:lang w:eastAsia="zh-CN"/>
        </w:rPr>
        <w:t>）</w:t>
      </w:r>
      <w:r>
        <w:rPr>
          <w:rFonts w:hint="eastAsia" w:ascii="黑体" w:hAnsi="黑体" w:eastAsia="黑体" w:cs="黑体"/>
          <w:kern w:val="0"/>
          <w:sz w:val="18"/>
          <w:szCs w:val="18"/>
        </w:rPr>
        <w:t>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7</w:t>
      </w:r>
      <w:r>
        <w:rPr>
          <w:rFonts w:hint="eastAsia" w:ascii="黑体" w:hAnsi="黑体" w:eastAsia="黑体" w:cs="黑体"/>
          <w:kern w:val="0"/>
          <w:sz w:val="18"/>
          <w:szCs w:val="18"/>
        </w:rPr>
        <w:t>）理财产品验资费、审计费、律师费、信息披露费、清算费、执行费用等相关费用；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8</w:t>
      </w:r>
      <w:r>
        <w:rPr>
          <w:rFonts w:hint="eastAsia" w:ascii="黑体" w:hAnsi="黑体" w:eastAsia="黑体" w:cs="黑体"/>
          <w:kern w:val="0"/>
          <w:sz w:val="18"/>
          <w:szCs w:val="18"/>
        </w:rPr>
        <w:t>）按照国家法律法规规定可以列入的其他费用。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1）认购费：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2）申购费：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Style w:val="12"/>
          <w:rFonts w:hint="eastAsia" w:ascii="黑体" w:hAnsi="黑体" w:eastAsia="黑体" w:cs="黑体"/>
          <w:kern w:val="0"/>
        </w:rPr>
      </w:pPr>
      <w:r>
        <w:rPr>
          <w:rFonts w:hint="eastAsia" w:ascii="黑体" w:hAnsi="黑体" w:eastAsia="黑体" w:cs="黑体"/>
          <w:kern w:val="0"/>
          <w:sz w:val="18"/>
          <w:szCs w:val="18"/>
        </w:rPr>
        <w:t>3）赎回费：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pStyle w:val="14"/>
        <w:spacing w:line="360" w:lineRule="auto"/>
        <w:ind w:firstLine="360" w:firstLineChars="200"/>
        <w:rPr>
          <w:rFonts w:hint="eastAsia" w:ascii="黑体" w:hAnsi="黑体" w:eastAsia="黑体" w:cs="黑体"/>
          <w:kern w:val="0"/>
          <w:sz w:val="18"/>
          <w:szCs w:val="18"/>
        </w:rPr>
      </w:pPr>
      <w:r>
        <w:rPr>
          <w:rFonts w:hint="eastAsia" w:ascii="黑体" w:hAnsi="黑体" w:eastAsia="黑体" w:cs="黑体"/>
          <w:kern w:val="0"/>
          <w:sz w:val="18"/>
          <w:szCs w:val="18"/>
        </w:rPr>
        <w:t>本产品各类份额的销售服务费按前一日该类份额的资产净值与销售服务费每日费率每日计提。销售服务费的计算方法如下：</w:t>
      </w:r>
    </w:p>
    <w:p>
      <w:pPr>
        <w:pStyle w:val="14"/>
        <w:spacing w:line="360" w:lineRule="auto"/>
        <w:ind w:firstLine="360" w:firstLineChars="200"/>
        <w:rPr>
          <w:rFonts w:hint="eastAsia" w:ascii="黑体" w:hAnsi="黑体" w:eastAsia="黑体" w:cs="黑体"/>
          <w:kern w:val="0"/>
          <w:sz w:val="18"/>
          <w:szCs w:val="18"/>
        </w:rPr>
      </w:pPr>
      <w:r>
        <w:rPr>
          <w:rFonts w:hint="eastAsia" w:ascii="黑体" w:hAnsi="黑体" w:eastAsia="黑体" w:cs="黑体"/>
          <w:kern w:val="0"/>
          <w:sz w:val="18"/>
          <w:szCs w:val="18"/>
        </w:rPr>
        <w:t>H＝E×该类份额销售服务费年费率÷365</w:t>
      </w:r>
    </w:p>
    <w:p>
      <w:pPr>
        <w:pStyle w:val="14"/>
        <w:spacing w:line="360" w:lineRule="auto"/>
        <w:ind w:firstLine="360" w:firstLineChars="200"/>
        <w:rPr>
          <w:rFonts w:hint="eastAsia" w:ascii="黑体" w:hAnsi="黑体" w:eastAsia="黑体" w:cs="黑体"/>
          <w:kern w:val="0"/>
          <w:sz w:val="18"/>
          <w:szCs w:val="18"/>
        </w:rPr>
      </w:pPr>
      <w:r>
        <w:rPr>
          <w:rFonts w:hint="eastAsia" w:ascii="黑体" w:hAnsi="黑体" w:eastAsia="黑体" w:cs="黑体"/>
          <w:kern w:val="0"/>
          <w:sz w:val="18"/>
          <w:szCs w:val="18"/>
        </w:rPr>
        <w:t>H为各类份额每日应计提的销售服务费</w:t>
      </w:r>
    </w:p>
    <w:p>
      <w:pPr>
        <w:pStyle w:val="14"/>
        <w:spacing w:line="360" w:lineRule="auto"/>
        <w:ind w:firstLine="360" w:firstLineChars="200"/>
        <w:rPr>
          <w:rFonts w:hint="eastAsia" w:ascii="黑体" w:hAnsi="黑体" w:eastAsia="黑体" w:cs="黑体"/>
          <w:kern w:val="0"/>
          <w:sz w:val="18"/>
          <w:szCs w:val="18"/>
        </w:rPr>
      </w:pPr>
      <w:r>
        <w:rPr>
          <w:rFonts w:hint="eastAsia" w:ascii="黑体" w:hAnsi="黑体" w:eastAsia="黑体" w:cs="黑体"/>
          <w:kern w:val="0"/>
          <w:sz w:val="18"/>
          <w:szCs w:val="18"/>
        </w:rPr>
        <w:t>E为前一日该类份额的理财资产净值</w:t>
      </w:r>
    </w:p>
    <w:p>
      <w:pPr>
        <w:pStyle w:val="14"/>
        <w:spacing w:line="360" w:lineRule="auto"/>
        <w:ind w:firstLine="360" w:firstLineChars="200"/>
        <w:rPr>
          <w:rFonts w:hint="eastAsia" w:ascii="黑体" w:hAnsi="黑体" w:eastAsia="黑体" w:cs="黑体"/>
          <w:color w:val="auto"/>
          <w:kern w:val="2"/>
          <w:sz w:val="18"/>
          <w:szCs w:val="18"/>
        </w:rPr>
      </w:pPr>
      <w:r>
        <w:rPr>
          <w:rFonts w:hint="eastAsia" w:ascii="黑体" w:hAnsi="黑体" w:eastAsia="黑体" w:cs="黑体"/>
          <w:color w:val="auto"/>
          <w:sz w:val="18"/>
          <w:szCs w:val="18"/>
        </w:rPr>
        <w:t>销售服务费依照上述约定，从理财财产中支付。</w:t>
      </w:r>
      <w:r>
        <w:rPr>
          <w:rFonts w:hint="eastAsia" w:ascii="黑体" w:hAnsi="黑体" w:eastAsia="黑体" w:cs="黑体"/>
          <w:color w:val="auto"/>
          <w:kern w:val="2"/>
          <w:sz w:val="18"/>
          <w:szCs w:val="18"/>
        </w:rPr>
        <w:t>费率具体数值以</w:t>
      </w:r>
      <w:r>
        <w:rPr>
          <w:rFonts w:hint="eastAsia" w:ascii="黑体" w:hAnsi="黑体" w:eastAsia="黑体" w:cs="黑体"/>
          <w:color w:val="auto"/>
          <w:sz w:val="18"/>
          <w:szCs w:val="18"/>
        </w:rPr>
        <w:t>《产品说明书》“第二条 理财产品基本情况”</w:t>
      </w:r>
      <w:r>
        <w:rPr>
          <w:rFonts w:hint="eastAsia" w:ascii="黑体" w:hAnsi="黑体" w:eastAsia="黑体" w:cs="黑体"/>
          <w:color w:val="auto"/>
          <w:kern w:val="2"/>
          <w:sz w:val="18"/>
          <w:szCs w:val="18"/>
        </w:rPr>
        <w:t>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在超额业绩报酬计提日时，若理财资产扣除销售服务费、产品托管费</w:t>
      </w:r>
      <w:r>
        <w:rPr>
          <w:rFonts w:hint="eastAsia" w:ascii="黑体" w:hAnsi="黑体" w:eastAsia="黑体" w:cs="黑体"/>
          <w:sz w:val="18"/>
          <w:szCs w:val="18"/>
          <w:lang w:eastAsia="zh-CN"/>
        </w:rPr>
        <w:t>、</w:t>
      </w:r>
      <w:r>
        <w:rPr>
          <w:rFonts w:hint="eastAsia" w:ascii="黑体" w:hAnsi="黑体" w:eastAsia="黑体" w:cs="黑体"/>
          <w:sz w:val="18"/>
          <w:szCs w:val="18"/>
        </w:rPr>
        <w:t>投资管理费</w:t>
      </w:r>
      <w:r>
        <w:rPr>
          <w:rFonts w:hint="eastAsia" w:ascii="黑体" w:hAnsi="黑体" w:eastAsia="黑体" w:cs="黑体"/>
          <w:sz w:val="18"/>
          <w:szCs w:val="18"/>
          <w:lang w:val="en-US" w:eastAsia="zh-CN"/>
        </w:rPr>
        <w:t>和信息技术服务费</w:t>
      </w:r>
      <w:r>
        <w:rPr>
          <w:rFonts w:hint="eastAsia" w:ascii="黑体" w:hAnsi="黑体" w:eastAsia="黑体" w:cs="黑体"/>
          <w:sz w:val="18"/>
          <w:szCs w:val="18"/>
        </w:rPr>
        <w:t>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1）收取超额业绩报酬的原则：</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①按投资者每份产品份额分别计算年化收益率并计提超额业绩报酬；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2）超额业绩报酬计提方法</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①超额业绩报酬计提日</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每份产品份额超额业绩报酬每日计提，每个投资周期赎回日或产品终止日结算。</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②超额业绩报酬的计算</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当R≤当前业绩报酬计提基准，超额业绩报酬=0；</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sz w:val="18"/>
          <w:szCs w:val="18"/>
        </w:rPr>
        <w:t>当R＞当前业绩报酬计提基准，超额业绩报酬=投资者持有的产品份额数量×产品成立日或当前投资周期产品份额申购日的产品份额净值×（R-当前业绩报酬计提基准）×N×D/365。</w:t>
      </w: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（6）理财产品的信息技术服务费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本产品的信息技术服务费按前一日理财资产净值与产品信息技术服务费每日费率每日计提。产品信息技术服务费的计算方法如下：</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H＝E×产品信息技术服务费年费率÷365</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H为每日应计提的产品信息技术服务费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产品信息技术服务费依照上述约定，从理财财产中支付。费率具体数值以《产品说明书》“第二条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lang w:eastAsia="zh-CN"/>
        </w:rPr>
        <w:t>（</w:t>
      </w:r>
      <w:r>
        <w:rPr>
          <w:rFonts w:hint="eastAsia" w:ascii="黑体" w:hAnsi="黑体" w:eastAsia="黑体" w:cs="黑体"/>
          <w:kern w:val="0"/>
          <w:sz w:val="18"/>
          <w:szCs w:val="18"/>
          <w:lang w:val="en-US" w:eastAsia="zh-CN"/>
        </w:rPr>
        <w:t>7</w:t>
      </w:r>
      <w:r>
        <w:rPr>
          <w:rFonts w:hint="eastAsia" w:ascii="黑体" w:hAnsi="黑体" w:eastAsia="黑体" w:cs="黑体"/>
          <w:kern w:val="0"/>
          <w:sz w:val="18"/>
          <w:szCs w:val="18"/>
          <w:lang w:eastAsia="zh-CN"/>
        </w:rPr>
        <w:t>）</w:t>
      </w:r>
      <w:r>
        <w:rPr>
          <w:rFonts w:hint="eastAsia" w:ascii="黑体" w:hAnsi="黑体" w:eastAsia="黑体" w:cs="黑体"/>
          <w:kern w:val="0"/>
          <w:sz w:val="18"/>
          <w:szCs w:val="18"/>
        </w:rPr>
        <w:t>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8</w:t>
      </w:r>
      <w:r>
        <w:rPr>
          <w:rFonts w:hint="eastAsia" w:ascii="黑体" w:hAnsi="黑体" w:eastAsia="黑体" w:cs="黑体"/>
          <w:kern w:val="0"/>
          <w:sz w:val="18"/>
          <w:szCs w:val="18"/>
        </w:rPr>
        <w:t>）上述理财产品验资费、审计费、律师费、信息披露费、清算费、执行费用等相关费用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14"/>
        <w:spacing w:line="360" w:lineRule="auto"/>
        <w:ind w:firstLine="360" w:firstLineChars="200"/>
        <w:outlineLvl w:val="2"/>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1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（1）发生巨额赎回时，为保护投资者利益，产品管理人有权对赎回日至赎回确认日之间的各项费用进行减免。</w:t>
      </w:r>
    </w:p>
    <w:p>
      <w:pPr>
        <w:pStyle w:val="1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（2）产品管理人有权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1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bookmarkStart w:id="130" w:name="_Toc3963"/>
      <w:bookmarkStart w:id="131" w:name="_Toc1745"/>
      <w:r>
        <w:rPr>
          <w:rFonts w:hint="eastAsia" w:ascii="宋体" w:hAnsi="宋体"/>
          <w:kern w:val="0"/>
          <w:sz w:val="18"/>
          <w:szCs w:val="18"/>
        </w:rPr>
        <w:t xml:space="preserve"> 本产品运作过程中涉及的各纳税主体的纳税义务按国家税收法律、法规执行。根据国家税收法律、法规，理财产品运作过程中产生的相关税款（包括但不限于增值税及附加税、其他税费等），由理财产品承担。以上税款直接从理财产品账户中扣付，由产品管理人进行申报和缴纳。除法律法规特别要求外，投资者取得理财收益所产生的税款由投资者自行缴纳，产品管理人不承担代扣代缴或纳税的义务。后续国家税收法律、法规发生变化的，产品管理人应当依据国家税收法律、法规的最新规定执行。</w:t>
      </w:r>
    </w:p>
    <w:p>
      <w:pPr>
        <w:pStyle w:val="2"/>
        <w:spacing w:line="360" w:lineRule="auto"/>
        <w:jc w:val="center"/>
      </w:pPr>
      <w:r>
        <w:br w:type="page"/>
      </w:r>
      <w:bookmarkStart w:id="132" w:name="_Toc74065746"/>
      <w:bookmarkStart w:id="133" w:name="_Toc123051455"/>
      <w:bookmarkStart w:id="134" w:name="_Toc141703889"/>
      <w:bookmarkStart w:id="135" w:name="_Toc31821"/>
      <w:bookmarkStart w:id="136" w:name="_Toc176181121"/>
      <w:bookmarkStart w:id="137" w:name="_Toc3080"/>
      <w:bookmarkStart w:id="138" w:name="_Toc123102456"/>
      <w:bookmarkStart w:id="139" w:name="_Toc21735"/>
      <w:bookmarkStart w:id="140" w:name="_Toc123112237"/>
      <w:bookmarkStart w:id="141" w:name="_Toc92377139"/>
      <w:bookmarkStart w:id="142" w:name="_Toc10398"/>
      <w:bookmarkStart w:id="143" w:name="_Toc139991739"/>
      <w:bookmarkStart w:id="144" w:name="_Toc98560355"/>
      <w:bookmarkStart w:id="145" w:name="_Toc18206"/>
      <w:bookmarkStart w:id="146" w:name="_Toc16164"/>
      <w:bookmarkStart w:id="147" w:name="_Toc116984893"/>
      <w:bookmarkStart w:id="148" w:name="_Toc79154673"/>
      <w:bookmarkStart w:id="149" w:name="_Toc3572"/>
      <w:bookmarkStart w:id="150" w:name="_Toc725"/>
      <w:r>
        <w:rPr>
          <w:rFonts w:hint="eastAsia"/>
          <w:sz w:val="30"/>
        </w:rPr>
        <w:t>第十条</w:t>
      </w:r>
      <w:r>
        <w:rPr>
          <w:sz w:val="30"/>
        </w:rPr>
        <w:t xml:space="preserve">  </w:t>
      </w:r>
      <w:r>
        <w:rPr>
          <w:rFonts w:hint="eastAsia"/>
          <w:sz w:val="30"/>
        </w:rPr>
        <w:t>理财产品的终止与清算</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spacing w:line="360" w:lineRule="auto"/>
        <w:ind w:firstLine="361" w:firstLineChars="200"/>
        <w:outlineLvl w:val="1"/>
        <w:rPr>
          <w:rFonts w:asciiTheme="majorEastAsia" w:hAnsiTheme="majorEastAsia" w:eastAsiaTheme="majorEastAsia"/>
          <w:b/>
          <w:bCs/>
          <w:sz w:val="18"/>
          <w:szCs w:val="18"/>
        </w:rPr>
      </w:pPr>
      <w:bookmarkStart w:id="151" w:name="_Toc57530252"/>
      <w:bookmarkStart w:id="152" w:name="_Toc15118245"/>
      <w:bookmarkStart w:id="153" w:name="_Toc79392593"/>
      <w:r>
        <w:rPr>
          <w:rFonts w:hint="eastAsia" w:asciiTheme="majorEastAsia" w:hAnsiTheme="majorEastAsia" w:eastAsiaTheme="majorEastAsia"/>
          <w:b/>
          <w:bCs/>
          <w:sz w:val="18"/>
          <w:szCs w:val="18"/>
        </w:rPr>
        <w:t>（一）理财产品的终止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outlineLvl w:val="1"/>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51"/>
    <w:bookmarkEnd w:id="152"/>
    <w:bookmarkEnd w:id="153"/>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5】个工作日内按投资者持有的理财产品份额比例向投资者进行再次分配。</w:t>
      </w:r>
    </w:p>
    <w:p>
      <w:pPr>
        <w:pStyle w:val="2"/>
        <w:spacing w:before="0" w:after="0" w:line="360" w:lineRule="auto"/>
        <w:jc w:val="center"/>
        <w:rPr>
          <w:rFonts w:ascii="Times New Roman"/>
          <w:sz w:val="18"/>
          <w:szCs w:val="18"/>
        </w:rPr>
      </w:pPr>
      <w:r>
        <w:rPr>
          <w:rFonts w:ascii="Times New Roman"/>
          <w:b w:val="0"/>
          <w:bCs w:val="0"/>
          <w:kern w:val="2"/>
        </w:rPr>
        <w:br w:type="page"/>
      </w:r>
      <w:bookmarkStart w:id="154" w:name="_Toc92377140"/>
      <w:bookmarkStart w:id="155" w:name="_Toc176181122"/>
      <w:bookmarkStart w:id="156" w:name="_Toc116984894"/>
      <w:bookmarkStart w:id="157" w:name="_Toc17920"/>
      <w:bookmarkStart w:id="158" w:name="_Toc98560356"/>
      <w:bookmarkStart w:id="159" w:name="_Toc141703890"/>
      <w:bookmarkStart w:id="160" w:name="_Toc739"/>
      <w:bookmarkStart w:id="161" w:name="_Toc74065747"/>
      <w:bookmarkStart w:id="162" w:name="_Toc123112238"/>
      <w:bookmarkStart w:id="163" w:name="_Toc139991740"/>
      <w:bookmarkStart w:id="164" w:name="_Toc123102457"/>
      <w:bookmarkStart w:id="165" w:name="_Toc32584"/>
      <w:bookmarkStart w:id="166" w:name="_Toc21237"/>
      <w:bookmarkStart w:id="167" w:name="_Toc3329"/>
      <w:bookmarkStart w:id="168" w:name="_Toc79392622"/>
      <w:bookmarkStart w:id="169" w:name="_Toc5170"/>
      <w:bookmarkStart w:id="170" w:name="_Toc8791"/>
      <w:bookmarkStart w:id="171" w:name="_Toc79154674"/>
      <w:bookmarkStart w:id="172" w:name="_Toc29408"/>
      <w:bookmarkStart w:id="173" w:name="_Toc48649708"/>
      <w:bookmarkStart w:id="174" w:name="_Toc32092"/>
      <w:bookmarkStart w:id="175" w:name="_Toc123051456"/>
      <w:bookmarkStart w:id="176" w:name="_Toc83391975"/>
      <w:bookmarkStart w:id="177" w:name="_Toc17198"/>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54"/>
      <w:bookmarkEnd w:id="155"/>
      <w:bookmarkEnd w:id="156"/>
    </w:p>
    <w:p>
      <w:pPr>
        <w:spacing w:line="360" w:lineRule="auto"/>
        <w:ind w:firstLine="361" w:firstLineChars="200"/>
        <w:outlineLvl w:val="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hint="eastAsia" w:ascii="宋体" w:hAnsi="宋体"/>
          <w:bCs/>
          <w:sz w:val="18"/>
          <w:szCs w:val="18"/>
        </w:rPr>
        <w:t>1.理财产品的信息披露将通过中国理财网(www.chinawealth.com.cn）及产品管理人门户网站（www.cibwm.com.cn）或销售机构的门户网站、电子销售渠道或营业网点等进行。本理财产品认购期和存续期间，产品管理人将通过中国理财网及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产品管理人通过中国理财网及产品管理人或销售机构的信息披露渠道发布理财产品有关信息，即视为已适当履行其信息披露义务。如产品管理人认为需要直接联系投资者的，将依据本说明书投资者信息中投资者预留的信息进行通知。因投资者原因而导致该等通知失败的，产品管理人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outlineLvl w:val="1"/>
        <w:rPr>
          <w:rFonts w:hint="eastAsia" w:ascii="宋体" w:hAnsi="宋体"/>
          <w:b/>
          <w:bCs/>
          <w:sz w:val="18"/>
          <w:szCs w:val="18"/>
        </w:rPr>
      </w:pPr>
      <w:r>
        <w:rPr>
          <w:rFonts w:hint="eastAsia" w:ascii="宋体" w:hAnsi="宋体"/>
          <w:b/>
          <w:bCs/>
          <w:sz w:val="18"/>
          <w:szCs w:val="18"/>
        </w:rPr>
        <w:t>（三）信息披露的方式</w:t>
      </w:r>
    </w:p>
    <w:p>
      <w:pPr>
        <w:spacing w:line="360" w:lineRule="auto"/>
        <w:ind w:firstLine="360" w:firstLineChars="200"/>
        <w:outlineLvl w:val="1"/>
        <w:rPr>
          <w:rFonts w:hint="eastAsia" w:ascii="宋体" w:hAnsi="宋体"/>
          <w:b w:val="0"/>
          <w:bCs w:val="0"/>
          <w:sz w:val="18"/>
          <w:szCs w:val="18"/>
        </w:rPr>
      </w:pPr>
      <w:r>
        <w:rPr>
          <w:rFonts w:hint="eastAsia" w:ascii="宋体" w:hAnsi="宋体"/>
          <w:b w:val="0"/>
          <w:bCs w:val="0"/>
          <w:sz w:val="18"/>
          <w:szCs w:val="18"/>
        </w:rPr>
        <w:t>理财产品的信息披露原则上采取公开披露方式，但涉及向具体投资者提供其个人投资信息等法律法规、监管规定另有规定的从其规定。</w:t>
      </w:r>
    </w:p>
    <w:p>
      <w:pPr>
        <w:spacing w:line="360" w:lineRule="auto"/>
        <w:ind w:firstLine="361" w:firstLineChars="200"/>
        <w:outlineLvl w:val="1"/>
        <w:rPr>
          <w:rFonts w:ascii="宋体" w:hAnsi="宋体"/>
          <w:b/>
          <w:bCs/>
          <w:sz w:val="18"/>
          <w:szCs w:val="18"/>
        </w:rPr>
      </w:pPr>
      <w:r>
        <w:rPr>
          <w:rFonts w:hint="eastAsia" w:ascii="宋体" w:hAnsi="宋体"/>
          <w:b/>
          <w:bCs/>
          <w:sz w:val="18"/>
          <w:szCs w:val="18"/>
          <w:lang w:eastAsia="zh-CN"/>
        </w:rPr>
        <w:t>（</w:t>
      </w:r>
      <w:r>
        <w:rPr>
          <w:rFonts w:hint="eastAsia" w:ascii="宋体" w:hAnsi="宋体"/>
          <w:b/>
          <w:bCs/>
          <w:sz w:val="18"/>
          <w:szCs w:val="18"/>
          <w:lang w:val="en-US" w:eastAsia="zh-CN"/>
        </w:rPr>
        <w:t>四</w:t>
      </w:r>
      <w:r>
        <w:rPr>
          <w:rFonts w:hint="eastAsia" w:ascii="宋体" w:hAnsi="宋体"/>
          <w:b/>
          <w:bCs/>
          <w:sz w:val="18"/>
          <w:szCs w:val="18"/>
          <w:lang w:eastAsia="zh-CN"/>
        </w:rPr>
        <w:t>）</w:t>
      </w:r>
      <w:r>
        <w:rPr>
          <w:rFonts w:hint="eastAsia" w:ascii="宋体" w:hAnsi="宋体"/>
          <w:b/>
          <w:bCs/>
          <w:sz w:val="18"/>
          <w:szCs w:val="18"/>
        </w:rPr>
        <w:t>信息披露的内容</w:t>
      </w:r>
    </w:p>
    <w:p>
      <w:pPr>
        <w:spacing w:line="360" w:lineRule="auto"/>
        <w:ind w:firstLine="360" w:firstLineChars="200"/>
        <w:rPr>
          <w:rFonts w:hint="eastAsia" w:ascii="宋体" w:hAnsi="宋体"/>
          <w:bCs/>
          <w:sz w:val="18"/>
          <w:szCs w:val="18"/>
        </w:rPr>
      </w:pPr>
      <w:r>
        <w:rPr>
          <w:rFonts w:hint="eastAsia" w:ascii="宋体" w:hAnsi="宋体"/>
          <w:bCs/>
          <w:sz w:val="18"/>
          <w:szCs w:val="18"/>
        </w:rPr>
        <w:t>理财产品信息披露的文件或信息包括：</w:t>
      </w:r>
    </w:p>
    <w:p>
      <w:pPr>
        <w:spacing w:line="360" w:lineRule="auto"/>
        <w:ind w:firstLine="360" w:firstLineChars="200"/>
        <w:rPr>
          <w:rFonts w:hint="eastAsia" w:ascii="宋体" w:hAnsi="宋体"/>
          <w:bCs/>
          <w:sz w:val="18"/>
          <w:szCs w:val="18"/>
        </w:rPr>
      </w:pPr>
      <w:r>
        <w:rPr>
          <w:rFonts w:hint="eastAsia" w:ascii="宋体" w:hAnsi="宋体"/>
          <w:bCs/>
          <w:sz w:val="18"/>
          <w:szCs w:val="18"/>
        </w:rPr>
        <w:t>1</w:t>
      </w:r>
      <w:r>
        <w:rPr>
          <w:rFonts w:hint="eastAsia" w:ascii="宋体" w:hAnsi="宋体"/>
          <w:bCs/>
          <w:sz w:val="18"/>
          <w:szCs w:val="18"/>
          <w:lang w:val="en-US" w:eastAsia="zh-CN"/>
        </w:rPr>
        <w:t>.</w:t>
      </w:r>
      <w:r>
        <w:rPr>
          <w:rFonts w:hint="eastAsia" w:ascii="宋体" w:hAnsi="宋体"/>
          <w:bCs/>
          <w:sz w:val="18"/>
          <w:szCs w:val="18"/>
        </w:rPr>
        <w:t>理财产品基本信息，包括产品登记编码、份额代码、产品名称、币种等；</w:t>
      </w:r>
    </w:p>
    <w:p>
      <w:pPr>
        <w:spacing w:line="360" w:lineRule="auto"/>
        <w:ind w:firstLine="360" w:firstLineChars="200"/>
        <w:rPr>
          <w:rFonts w:hint="eastAsia" w:ascii="宋体" w:hAnsi="宋体"/>
          <w:bCs/>
          <w:sz w:val="18"/>
          <w:szCs w:val="18"/>
        </w:rPr>
      </w:pPr>
      <w:r>
        <w:rPr>
          <w:rFonts w:hint="eastAsia" w:ascii="宋体" w:hAnsi="宋体"/>
          <w:bCs/>
          <w:sz w:val="18"/>
          <w:szCs w:val="18"/>
          <w:lang w:val="en-US" w:eastAsia="zh-CN"/>
        </w:rPr>
        <w:t>2.</w:t>
      </w:r>
      <w:r>
        <w:rPr>
          <w:rFonts w:hint="eastAsia" w:ascii="宋体" w:hAnsi="宋体"/>
          <w:bCs/>
          <w:sz w:val="18"/>
          <w:szCs w:val="18"/>
        </w:rPr>
        <w:t>销售文件，包括产品说明书、投资协议书、风险揭示书、</w:t>
      </w:r>
      <w:r>
        <w:rPr>
          <w:rFonts w:hint="eastAsia" w:ascii="宋体" w:hAnsi="宋体"/>
          <w:bCs/>
          <w:sz w:val="18"/>
          <w:szCs w:val="18"/>
          <w:lang w:eastAsia="zh-CN"/>
        </w:rPr>
        <w:t>（</w:t>
      </w:r>
      <w:r>
        <w:rPr>
          <w:rFonts w:hint="eastAsia" w:ascii="宋体" w:hAnsi="宋体"/>
          <w:bCs/>
          <w:sz w:val="18"/>
          <w:szCs w:val="18"/>
          <w:lang w:val="en-US" w:eastAsia="zh-CN"/>
        </w:rPr>
        <w:t>代理</w:t>
      </w:r>
      <w:r>
        <w:rPr>
          <w:rFonts w:hint="eastAsia" w:ascii="宋体" w:hAnsi="宋体"/>
          <w:bCs/>
          <w:sz w:val="18"/>
          <w:szCs w:val="18"/>
          <w:lang w:eastAsia="zh-CN"/>
        </w:rPr>
        <w:t>）</w:t>
      </w:r>
      <w:r>
        <w:rPr>
          <w:rFonts w:hint="eastAsia" w:ascii="宋体" w:hAnsi="宋体"/>
          <w:bCs/>
          <w:sz w:val="18"/>
          <w:szCs w:val="18"/>
        </w:rPr>
        <w:t>销售协议书、投资者权益须知及国家金融监督管理总局规定的其他信息；</w:t>
      </w:r>
    </w:p>
    <w:p>
      <w:pPr>
        <w:spacing w:line="360" w:lineRule="auto"/>
        <w:ind w:firstLine="360" w:firstLineChars="200"/>
        <w:rPr>
          <w:rFonts w:hint="eastAsia" w:ascii="宋体" w:hAnsi="宋体"/>
          <w:bCs/>
          <w:sz w:val="18"/>
          <w:szCs w:val="18"/>
        </w:rPr>
      </w:pPr>
      <w:r>
        <w:rPr>
          <w:rFonts w:hint="eastAsia" w:ascii="宋体" w:hAnsi="宋体"/>
          <w:bCs/>
          <w:sz w:val="18"/>
          <w:szCs w:val="18"/>
          <w:lang w:val="en-US" w:eastAsia="zh-CN"/>
        </w:rPr>
        <w:t>3.</w:t>
      </w:r>
      <w:r>
        <w:rPr>
          <w:rFonts w:hint="eastAsia" w:ascii="宋体" w:hAnsi="宋体"/>
          <w:bCs/>
          <w:sz w:val="18"/>
          <w:szCs w:val="18"/>
        </w:rPr>
        <w:t>发行公告；</w:t>
      </w:r>
    </w:p>
    <w:p>
      <w:pPr>
        <w:spacing w:line="360" w:lineRule="auto"/>
        <w:ind w:firstLine="360" w:firstLineChars="200"/>
        <w:rPr>
          <w:rFonts w:hint="eastAsia" w:ascii="宋体" w:hAnsi="宋体"/>
          <w:bCs/>
          <w:sz w:val="18"/>
          <w:szCs w:val="18"/>
        </w:rPr>
      </w:pPr>
      <w:r>
        <w:rPr>
          <w:rFonts w:hint="eastAsia" w:ascii="宋体" w:hAnsi="宋体"/>
          <w:bCs/>
          <w:sz w:val="18"/>
          <w:szCs w:val="18"/>
          <w:lang w:val="en-US" w:eastAsia="zh-CN"/>
        </w:rPr>
        <w:t>4.</w:t>
      </w:r>
      <w:r>
        <w:rPr>
          <w:rFonts w:hint="eastAsia" w:ascii="宋体" w:hAnsi="宋体"/>
          <w:bCs/>
          <w:sz w:val="18"/>
          <w:szCs w:val="18"/>
        </w:rPr>
        <w:t>定期报告，包括季度报告、半年度报告和年度报告；</w:t>
      </w:r>
    </w:p>
    <w:p>
      <w:pPr>
        <w:spacing w:line="360" w:lineRule="auto"/>
        <w:ind w:firstLine="360" w:firstLineChars="200"/>
        <w:rPr>
          <w:rFonts w:hint="eastAsia" w:ascii="宋体" w:hAnsi="宋体"/>
          <w:bCs/>
          <w:sz w:val="18"/>
          <w:szCs w:val="18"/>
        </w:rPr>
      </w:pPr>
      <w:r>
        <w:rPr>
          <w:rFonts w:hint="eastAsia" w:ascii="宋体" w:hAnsi="宋体"/>
          <w:bCs/>
          <w:sz w:val="18"/>
          <w:szCs w:val="18"/>
          <w:lang w:val="en-US" w:eastAsia="zh-CN"/>
        </w:rPr>
        <w:t>5.</w:t>
      </w:r>
      <w:r>
        <w:rPr>
          <w:rFonts w:hint="eastAsia" w:ascii="宋体" w:hAnsi="宋体"/>
          <w:bCs/>
          <w:sz w:val="18"/>
          <w:szCs w:val="18"/>
        </w:rPr>
        <w:t>净值信息；</w:t>
      </w:r>
    </w:p>
    <w:p>
      <w:pPr>
        <w:spacing w:line="360" w:lineRule="auto"/>
        <w:ind w:firstLine="360" w:firstLineChars="200"/>
        <w:rPr>
          <w:rFonts w:hint="eastAsia" w:ascii="宋体" w:hAnsi="宋体"/>
          <w:bCs/>
          <w:sz w:val="18"/>
          <w:szCs w:val="18"/>
        </w:rPr>
      </w:pPr>
      <w:r>
        <w:rPr>
          <w:rFonts w:hint="eastAsia" w:ascii="宋体" w:hAnsi="宋体"/>
          <w:bCs/>
          <w:sz w:val="18"/>
          <w:szCs w:val="18"/>
          <w:lang w:val="en-US" w:eastAsia="zh-CN"/>
        </w:rPr>
        <w:t>6.</w:t>
      </w:r>
      <w:r>
        <w:rPr>
          <w:rFonts w:hint="eastAsia" w:ascii="宋体" w:hAnsi="宋体"/>
          <w:bCs/>
          <w:sz w:val="18"/>
          <w:szCs w:val="18"/>
        </w:rPr>
        <w:t>过往业绩信息（适用于披露过往业绩的理财产品）；</w:t>
      </w:r>
    </w:p>
    <w:p>
      <w:pPr>
        <w:spacing w:line="360" w:lineRule="auto"/>
        <w:ind w:firstLine="360" w:firstLineChars="200"/>
        <w:rPr>
          <w:rFonts w:hint="eastAsia" w:ascii="宋体" w:hAnsi="宋体"/>
          <w:bCs/>
          <w:sz w:val="18"/>
          <w:szCs w:val="18"/>
        </w:rPr>
      </w:pPr>
      <w:r>
        <w:rPr>
          <w:rFonts w:hint="eastAsia" w:ascii="宋体" w:hAnsi="宋体"/>
          <w:bCs/>
          <w:sz w:val="18"/>
          <w:szCs w:val="18"/>
          <w:lang w:val="en-US" w:eastAsia="zh-CN"/>
        </w:rPr>
        <w:t>7.</w:t>
      </w:r>
      <w:r>
        <w:rPr>
          <w:rFonts w:hint="eastAsia" w:ascii="宋体" w:hAnsi="宋体"/>
          <w:bCs/>
          <w:sz w:val="18"/>
          <w:szCs w:val="18"/>
        </w:rPr>
        <w:t>临时信息披露公告；</w:t>
      </w:r>
    </w:p>
    <w:p>
      <w:pPr>
        <w:spacing w:line="360" w:lineRule="auto"/>
        <w:ind w:firstLine="360" w:firstLineChars="200"/>
        <w:rPr>
          <w:rFonts w:hint="eastAsia" w:ascii="宋体" w:hAnsi="宋体"/>
          <w:bCs/>
          <w:sz w:val="18"/>
          <w:szCs w:val="18"/>
        </w:rPr>
      </w:pPr>
      <w:r>
        <w:rPr>
          <w:rFonts w:hint="eastAsia" w:ascii="宋体" w:hAnsi="宋体"/>
          <w:bCs/>
          <w:sz w:val="18"/>
          <w:szCs w:val="18"/>
          <w:lang w:val="en-US" w:eastAsia="zh-CN"/>
        </w:rPr>
        <w:t>8.</w:t>
      </w:r>
      <w:r>
        <w:rPr>
          <w:rFonts w:hint="eastAsia" w:ascii="宋体" w:hAnsi="宋体"/>
          <w:bCs/>
          <w:sz w:val="18"/>
          <w:szCs w:val="18"/>
        </w:rPr>
        <w:t>到期公告；</w:t>
      </w:r>
    </w:p>
    <w:p>
      <w:pPr>
        <w:spacing w:line="360" w:lineRule="auto"/>
        <w:ind w:firstLine="360" w:firstLineChars="200"/>
        <w:rPr>
          <w:rFonts w:hint="eastAsia" w:ascii="宋体" w:hAnsi="宋体"/>
          <w:bCs/>
          <w:sz w:val="18"/>
          <w:szCs w:val="18"/>
        </w:rPr>
      </w:pPr>
      <w:r>
        <w:rPr>
          <w:rFonts w:hint="eastAsia" w:ascii="宋体" w:hAnsi="宋体"/>
          <w:bCs/>
          <w:sz w:val="18"/>
          <w:szCs w:val="18"/>
          <w:lang w:val="en-US" w:eastAsia="zh-CN"/>
        </w:rPr>
        <w:t>9.</w:t>
      </w:r>
      <w:r>
        <w:rPr>
          <w:rFonts w:hint="eastAsia" w:ascii="宋体" w:hAnsi="宋体"/>
          <w:bCs/>
          <w:sz w:val="18"/>
          <w:szCs w:val="18"/>
        </w:rPr>
        <w:t>重大事项公告；</w:t>
      </w:r>
    </w:p>
    <w:p>
      <w:pPr>
        <w:spacing w:line="360" w:lineRule="auto"/>
        <w:ind w:firstLine="360" w:firstLineChars="200"/>
        <w:rPr>
          <w:rFonts w:ascii="宋体" w:hAnsi="宋体"/>
          <w:bCs/>
          <w:sz w:val="18"/>
          <w:szCs w:val="18"/>
        </w:rPr>
      </w:pPr>
      <w:r>
        <w:rPr>
          <w:rFonts w:hint="eastAsia" w:ascii="宋体" w:hAnsi="宋体"/>
          <w:bCs/>
          <w:sz w:val="18"/>
          <w:szCs w:val="18"/>
          <w:lang w:val="en-US" w:eastAsia="zh-CN"/>
        </w:rPr>
        <w:t>10.</w:t>
      </w:r>
      <w:r>
        <w:rPr>
          <w:rFonts w:hint="eastAsia" w:ascii="宋体" w:hAnsi="宋体"/>
          <w:bCs/>
          <w:sz w:val="18"/>
          <w:szCs w:val="18"/>
        </w:rPr>
        <w:t>监管部门和自律规范规定的其他信息。</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w:t>
      </w:r>
      <w:r>
        <w:rPr>
          <w:rFonts w:hint="eastAsia" w:ascii="宋体" w:hAnsi="宋体"/>
          <w:b/>
          <w:bCs/>
          <w:sz w:val="18"/>
          <w:szCs w:val="18"/>
          <w:lang w:val="en-US" w:eastAsia="zh-CN"/>
        </w:rPr>
        <w:t>五</w:t>
      </w:r>
      <w:r>
        <w:rPr>
          <w:rFonts w:hint="eastAsia" w:ascii="宋体" w:hAnsi="宋体"/>
          <w:b/>
          <w:bCs/>
          <w:sz w:val="18"/>
          <w:szCs w:val="18"/>
        </w:rPr>
        <w:t>）信息披露的频率和时间</w:t>
      </w:r>
    </w:p>
    <w:p>
      <w:pPr>
        <w:spacing w:line="360" w:lineRule="auto"/>
        <w:ind w:firstLine="360" w:firstLineChars="200"/>
        <w:rPr>
          <w:rFonts w:hint="eastAsia" w:ascii="宋体" w:hAnsi="宋体"/>
          <w:bCs/>
          <w:sz w:val="18"/>
          <w:szCs w:val="18"/>
        </w:rPr>
      </w:pPr>
      <w:r>
        <w:rPr>
          <w:rFonts w:hint="eastAsia" w:ascii="宋体" w:hAnsi="宋体"/>
          <w:bCs/>
          <w:sz w:val="18"/>
          <w:szCs w:val="18"/>
        </w:rPr>
        <w:t>1.产品发行公告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本产品成立后5个工作日内，产品管理人将发布产品发行公告。发行公告内容应当至少包括产品成立日期和募集规模等信息。</w:t>
      </w:r>
    </w:p>
    <w:p>
      <w:pPr>
        <w:spacing w:line="360" w:lineRule="auto"/>
        <w:ind w:firstLine="360" w:firstLineChars="200"/>
        <w:rPr>
          <w:rFonts w:hint="eastAsia" w:ascii="宋体" w:hAnsi="宋体"/>
          <w:bCs/>
          <w:sz w:val="18"/>
          <w:szCs w:val="18"/>
        </w:rPr>
      </w:pPr>
      <w:r>
        <w:rPr>
          <w:rFonts w:hint="eastAsia" w:ascii="宋体" w:hAnsi="宋体"/>
          <w:bCs/>
          <w:sz w:val="18"/>
          <w:szCs w:val="18"/>
        </w:rPr>
        <w:t>2.重大事项公告</w:t>
      </w:r>
    </w:p>
    <w:p>
      <w:pPr>
        <w:spacing w:line="360" w:lineRule="auto"/>
        <w:ind w:firstLine="360" w:firstLineChars="200"/>
        <w:rPr>
          <w:rFonts w:hint="eastAsia" w:ascii="宋体" w:hAnsi="宋体"/>
          <w:bCs/>
          <w:sz w:val="18"/>
          <w:szCs w:val="18"/>
        </w:rPr>
      </w:pPr>
      <w:r>
        <w:rPr>
          <w:rFonts w:hint="eastAsia" w:ascii="宋体" w:hAnsi="宋体"/>
          <w:bCs/>
          <w:sz w:val="18"/>
          <w:szCs w:val="18"/>
        </w:rPr>
        <w:t>产品管理人对于产品存续期间发生的以下事项，将于知晓或应当知晓相关事项后5个工作日内向投资者披露，披露内容包括但不限于相关事项的基本情况、对产品运行和投资者可能产生的影响、理财公司采取的应对措施及后续方案等：</w:t>
      </w:r>
    </w:p>
    <w:p>
      <w:pPr>
        <w:spacing w:line="360" w:lineRule="auto"/>
        <w:ind w:firstLine="360" w:firstLineChars="200"/>
        <w:rPr>
          <w:rFonts w:hint="eastAsia" w:ascii="宋体" w:hAnsi="宋体"/>
          <w:bCs/>
          <w:sz w:val="18"/>
          <w:szCs w:val="18"/>
        </w:rPr>
      </w:pPr>
      <w:r>
        <w:rPr>
          <w:rFonts w:hint="eastAsia" w:ascii="宋体" w:hAnsi="宋体"/>
          <w:bCs/>
          <w:sz w:val="18"/>
          <w:szCs w:val="18"/>
        </w:rPr>
        <w:t>（1）更换产品管理人或产品管理人变更实际控制人，更换托管机构，产品管理人或托管机构的法定名称、住所发生变更；</w:t>
      </w:r>
    </w:p>
    <w:p>
      <w:pPr>
        <w:spacing w:line="360" w:lineRule="auto"/>
        <w:ind w:firstLine="360" w:firstLineChars="200"/>
        <w:rPr>
          <w:rFonts w:hint="eastAsia" w:ascii="宋体" w:hAnsi="宋体"/>
          <w:bCs/>
          <w:sz w:val="18"/>
          <w:szCs w:val="18"/>
        </w:rPr>
      </w:pPr>
      <w:r>
        <w:rPr>
          <w:rFonts w:hint="eastAsia" w:ascii="宋体" w:hAnsi="宋体"/>
          <w:bCs/>
          <w:sz w:val="18"/>
          <w:szCs w:val="18"/>
        </w:rPr>
        <w:t>（2）涉及产品穿透后持仓10%及以上的单笔资产的诉讼或仲裁，并可能对产品或其投资者权益有重大影响的；</w:t>
      </w:r>
    </w:p>
    <w:p>
      <w:pPr>
        <w:spacing w:line="360" w:lineRule="auto"/>
        <w:ind w:firstLine="360" w:firstLineChars="200"/>
        <w:rPr>
          <w:rFonts w:hint="eastAsia" w:ascii="宋体" w:hAnsi="宋体"/>
          <w:bCs/>
          <w:sz w:val="18"/>
          <w:szCs w:val="18"/>
        </w:rPr>
      </w:pPr>
      <w:r>
        <w:rPr>
          <w:rFonts w:hint="eastAsia" w:ascii="宋体" w:hAnsi="宋体"/>
          <w:bCs/>
          <w:sz w:val="18"/>
          <w:szCs w:val="18"/>
        </w:rPr>
        <w:t>（3）产品穿透后持仓10%及以上的非标准化债权类资产的融资主体、担保主体发生重大行政处罚、重大诉讼或仲裁，或破产、兼并、重组等重大事项，并对其还款能力或担保能力造成重大不利影响；</w:t>
      </w:r>
    </w:p>
    <w:p>
      <w:pPr>
        <w:spacing w:line="360" w:lineRule="auto"/>
        <w:ind w:firstLine="360" w:firstLineChars="200"/>
        <w:rPr>
          <w:rFonts w:hint="eastAsia" w:ascii="宋体" w:hAnsi="宋体"/>
          <w:bCs/>
          <w:sz w:val="18"/>
          <w:szCs w:val="18"/>
        </w:rPr>
      </w:pPr>
      <w:r>
        <w:rPr>
          <w:rFonts w:hint="eastAsia" w:ascii="宋体" w:hAnsi="宋体"/>
          <w:bCs/>
          <w:sz w:val="18"/>
          <w:szCs w:val="18"/>
        </w:rPr>
        <w:t>（4）产品穿透后持仓10%及以上的非标准化债权类资产的融资主体对其公开市场债务出现不能按时足额还本付息情况的；</w:t>
      </w:r>
    </w:p>
    <w:p>
      <w:pPr>
        <w:spacing w:line="360" w:lineRule="auto"/>
        <w:ind w:firstLine="360" w:firstLineChars="200"/>
        <w:rPr>
          <w:rFonts w:hint="eastAsia" w:ascii="宋体" w:hAnsi="宋体"/>
          <w:bCs/>
          <w:sz w:val="18"/>
          <w:szCs w:val="18"/>
        </w:rPr>
      </w:pPr>
      <w:r>
        <w:rPr>
          <w:rFonts w:hint="eastAsia" w:ascii="宋体" w:hAnsi="宋体"/>
          <w:bCs/>
          <w:sz w:val="18"/>
          <w:szCs w:val="18"/>
        </w:rPr>
        <w:t>（5）涉及产品穿透后持仓10%及以上的单笔资产的债券违约、股票停牌或退市的；</w:t>
      </w:r>
    </w:p>
    <w:p>
      <w:pPr>
        <w:spacing w:line="360" w:lineRule="auto"/>
        <w:ind w:firstLine="360" w:firstLineChars="200"/>
        <w:rPr>
          <w:rFonts w:hint="eastAsia" w:ascii="宋体" w:hAnsi="宋体"/>
          <w:bCs/>
          <w:sz w:val="18"/>
          <w:szCs w:val="18"/>
        </w:rPr>
      </w:pPr>
      <w:r>
        <w:rPr>
          <w:rFonts w:hint="eastAsia" w:ascii="宋体" w:hAnsi="宋体"/>
          <w:bCs/>
          <w:sz w:val="18"/>
          <w:szCs w:val="18"/>
        </w:rPr>
        <w:t>（6）公募产品份额净值计价错误达份额净值0.5%；</w:t>
      </w:r>
    </w:p>
    <w:p>
      <w:pPr>
        <w:spacing w:line="360" w:lineRule="auto"/>
        <w:ind w:firstLine="360" w:firstLineChars="200"/>
        <w:rPr>
          <w:rFonts w:hint="eastAsia" w:ascii="宋体" w:hAnsi="宋体"/>
          <w:bCs/>
          <w:sz w:val="18"/>
          <w:szCs w:val="18"/>
        </w:rPr>
      </w:pPr>
      <w:r>
        <w:rPr>
          <w:rFonts w:hint="eastAsia" w:ascii="宋体" w:hAnsi="宋体"/>
          <w:bCs/>
          <w:sz w:val="18"/>
          <w:szCs w:val="18"/>
        </w:rPr>
        <w:t>（7）金融市场发生重大变化导致理财产品投资比例暂时超出浮动区间且可能对理财产品收益产生重大影响的；</w:t>
      </w:r>
    </w:p>
    <w:p>
      <w:pPr>
        <w:spacing w:line="360" w:lineRule="auto"/>
        <w:ind w:firstLine="360" w:firstLineChars="200"/>
        <w:rPr>
          <w:rFonts w:hint="eastAsia" w:ascii="宋体" w:hAnsi="宋体" w:eastAsia="宋体"/>
          <w:bCs/>
          <w:sz w:val="18"/>
          <w:szCs w:val="18"/>
          <w:lang w:eastAsia="zh-CN"/>
        </w:rPr>
      </w:pPr>
      <w:r>
        <w:rPr>
          <w:rFonts w:hint="eastAsia" w:ascii="宋体" w:hAnsi="宋体"/>
          <w:bCs/>
          <w:sz w:val="18"/>
          <w:szCs w:val="18"/>
        </w:rPr>
        <w:t>（8）法律法规以及</w:t>
      </w:r>
      <w:r>
        <w:rPr>
          <w:rFonts w:hint="eastAsia" w:ascii="宋体" w:hAnsi="宋体"/>
          <w:bCs/>
          <w:sz w:val="18"/>
          <w:szCs w:val="18"/>
          <w:lang w:eastAsia="zh-CN"/>
        </w:rPr>
        <w:t>监管</w:t>
      </w:r>
      <w:r>
        <w:rPr>
          <w:rFonts w:hint="eastAsia" w:ascii="宋体" w:hAnsi="宋体"/>
          <w:bCs/>
          <w:sz w:val="18"/>
          <w:szCs w:val="18"/>
        </w:rPr>
        <w:t>规定的其他内容，或者产品管理人认为可能对投资者权益产生重大不利影响的其他事项</w:t>
      </w:r>
      <w:r>
        <w:rPr>
          <w:rFonts w:hint="eastAsia" w:ascii="宋体" w:hAnsi="宋体"/>
          <w:bCs/>
          <w:sz w:val="18"/>
          <w:szCs w:val="18"/>
          <w:lang w:eastAsia="zh-CN"/>
        </w:rPr>
        <w:t>。</w:t>
      </w:r>
    </w:p>
    <w:p>
      <w:pPr>
        <w:spacing w:line="360" w:lineRule="auto"/>
        <w:ind w:firstLine="360" w:firstLineChars="200"/>
        <w:rPr>
          <w:rFonts w:ascii="宋体" w:hAnsi="宋体"/>
          <w:bCs/>
          <w:sz w:val="18"/>
          <w:szCs w:val="18"/>
        </w:rPr>
      </w:pPr>
      <w:r>
        <w:rPr>
          <w:rFonts w:hint="eastAsia" w:ascii="黑体" w:hAnsi="黑体" w:eastAsia="黑体" w:cs="黑体"/>
          <w:bCs/>
          <w:sz w:val="18"/>
          <w:szCs w:val="18"/>
        </w:rPr>
        <w:t>★上述事项根据法律法规、</w:t>
      </w:r>
      <w:r>
        <w:rPr>
          <w:rFonts w:hint="eastAsia" w:ascii="黑体" w:hAnsi="黑体" w:eastAsia="黑体" w:cs="黑体"/>
          <w:bCs/>
          <w:sz w:val="18"/>
          <w:szCs w:val="18"/>
          <w:lang w:eastAsia="zh-CN"/>
        </w:rPr>
        <w:t>监管</w:t>
      </w:r>
      <w:r>
        <w:rPr>
          <w:rFonts w:hint="eastAsia" w:ascii="黑体" w:hAnsi="黑体" w:eastAsia="黑体" w:cs="黑体"/>
          <w:bCs/>
          <w:sz w:val="18"/>
          <w:szCs w:val="18"/>
        </w:rPr>
        <w:t>规定或销售文件约定需履行有关变更程序的，应当严格按照要求执行，不得仅以事后信息披露代替履行变更程序。</w:t>
      </w:r>
    </w:p>
    <w:p>
      <w:pPr>
        <w:spacing w:line="360" w:lineRule="auto"/>
        <w:ind w:firstLine="360" w:firstLineChars="200"/>
        <w:outlineLvl w:val="2"/>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季度、半年度和年度定期报告。产品管理人应当于每个季度结束之日起15个工作日内披露产品的季度报告，每年8月31日前披露产品的半年度报告，每年4月30日前披露产品上一年度的年度报告。产品成立不足90个自然日的，可以不编制当期的季度、半年和年度报告。首次定期报告的报告期（季度、半年或年度）从成立日开始至第一个报告期末。产品期限超过90个自然日的产品应当在存续期内至少披露一次定期报告。产品剩余存续期不足完整报告期，且到期公告或清算报告包括对应定期报告内容的，可以不编制剩余存续期所对应的季度、半年和年度报告。</w:t>
      </w:r>
    </w:p>
    <w:p>
      <w:pPr>
        <w:spacing w:line="360" w:lineRule="auto"/>
        <w:ind w:firstLine="360" w:firstLineChars="200"/>
        <w:outlineLvl w:val="2"/>
        <w:rPr>
          <w:rFonts w:ascii="宋体" w:hAnsi="宋体"/>
          <w:bCs/>
          <w:sz w:val="18"/>
          <w:szCs w:val="18"/>
        </w:rPr>
      </w:pPr>
      <w:r>
        <w:rPr>
          <w:rFonts w:ascii="宋体" w:hAnsi="宋体"/>
          <w:bCs/>
          <w:sz w:val="18"/>
          <w:szCs w:val="18"/>
        </w:rPr>
        <w:t>4.到期公告</w:t>
      </w:r>
    </w:p>
    <w:p>
      <w:pPr>
        <w:spacing w:line="360" w:lineRule="auto"/>
        <w:ind w:firstLine="360" w:firstLineChars="200"/>
        <w:rPr>
          <w:rFonts w:hint="eastAsia" w:ascii="宋体" w:hAnsi="宋体"/>
          <w:bCs/>
          <w:sz w:val="18"/>
          <w:szCs w:val="18"/>
        </w:rPr>
      </w:pPr>
      <w:r>
        <w:rPr>
          <w:rFonts w:hint="eastAsia" w:ascii="宋体" w:hAnsi="宋体"/>
          <w:bCs/>
          <w:sz w:val="18"/>
          <w:szCs w:val="18"/>
        </w:rPr>
        <w:t>（1）本产品终止后5个工作日内，产品管理人发布产品到期公告。到期公告应当至少包括产品的存续期限、终止日期、收费情况、收益分配情况等信息。</w:t>
      </w:r>
    </w:p>
    <w:p>
      <w:pPr>
        <w:spacing w:line="360" w:lineRule="auto"/>
        <w:ind w:firstLine="360" w:firstLineChars="200"/>
        <w:rPr>
          <w:rFonts w:ascii="宋体" w:hAnsi="宋体"/>
          <w:bCs/>
          <w:sz w:val="18"/>
          <w:szCs w:val="18"/>
        </w:rPr>
      </w:pPr>
      <w:r>
        <w:rPr>
          <w:rFonts w:hint="eastAsia" w:ascii="宋体" w:hAnsi="宋体"/>
          <w:bCs/>
          <w:sz w:val="18"/>
          <w:szCs w:val="18"/>
        </w:rPr>
        <w:t>（2）产品提前终止时，产品管理人应当不晚于提前终止日前1个工作日向投资者披露提前终止公告。产品因投资者赎回等原因被动提前终止的，产品管理人应不晚于提前终止当日向投资者披露提前终止公告。产品延期终止时，产品管理人应在原计划终止日前向投资者发出延期终止公告。</w:t>
      </w:r>
    </w:p>
    <w:p>
      <w:pPr>
        <w:spacing w:line="360" w:lineRule="auto"/>
        <w:ind w:firstLine="360" w:firstLineChars="200"/>
        <w:rPr>
          <w:rFonts w:hint="eastAsia" w:ascii="宋体" w:hAnsi="宋体"/>
          <w:bCs/>
          <w:sz w:val="18"/>
          <w:szCs w:val="18"/>
        </w:rPr>
      </w:pPr>
      <w:r>
        <w:rPr>
          <w:rFonts w:ascii="宋体" w:hAnsi="宋体"/>
          <w:bCs/>
          <w:sz w:val="18"/>
          <w:szCs w:val="18"/>
        </w:rPr>
        <w:t>5.</w:t>
      </w:r>
      <w:r>
        <w:rPr>
          <w:rFonts w:hint="eastAsia" w:ascii="宋体" w:hAnsi="宋体"/>
          <w:bCs/>
          <w:sz w:val="18"/>
          <w:szCs w:val="18"/>
        </w:rPr>
        <w:t>净值信息</w:t>
      </w:r>
    </w:p>
    <w:p>
      <w:pPr>
        <w:spacing w:line="360" w:lineRule="auto"/>
        <w:ind w:firstLine="360" w:firstLineChars="200"/>
        <w:rPr>
          <w:rFonts w:ascii="宋体" w:hAnsi="宋体"/>
          <w:bCs/>
          <w:sz w:val="18"/>
          <w:szCs w:val="18"/>
        </w:rPr>
      </w:pPr>
      <w:r>
        <w:rPr>
          <w:rFonts w:hint="eastAsia" w:ascii="宋体" w:hAnsi="宋体"/>
          <w:bCs/>
          <w:sz w:val="18"/>
          <w:szCs w:val="18"/>
        </w:rPr>
        <w:t>产品管理人在申购日/赎回日结束后2个工作日内披露申购日/赎回日的产品份额净值、产品份额累计净值、认（申）购价格和赎回价格。产品封闭期间</w:t>
      </w:r>
      <w:r>
        <w:rPr>
          <w:rFonts w:hint="eastAsia" w:ascii="宋体" w:hAnsi="宋体"/>
          <w:bCs/>
          <w:sz w:val="18"/>
          <w:szCs w:val="18"/>
          <w:lang w:eastAsia="zh-CN"/>
        </w:rPr>
        <w:t>（如有）</w:t>
      </w:r>
      <w:r>
        <w:rPr>
          <w:rFonts w:hint="eastAsia" w:ascii="宋体" w:hAnsi="宋体"/>
          <w:bCs/>
          <w:sz w:val="18"/>
          <w:szCs w:val="18"/>
        </w:rPr>
        <w:t>，每【周】向投资者披露一次产品份额净值、产品份额累计净值和资产净值。如遇法定节假日顺延。此外，如遇其他特殊情况，以产品管理人信息披露为准。</w:t>
      </w:r>
    </w:p>
    <w:p>
      <w:pPr>
        <w:spacing w:line="360" w:lineRule="auto"/>
        <w:ind w:firstLine="360" w:firstLineChars="200"/>
        <w:rPr>
          <w:rFonts w:hint="eastAsia" w:ascii="宋体" w:hAnsi="宋体" w:eastAsia="宋体" w:cs="宋体"/>
          <w:bCs/>
          <w:sz w:val="18"/>
          <w:szCs w:val="18"/>
        </w:rPr>
      </w:pPr>
      <w:r>
        <w:rPr>
          <w:rFonts w:hint="eastAsia" w:ascii="宋体" w:hAnsi="宋体" w:eastAsia="宋体" w:cs="宋体"/>
          <w:bCs/>
          <w:sz w:val="18"/>
          <w:szCs w:val="18"/>
          <w:lang w:val="en-US" w:eastAsia="zh-CN"/>
        </w:rPr>
        <w:t>6</w:t>
      </w:r>
      <w:r>
        <w:rPr>
          <w:rFonts w:hint="eastAsia" w:ascii="宋体" w:hAnsi="宋体" w:eastAsia="宋体" w:cs="宋体"/>
          <w:bCs/>
          <w:sz w:val="18"/>
          <w:szCs w:val="18"/>
        </w:rPr>
        <w:t>.临时公告</w:t>
      </w:r>
    </w:p>
    <w:p>
      <w:pPr>
        <w:spacing w:line="360" w:lineRule="auto"/>
        <w:ind w:firstLine="360" w:firstLineChars="200"/>
        <w:rPr>
          <w:rFonts w:hint="eastAsia" w:ascii="黑体" w:hAnsi="黑体" w:eastAsia="黑体"/>
          <w:bCs/>
          <w:sz w:val="18"/>
          <w:szCs w:val="18"/>
        </w:rPr>
      </w:pPr>
      <w:r>
        <w:rPr>
          <w:rFonts w:hint="eastAsia" w:ascii="黑体" w:hAnsi="黑体" w:eastAsia="黑体"/>
          <w:bCs/>
          <w:sz w:val="18"/>
          <w:szCs w:val="18"/>
        </w:rPr>
        <w:t>（1）★产品管理人针对产品存续期间的以下事项，将提前1个工作日发布变更公告，调整后的要素以产品管理人发布的变更公告中所载明的内容为准：</w:t>
      </w:r>
    </w:p>
    <w:p>
      <w:pPr>
        <w:spacing w:line="360" w:lineRule="auto"/>
        <w:ind w:firstLine="360" w:firstLineChars="200"/>
        <w:rPr>
          <w:rFonts w:hint="eastAsia" w:ascii="黑体" w:hAnsi="黑体" w:eastAsia="黑体"/>
          <w:bCs/>
          <w:sz w:val="18"/>
          <w:szCs w:val="18"/>
        </w:rPr>
      </w:pPr>
      <w:r>
        <w:rPr>
          <w:rFonts w:hint="eastAsia" w:ascii="黑体" w:hAnsi="黑体" w:eastAsia="黑体"/>
          <w:bCs/>
          <w:sz w:val="18"/>
          <w:szCs w:val="18"/>
        </w:rPr>
        <w:t>1）变更或调整理财产品销售文件及公告约定的产品类型、投资范围、投资资产种类、投资比例、风险等级、产品期限、运作方式、认（申）购和赎回安排（包含认购或申购赎回时间、金额上下限等）、估值方法、收益分配安排、业绩比较基准（如有）、业绩报酬计提基准（如有）；</w:t>
      </w:r>
    </w:p>
    <w:p>
      <w:pPr>
        <w:spacing w:line="360" w:lineRule="auto"/>
        <w:ind w:firstLine="360" w:firstLineChars="200"/>
        <w:rPr>
          <w:rFonts w:hint="eastAsia" w:ascii="黑体" w:hAnsi="黑体" w:eastAsia="黑体"/>
          <w:bCs/>
          <w:sz w:val="18"/>
          <w:szCs w:val="18"/>
        </w:rPr>
      </w:pPr>
      <w:r>
        <w:rPr>
          <w:rFonts w:hint="eastAsia" w:ascii="黑体" w:hAnsi="黑体" w:eastAsia="黑体"/>
          <w:bCs/>
          <w:sz w:val="18"/>
          <w:szCs w:val="18"/>
        </w:rPr>
        <w:t>2）增设产品份额类别；</w:t>
      </w:r>
    </w:p>
    <w:p>
      <w:pPr>
        <w:spacing w:line="360" w:lineRule="auto"/>
        <w:ind w:firstLine="360" w:firstLineChars="200"/>
        <w:rPr>
          <w:rFonts w:hint="eastAsia" w:ascii="黑体" w:hAnsi="黑体" w:eastAsia="黑体"/>
          <w:bCs/>
          <w:sz w:val="18"/>
          <w:szCs w:val="18"/>
        </w:rPr>
      </w:pPr>
      <w:r>
        <w:rPr>
          <w:rFonts w:hint="eastAsia" w:ascii="黑体" w:hAnsi="黑体" w:eastAsia="黑体"/>
          <w:bCs/>
          <w:sz w:val="18"/>
          <w:szCs w:val="18"/>
        </w:rPr>
        <w:t>3）根据相关法律和国家政策规定，对已约定的收费项目、条件、标准和方式进行调整；</w:t>
      </w:r>
    </w:p>
    <w:p>
      <w:pPr>
        <w:spacing w:line="360" w:lineRule="auto"/>
        <w:ind w:firstLine="360" w:firstLineChars="200"/>
        <w:rPr>
          <w:rFonts w:hint="eastAsia" w:ascii="黑体" w:hAnsi="黑体" w:eastAsia="黑体"/>
          <w:bCs/>
          <w:sz w:val="18"/>
          <w:szCs w:val="18"/>
        </w:rPr>
      </w:pPr>
      <w:r>
        <w:rPr>
          <w:rFonts w:hint="eastAsia" w:ascii="黑体" w:hAnsi="黑体" w:eastAsia="黑体"/>
          <w:bCs/>
          <w:sz w:val="18"/>
          <w:szCs w:val="18"/>
        </w:rPr>
        <w:t>4）对已约定的收费项目或收费标准采取优惠措施（应明确标注优惠措施的生效日期及终止日期，后续如有调整另行公告）。</w:t>
      </w:r>
    </w:p>
    <w:p>
      <w:pPr>
        <w:spacing w:line="360" w:lineRule="auto"/>
        <w:ind w:firstLine="360" w:firstLineChars="200"/>
        <w:rPr>
          <w:rFonts w:hint="eastAsia" w:ascii="黑体" w:hAnsi="黑体" w:eastAsia="黑体"/>
          <w:bCs/>
          <w:sz w:val="18"/>
          <w:szCs w:val="18"/>
        </w:rPr>
      </w:pPr>
      <w:r>
        <w:rPr>
          <w:rFonts w:hint="eastAsia" w:ascii="黑体" w:hAnsi="黑体" w:eastAsia="黑体"/>
          <w:bCs/>
          <w:sz w:val="18"/>
          <w:szCs w:val="18"/>
        </w:rPr>
        <w:t>5）法律法规、监管规定或产品管理人认为需要向投资者事前披露的其他临时事项。</w:t>
      </w:r>
    </w:p>
    <w:p>
      <w:pPr>
        <w:spacing w:line="360" w:lineRule="auto"/>
        <w:ind w:firstLine="360" w:firstLineChars="200"/>
        <w:rPr>
          <w:rFonts w:ascii="宋体" w:hAnsi="宋体"/>
          <w:bCs/>
          <w:sz w:val="18"/>
          <w:szCs w:val="18"/>
        </w:rPr>
      </w:pPr>
      <w:r>
        <w:rPr>
          <w:rFonts w:hint="eastAsia" w:ascii="宋体" w:hAnsi="宋体" w:eastAsia="宋体" w:cs="宋体"/>
          <w:bCs/>
          <w:sz w:val="18"/>
          <w:szCs w:val="18"/>
        </w:rPr>
        <w:t>（2）在发生产品管理人拒绝或暂停接受投资者认购/申购申请、暂停接受投资者赎回申请、延缓支付赎回款项、巨额赎回、暂停理财产品估值、采用摆动定价等情形时，产品管理人将于采取相关措施后3个交易日内告知投资者，并说明运用相关措施的原因和拟采取的应对安排等。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3）理财产品清算期超过5个工作日的，产品管理人应当在理财产品终止前，根据与投资者的约定，在指定渠道向理财产品投资者进行披露。如预期无法在规定的清算期内完成清算，产品管理人应当在原定清算期结束前向投资者进行披露。产品终止清算后，因发生无法预期事项需再次清算的，应当在完成再次清算之日起2个工作日内向投资者披露清算资金分配情况等信息。</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4）★在本产品存续期内，如因国家法律法规、监管规定发生变化，或是出于维护本产品正常运营的需要，在不损害投资者权益的前提下，产品管理人有权对理财产品销售文件进行修订，并提前1个工作日进行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除前述事项外，如出现其他突发事件，应在知晓或应当知晓相关事项后5个工作日内进行披露。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产品类型、投资范围、投资资产种类、投资比例、风险等级、产品期限、运作方式、认（申）购和赎回安排（包含认购或申购赎回时间、金额上下限等）、估值方法、收益分配安排、业绩比较基准（如有）、业绩报酬计提基准（如有）或收费项目、条件、标准和方式等）时，若构成对投资者利益产生实质性不利影响或涉及当事人权利义务的重大变更的，投资者有权不接受变更，在符合法律法规及监管政策的前提下，可由管理人决定投资者的提前退出方式，并提前1个工作日进行公告。若投资者未选择退出本产品的，则视为已理解并接受管理人的相应变更。</w:t>
      </w: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178" w:name="_Toc79154675"/>
      <w:bookmarkStart w:id="179" w:name="_Toc176181123"/>
      <w:bookmarkStart w:id="180" w:name="_Toc116984895"/>
      <w:bookmarkStart w:id="181" w:name="_Toc9237714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78"/>
      <w:bookmarkEnd w:id="179"/>
      <w:bookmarkEnd w:id="180"/>
      <w:bookmarkEnd w:id="181"/>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5"/>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outlineLvl w:val="1"/>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outlineLvl w:val="1"/>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outlineLvl w:val="1"/>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outlineLvl w:val="1"/>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outlineLvl w:val="1"/>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outlineLvl w:val="1"/>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outlineLvl w:val="1"/>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不可抗力、通讯故障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spacing w:line="360" w:lineRule="auto"/>
        <w:ind w:firstLine="360" w:firstLineChars="200"/>
        <w:outlineLvl w:val="1"/>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outlineLvl w:val="1"/>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outlineLvl w:val="1"/>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w:t>
      </w:r>
      <w:r>
        <w:rPr>
          <w:rFonts w:hint="eastAsia" w:ascii="黑体" w:hAnsi="黑体" w:eastAsia="黑体"/>
          <w:sz w:val="18"/>
          <w:szCs w:val="18"/>
          <w:lang w:eastAsia="zh-CN"/>
        </w:rPr>
        <w:t>份额代码</w:t>
      </w:r>
      <w:r>
        <w:rPr>
          <w:rFonts w:hint="eastAsia" w:ascii="黑体" w:hAnsi="黑体" w:eastAsia="黑体"/>
          <w:sz w:val="18"/>
          <w:szCs w:val="18"/>
        </w:rPr>
        <w:t>、销售对象、销售起点金额（认购、申购的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outlineLvl w:val="1"/>
        <w:rPr>
          <w:rFonts w:hint="eastAsia" w:ascii="黑体" w:hAnsi="黑体" w:eastAsia="黑体" w:cs="黑体"/>
          <w:sz w:val="18"/>
          <w:szCs w:val="18"/>
        </w:rPr>
      </w:pPr>
      <w:r>
        <w:rPr>
          <w:rFonts w:hint="eastAsia" w:ascii="黑体" w:hAnsi="黑体" w:eastAsia="黑体" w:cs="黑体"/>
          <w:sz w:val="18"/>
          <w:szCs w:val="18"/>
        </w:rPr>
        <w:t>17.★关联交易风险</w:t>
      </w:r>
    </w:p>
    <w:p>
      <w:pPr>
        <w:numPr>
          <w:ilvl w:val="0"/>
          <w:numId w:val="0"/>
        </w:num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及/或托管人为产品管理人的关联方兴业银行股份有限公司或产品管理人其他关联方，尽管管理人将严格按照法律法规和监管规定对关联方进行识别，按照规定执行关联交易管理要求，不会以本理财产品与关联方进行不正当交易、利益输送等违反监管规定的行为，以尽力降低关联交易风险，但仍存在无法完全排除关联交易的可能而导致影响投资者利益的风险。</w:t>
      </w:r>
    </w:p>
    <w:p>
      <w:pPr>
        <w:numPr>
          <w:ilvl w:val="0"/>
          <w:numId w:val="0"/>
        </w:numPr>
        <w:spacing w:line="360" w:lineRule="auto"/>
        <w:ind w:firstLine="360" w:firstLineChars="200"/>
        <w:rPr>
          <w:rFonts w:ascii="黑体" w:hAnsi="黑体" w:eastAsia="黑体"/>
          <w:sz w:val="18"/>
          <w:szCs w:val="18"/>
        </w:rPr>
      </w:pPr>
      <w:r>
        <w:rPr>
          <w:rFonts w:hint="eastAsia" w:ascii="黑体" w:hAnsi="黑体" w:eastAsia="黑体" w:cs="宋体"/>
          <w:kern w:val="2"/>
          <w:sz w:val="18"/>
          <w:szCs w:val="18"/>
          <w:lang w:val="en-US" w:eastAsia="zh-CN" w:bidi="ar-SA"/>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numPr>
          <w:ilvl w:val="0"/>
          <w:numId w:val="0"/>
        </w:numPr>
        <w:spacing w:line="360" w:lineRule="auto"/>
        <w:ind w:firstLine="360" w:firstLineChars="200"/>
        <w:rPr>
          <w:rFonts w:hint="eastAsia" w:ascii="黑体" w:hAnsi="黑体" w:eastAsia="黑体"/>
          <w:sz w:val="18"/>
          <w:szCs w:val="18"/>
        </w:rPr>
      </w:pPr>
      <w:r>
        <w:rPr>
          <w:rFonts w:hint="eastAsia" w:ascii="黑体" w:hAnsi="黑体" w:eastAsia="黑体" w:cs="宋体"/>
          <w:kern w:val="2"/>
          <w:sz w:val="18"/>
          <w:szCs w:val="18"/>
          <w:lang w:val="en-US" w:eastAsia="zh-CN" w:bidi="ar-SA"/>
        </w:rPr>
        <w:t>（四）</w:t>
      </w:r>
      <w:r>
        <w:rPr>
          <w:rFonts w:hint="eastAsia" w:ascii="黑体" w:hAnsi="黑体" w:eastAsia="黑体"/>
          <w:sz w:val="18"/>
          <w:szCs w:val="18"/>
        </w:rPr>
        <w:t>风险管理措施</w:t>
      </w:r>
    </w:p>
    <w:p>
      <w:pPr>
        <w:numPr>
          <w:ilvl w:val="0"/>
          <w:numId w:val="0"/>
        </w:numPr>
        <w:spacing w:line="360" w:lineRule="auto"/>
        <w:ind w:firstLine="360" w:firstLineChars="200"/>
        <w:rPr>
          <w:rFonts w:hint="eastAsia" w:ascii="黑体" w:hAnsi="黑体" w:eastAsia="黑体"/>
          <w:sz w:val="18"/>
          <w:szCs w:val="18"/>
        </w:rPr>
      </w:pPr>
      <w:r>
        <w:rPr>
          <w:rFonts w:hint="eastAsia" w:ascii="宋体" w:hAnsi="宋体" w:eastAsia="宋体" w:cs="宋体"/>
          <w:sz w:val="18"/>
          <w:szCs w:val="18"/>
        </w:rPr>
        <w:t>产品管理人承诺按照诚实信用、勤勉尽责的原则管理和运用理财产品财产，并依据法律法规及监管规定，通过完善风险管理治理架构、健全内部管理制度、强化投资运作管控、严格履行信息披露义务等多种措施，建立与产品风险收益特征相适应的风险管理机制。</w:t>
      </w:r>
    </w:p>
    <w:p>
      <w:pPr>
        <w:numPr>
          <w:ilvl w:val="0"/>
          <w:numId w:val="0"/>
        </w:numPr>
        <w:spacing w:line="360" w:lineRule="auto"/>
        <w:ind w:firstLine="360" w:firstLineChars="200"/>
        <w:rPr>
          <w:rFonts w:ascii="黑体" w:hAnsi="黑体" w:eastAsia="黑体"/>
          <w:sz w:val="18"/>
          <w:szCs w:val="18"/>
        </w:rPr>
      </w:pPr>
      <w:r>
        <w:rPr>
          <w:rFonts w:hint="eastAsia" w:ascii="黑体" w:hAnsi="黑体" w:eastAsia="黑体"/>
          <w:sz w:val="18"/>
          <w:szCs w:val="18"/>
        </w:rPr>
        <w:t>特别提示：上述风险管理措施系产品管理人基于诚实信用、勤勉尽责原则所采取的常规管理安排，不构成产品管理人对本理财产品本金不受损失或者取得最低收益的任何承诺或保证。本理财产品为非保本理财产品，产品管理人不保证理财本金的安全及理财收益的实现，由此产生的投资风险由投资者自行承担。理财非存款、产品有风险、投资须谨慎。</w:t>
      </w:r>
    </w:p>
    <w:p>
      <w:pPr>
        <w:widowControl/>
        <w:jc w:val="left"/>
        <w:rPr>
          <w:rFonts w:ascii="宋体" w:hAnsi="宋体"/>
          <w:color w:val="000000"/>
          <w:kern w:val="0"/>
          <w:sz w:val="18"/>
          <w:szCs w:val="18"/>
        </w:rPr>
      </w:pPr>
      <w:r>
        <w:rPr>
          <w:rFonts w:hAnsi="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rFonts w:hint="eastAsia" w:cs="Arial"/>
                <w:sz w:val="18"/>
                <w:szCs w:val="18"/>
              </w:rPr>
              <w:t>签</w:t>
            </w:r>
            <w:r>
              <w:rPr>
                <w:rFonts w:cs="Arial"/>
                <w:sz w:val="18"/>
                <w:szCs w:val="18"/>
              </w:rPr>
              <w:t>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cs="Arial"/>
                <w:sz w:val="18"/>
                <w:szCs w:val="18"/>
              </w:rPr>
              <w:t>名</w:t>
            </w:r>
            <w:r>
              <w:rPr>
                <w:rFonts w:hint="eastAsia"/>
                <w:sz w:val="18"/>
                <w:szCs w:val="18"/>
              </w:rPr>
              <w:t>/</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14"/>
        <w:spacing w:line="360" w:lineRule="auto"/>
        <w:rPr>
          <w:rFonts w:hAnsi="宋体"/>
          <w:sz w:val="18"/>
          <w:szCs w:val="18"/>
        </w:rPr>
      </w:pPr>
    </w:p>
    <w:p/>
    <w:p/>
    <w:p/>
    <w:p/>
    <w:p/>
    <w:p/>
    <w:p/>
    <w:p/>
    <w:p/>
    <w:p/>
    <w:p/>
    <w:p/>
    <w:p/>
    <w:p/>
    <w:p/>
    <w:p/>
    <w:p/>
    <w:p/>
    <w:p/>
    <w:p/>
    <w:p/>
    <w:p/>
    <w:p/>
    <w:p/>
    <w:p/>
    <w:p/>
    <w:p/>
    <w:p>
      <w:pPr>
        <w:spacing w:line="360" w:lineRule="auto"/>
        <w:ind w:firstLine="361" w:firstLineChars="200"/>
        <w:rPr>
          <w:rFonts w:hint="eastAsia" w:ascii="宋体" w:hAnsi="宋体"/>
          <w:b/>
          <w:sz w:val="18"/>
          <w:szCs w:val="18"/>
          <w:lang w:val="en-US" w:eastAsia="zh-CN"/>
        </w:rPr>
      </w:pPr>
      <w:r>
        <w:rPr>
          <w:rFonts w:hint="eastAsia" w:ascii="宋体" w:hAnsi="宋体"/>
          <w:b/>
          <w:sz w:val="18"/>
          <w:szCs w:val="18"/>
          <w:lang w:val="en-US" w:eastAsia="zh-CN"/>
        </w:rPr>
        <w:t>附表1：销售机构基本情况（适用【A/B/C】类份额）：</w:t>
      </w:r>
    </w:p>
    <w:tbl>
      <w:tblPr>
        <w:tblStyle w:val="7"/>
        <w:tblW w:w="8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439"/>
        <w:gridCol w:w="3546"/>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3" w:hRule="atLeast"/>
          <w:tblHeader/>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b/>
                <w:bCs/>
                <w:i w:val="0"/>
                <w:iCs w:val="0"/>
                <w:color w:val="000000"/>
                <w:kern w:val="0"/>
                <w:sz w:val="18"/>
                <w:szCs w:val="18"/>
                <w:u w:val="none"/>
                <w:lang w:val="en-US" w:eastAsia="zh-CN" w:bidi="ar"/>
              </w:rPr>
              <w:t>销售机构全称</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b/>
                <w:bCs/>
                <w:i w:val="0"/>
                <w:iCs w:val="0"/>
                <w:color w:val="000000"/>
                <w:kern w:val="0"/>
                <w:sz w:val="18"/>
                <w:szCs w:val="18"/>
                <w:u w:val="none"/>
                <w:lang w:val="en-US" w:eastAsia="zh-CN" w:bidi="ar"/>
              </w:rPr>
              <w:t>销售机构住所</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b/>
                <w:bCs/>
                <w:i w:val="0"/>
                <w:iCs w:val="0"/>
                <w:color w:val="000000"/>
                <w:kern w:val="0"/>
                <w:sz w:val="18"/>
                <w:szCs w:val="18"/>
                <w:u w:val="none"/>
                <w:lang w:val="en-US" w:eastAsia="zh-CN" w:bidi="ar"/>
              </w:rPr>
              <w:t>销售机构联系方式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交通银行股份有限公司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中国(上海)自由贸易试验区银城中路188号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中国邮政储蓄银行股份有限公司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北京市西城区金融大街3号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中信银行股份有限公司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北京市朝阳区光华路10号院1号楼6-30层、32-42层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中国光大银行股份有限公司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北京市西城区太平桥大街25号、甲25号中国光大中心</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广发银行股份有限公司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广东省越秀区东风东路713号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招商银行股份有限公司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深圳市福田区深南大道7088号招商银行大厦</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上海浦东发展银行股份有限公司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上海市中山东一路12号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深圳前海微众银行股份有限公司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深圳市前海深港合作区南山街道金港街88号微众银行大厦1层、7-10层、12-21层、23-30层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福建三明农村商业银行股份有限公司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三明市三元区东新三路68号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广西三江农村商业银行股份有限公司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广西柳州市三江县桥西南路3号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浙江三门农村商业银行股份有限公司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浙江省三门县海游街道上洋路68号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福建上杭农村商业银行股份有限公司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福建省龙岩市上杭县临江镇振兴路171号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0597-3886056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浙江上虞农村商业银行股份有限公司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浙江省绍兴市上虞区百官街道德盛路55号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东莞农村商业银行股份有限公司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广东省东莞市东城街道鸿福东路2号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0769-961122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东莞银行股份有限公司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东莞市莞城区体育路21号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4001196228；0769-96228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浙江东阳农村商业银行股份有限公司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浙江省东阳市双岘路18号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中原银行股份有限公司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河南省郑州市郑东新区金融岛外环路9号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广西临桂农村商业银行股份有限公司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桂林市临桂区联创飞扬国际T6栋</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浙江乐清农村商业银行股份有限公司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浙江省乐清市城南街道伯乐西路99号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云霄县农村信用合作联社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福建省漳州市云霄县莆美镇侨兴路29号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0596-8521614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福建仙游农村商业银行股份有限公司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福建省仙游县鲤城街道党校街1188号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0594-8296544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宁波余姚农村商业银行股份有限公司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余姚市新建路69号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广东佛冈农村商业银行股份有限公司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广东省佛冈县石角镇振兴南路59号农商金融大厦</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广东佛山农村商业银行股份有限公司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佛山市禅城区华远东路5号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光泽县农村信用合作联社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福建省光泽县杭川镇文昌路70-10号ou</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广西全州农村合作银行</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广西全州县全州镇桂黄中路９５号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兴业县农村信用合作联社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广西玉林市兴业县兴业大道兴业家园南侧</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广西兴安农村合作银行</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兴安县兴安镇灵湖路506号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广西凌云农村商业银行股份有限公司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广西凌云县泗城镇新秀社区农村商业银行</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北京银行股份有限公司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北京市西城区金融大街甲17号首层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宁波北仑农村商业银行股份有限公司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浙江省新碶宝山路69号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北流市农村信用合作联社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广西北流市二环西路175号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北海市区农村信用合作联社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北海市北部湾中路２０号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华侨银行股份有限公司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中国（上海）自由贸易试验区源深路1155号华侨银行大厦B103,103,106A,301-308,401-408,501-508单元</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4008940089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广东华兴银行股份有限公司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广东省汕头市龙湖区黄山路28号四层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南宁市区农村信用合作联社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中国（广西）自由贸易试验区南宁片区歌海路11号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福建南安农村商业银行股份有限公司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福建省南安市成功街889号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南洋商业银行股份有限公司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中国（上海）自由贸易试验区浦明路898号13层至20层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广东南粤银行股份有限公司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湛江经济技术开发区乐山路27号财富汇金融中心</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4000-961818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广东博罗农村商业银行股份有限公司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博罗县罗阳镇商业东街信合大楼</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厦门农村商业银行股份有限公司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中国（福建）自由贸易试验区厦门片区东港北路31号（1层、17层、19层、27-28层、30-31层）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4008396336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厦门国际银行股份有限公司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厦门市思明区鹭江道8-10号国际银行大厦1-6层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956085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古田县农村信用合作联社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福建省宁德市古田县城东街道滨河东路9号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0593-3883865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台州银行股份有限公司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浙江省台州市路桥区南官大道92号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合浦县农村信用合作联社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合浦县廉州镇还珠大道１８号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合肥科技农村商业银行股份有限公司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安徽省合肥市长江西路101号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0551-96668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吉林银行股份有限公司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吉林省长春市南关区人民大街10666号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湖州吴兴农村商业银行股份有限公司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浙江省湖州市东街55号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哈密市商业银行股份有限公司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新疆哈密市伊州区天山北路52号哈建大厦1-4层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0902-96533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哈尔滨银行股份有限公司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哈尔滨市道里区上江街888号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0451-86779933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嘉兴银行股份有限公司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浙江省嘉兴市昌盛南路1001号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0573-96528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浙江嘉善农村商业银行股份有限公司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浙江省嘉兴市嘉善县罗星街道车站南路999号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广西大化农村商业银行股份有限公司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大化瑶族自治县大化镇北红河北路169号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大田县农村信用合作联社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大田县均溪镇赤岩路2号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大连农村商业银行股份有限公司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大连市中山区人民路9号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大连银行股份有限公司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大连市中山区中山路88号天安国际大厦</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956169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宁波奉化农村商业银行股份有限公司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浙江省宁波市奉化区锦屏街道中山路27号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威海蓝海银行股份有限公司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威海火炬高技术产业开发区威高润和花园-30号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400-0631-888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宁化县农村信用合作联社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宁化县中环南路1号中环花园4幢101号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福建宁德农村商业银行股份有限公司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福建省宁德市蕉城区万安西路21号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0593-2879738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广西宁明农村商业银行股份有限公司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宁明县城中镇明阳街3号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浙江省宁东路345号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浙江安吉农村商业银行股份有限公司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浙江省湖州市安吉县昌硕街道昌硕东路1号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福建安溪农村商业银行股份有限公司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福建省泉州市安溪县建安大道230号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浙江舟山定海海洋农村商业银行股份有限公司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浙江省舟山市定海区环城东路81号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容县农村信用合作联社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广西玉林市容县容州镇柚乡大道99号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广西宾阳农村商业银行股份有限公司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宾阳县宾州镇文明路42号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广西富川农村商业银行股份有限公司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广西富川县富洲路一巷农村商业银行</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重庆富民银行股份有限公司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重庆市渝北区财富东路2号涉外商务区一期B1栋</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956118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富邦华一银行有限公司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中国（上海）自由贸易试验区世纪大道1168号A座101室、18楼、19楼及20楼</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962811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浙江富阳农村商业银行股份有限公司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浙江省杭州市富阳区鹿山街道依江路501号第1幢</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寿宁县农村信用合作联社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福建省宁德市寿宁县梦龙街5号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0593-5519112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尤溪县农村信用合作联社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尤溪县城关镇解放路39号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山西银行股份有限公司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山西转型综合改革示范区学府产业园高新街15号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0351-2328025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广西岑溪农村商业银行股份有限公司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广西岑溪市义州大道192号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广西崇左农村商业银行股份有限公司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广西壮族自治区崇左市城西路１０９号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浙江常山农村商业银行股份有限公司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浙江省衢州市常山县紫港街道文教东路258号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广西平乐农村合作银行</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平乐县平乐镇金子岭路1号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平南县农村信用合作联社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广西平南县二环大道399号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福建平和农村商业银行股份有限公司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福建省漳州市平和县小溪镇北环路86号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0596-5230635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广西平果农村合作银行</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广西平果市铝城大道1069号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浙江平湖农村商业银行股份有限公司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平湖市当湖街道胜利路518号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浙江平阳农村商业银行股份有限公司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浙江省温州市平阳县鳌江镇车站大道999号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广州银行股份有限公司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广州市天河区珠江东路30号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96699(广东)；400-83-96699(全国)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浙江庆元农村商业银行股份有限公司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浙江省丽水市庆元县濛洲街道云鹤路3号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廊坊银行股份有限公司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河北省廊坊市广阳区爱民东道83号新世界中心办公楼大厦C区17号楼5-14层、22层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0316</w:t>
            </w:r>
            <w:r>
              <w:rPr>
                <w:rFonts w:hint="eastAsia" w:asciiTheme="minorEastAsia" w:hAnsiTheme="minorEastAsia" w:eastAsiaTheme="minorEastAsia" w:cstheme="minorEastAsia"/>
                <w:i w:val="0"/>
                <w:iCs w:val="0"/>
                <w:color w:val="000000"/>
                <w:kern w:val="0"/>
                <w:sz w:val="18"/>
                <w:szCs w:val="18"/>
                <w:u w:val="none"/>
                <w:lang w:val="en-US" w:eastAsia="zh-CN" w:bidi="ar"/>
              </w:rPr>
              <w:noBreakHyphen/>
            </w:r>
            <w:r>
              <w:rPr>
                <w:rFonts w:hint="eastAsia" w:asciiTheme="minorEastAsia" w:hAnsiTheme="minorEastAsia" w:eastAsiaTheme="minorEastAsia" w:cstheme="minorEastAsia"/>
                <w:i w:val="0"/>
                <w:iCs w:val="0"/>
                <w:color w:val="000000"/>
                <w:kern w:val="0"/>
                <w:sz w:val="18"/>
                <w:szCs w:val="18"/>
                <w:u w:val="none"/>
                <w:lang w:val="en-US" w:eastAsia="zh-CN" w:bidi="ar"/>
              </w:rPr>
              <w:t>96368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浙江建德农村商业银行股份有限公司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浙江省建德市新安江街道江滨中路176号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张家口银行股份有限公司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河北省张家口市桥东区胜利北路51号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w:t>
            </w:r>
            <w:r>
              <w:rPr>
                <w:rFonts w:hint="eastAsia" w:asciiTheme="minorEastAsia" w:hAnsiTheme="minorEastAsia" w:eastAsiaTheme="minorEastAsia" w:cstheme="minorEastAsia"/>
                <w:i w:val="0"/>
                <w:iCs w:val="0"/>
                <w:color w:val="000000"/>
                <w:kern w:val="0"/>
                <w:sz w:val="18"/>
                <w:szCs w:val="18"/>
                <w:u w:val="none"/>
                <w:lang w:val="en-US" w:eastAsia="zh-CN" w:bidi="ar"/>
              </w:rPr>
              <w:noBreakHyphen/>
            </w:r>
            <w:r>
              <w:rPr>
                <w:rFonts w:hint="eastAsia" w:asciiTheme="minorEastAsia" w:hAnsiTheme="minorEastAsia" w:eastAsiaTheme="minorEastAsia" w:cstheme="minorEastAsia"/>
                <w:i w:val="0"/>
                <w:iCs w:val="0"/>
                <w:color w:val="000000"/>
                <w:kern w:val="0"/>
                <w:sz w:val="18"/>
                <w:szCs w:val="18"/>
                <w:u w:val="none"/>
                <w:lang w:val="en-US" w:eastAsia="zh-CN" w:bidi="ar"/>
              </w:rPr>
              <w:t>689</w:t>
            </w:r>
            <w:r>
              <w:rPr>
                <w:rFonts w:hint="eastAsia" w:asciiTheme="minorEastAsia" w:hAnsiTheme="minorEastAsia" w:eastAsiaTheme="minorEastAsia" w:cstheme="minorEastAsia"/>
                <w:i w:val="0"/>
                <w:iCs w:val="0"/>
                <w:color w:val="000000"/>
                <w:kern w:val="0"/>
                <w:sz w:val="18"/>
                <w:szCs w:val="18"/>
                <w:u w:val="none"/>
                <w:lang w:val="en-US" w:eastAsia="zh-CN" w:bidi="ar"/>
              </w:rPr>
              <w:noBreakHyphen/>
            </w:r>
            <w:r>
              <w:rPr>
                <w:rFonts w:hint="eastAsia" w:asciiTheme="minorEastAsia" w:hAnsiTheme="minorEastAsia" w:eastAsiaTheme="minorEastAsia" w:cstheme="minorEastAsia"/>
                <w:i w:val="0"/>
                <w:iCs w:val="0"/>
                <w:color w:val="000000"/>
                <w:kern w:val="0"/>
                <w:sz w:val="18"/>
                <w:szCs w:val="18"/>
                <w:u w:val="none"/>
                <w:lang w:val="en-US" w:eastAsia="zh-CN" w:bidi="ar"/>
              </w:rPr>
              <w:t>6368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徽商银行股份有限公司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中国安徽省合肥市云谷路1699号徽银大厦</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40088-96588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恒丰银行股份有限公司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济南市历下区泺源大街8号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广西恭城农村商业银行股份有限公司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恭城镇茶北路一号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惠安县农村信用合作联社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福建省泉州市惠安县螺城镇建设南街555号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宁波慈溪农村商业银行股份有限公司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浙江省慈溪市浒山街道南城路25号、59号5-6层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广西扶绥农村商业银行股份有限公司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扶绥县新宁镇永宁路２－１号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浙江文成农村商业银行股份有限公司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浙江省温州市文成县大峃镇体育场路509-520号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广东新兴农村商业银行股份有限公司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广东省云浮市新兴县新城镇新洲大道南8号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新疆银行股份有限公司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新疆乌鲁木齐市天山区新华南路338号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0991-96559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江苏昆山农村商业银行股份有限公司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江苏省昆山市前进东路828号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0512-96079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福建晋江农村商业银行股份有限公司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福建省晋江市青阳街道崇德路196号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浙江舟山普陀农村商业银行股份有限公司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浙江省舟山市普陀区东港街道麒麟街225号（自贸试验区内）</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广西来宾农村商业银行股份有限公司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广西来宾市盘古大道西98号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杭州银行股份有限公司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浙江省杭州市上城区解放东路168号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松溪县农村信用合作联社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福建省松溪县工农东路1号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浙江松阳农村商业银行股份有限公司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浙江省丽水市松阳县水南街道要津南路71号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柘荣县农村信用合作联社股份有限公司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福建省宁德市柘荣县615西路2号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0593-8352797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广西贺州桂东农村合作银行</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广西贺州市八步区建设东路6号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桂平市农村信用合作联社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广西桂平市西山镇兴宁社区农村信用社</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浙江桐庐农村商业银行股份有限公司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浙江省杭州市桐庐县城迎春南路278号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梧州市区农村信用合作联社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广西梧州市新兴三路11号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浙江台州椒江农村商业银行股份有限公司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浙江省台州市椒江区洪家街道中心大道4081号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横州市农村信用合作联社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广西壮族自治区横州市横州镇迎宣西路175号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浙江武义农村商业银行股份有限公司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浙江省武义县城武阳中路37号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福建武夷山农村商业银行股份有限公司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福建省武夷山市环岛西路76号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武平县农村信用合作联社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福建省龙岩市武平县武平大道18号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0597-3338801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南宁市武鸣区农村信用合作联社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南宁市武鸣区兴武大道１７８号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福建永安农村商业银行股份有限公司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永安市江滨路688号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永春县农村信用合作联社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福建省泉州市永春县桃城镇湖滨路301号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永泰县农村信用合作联社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福建省福州市永泰县樟城镇南湖花园E区9号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0591-24896336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广西永福农村商业银行股份有限公司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永福县永福镇连江路３０号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浙江江山农村商业银行股份有限公司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浙江省江山市区江滨路188号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江苏银行股份有限公司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南京市中华路26号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福建沙县农村商业银行股份有限公司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三明市沙县区李纲中路19号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沧州银行股份有限公司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河北省沧州市运河区双金路2号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0317-96328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河北银行股份有限公司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河北省石家庄市长安区建设南大街21号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w:t>
            </w:r>
            <w:r>
              <w:rPr>
                <w:rFonts w:hint="eastAsia" w:asciiTheme="minorEastAsia" w:hAnsiTheme="minorEastAsia" w:eastAsiaTheme="minorEastAsia" w:cstheme="minorEastAsia"/>
                <w:i w:val="0"/>
                <w:iCs w:val="0"/>
                <w:color w:val="000000"/>
                <w:kern w:val="0"/>
                <w:sz w:val="18"/>
                <w:szCs w:val="18"/>
                <w:u w:val="none"/>
                <w:lang w:val="en-US" w:eastAsia="zh-CN" w:bidi="ar"/>
              </w:rPr>
              <w:noBreakHyphen/>
            </w:r>
            <w:r>
              <w:rPr>
                <w:rFonts w:hint="eastAsia" w:asciiTheme="minorEastAsia" w:hAnsiTheme="minorEastAsia" w:eastAsiaTheme="minorEastAsia" w:cstheme="minorEastAsia"/>
                <w:i w:val="0"/>
                <w:iCs w:val="0"/>
                <w:color w:val="000000"/>
                <w:kern w:val="0"/>
                <w:sz w:val="18"/>
                <w:szCs w:val="18"/>
                <w:u w:val="none"/>
                <w:lang w:val="en-US" w:eastAsia="zh-CN" w:bidi="ar"/>
              </w:rPr>
              <w:t>612</w:t>
            </w:r>
            <w:r>
              <w:rPr>
                <w:rFonts w:hint="eastAsia" w:asciiTheme="minorEastAsia" w:hAnsiTheme="minorEastAsia" w:eastAsiaTheme="minorEastAsia" w:cstheme="minorEastAsia"/>
                <w:i w:val="0"/>
                <w:iCs w:val="0"/>
                <w:color w:val="000000"/>
                <w:kern w:val="0"/>
                <w:sz w:val="18"/>
                <w:szCs w:val="18"/>
                <w:u w:val="none"/>
                <w:lang w:val="en-US" w:eastAsia="zh-CN" w:bidi="ar"/>
              </w:rPr>
              <w:noBreakHyphen/>
            </w:r>
            <w:r>
              <w:rPr>
                <w:rFonts w:hint="eastAsia" w:asciiTheme="minorEastAsia" w:hAnsiTheme="minorEastAsia" w:eastAsiaTheme="minorEastAsia" w:cstheme="minorEastAsia"/>
                <w:i w:val="0"/>
                <w:iCs w:val="0"/>
                <w:color w:val="000000"/>
                <w:kern w:val="0"/>
                <w:sz w:val="18"/>
                <w:szCs w:val="18"/>
                <w:u w:val="none"/>
                <w:lang w:val="en-US" w:eastAsia="zh-CN" w:bidi="ar"/>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河池市区农村信用合作联社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河池市西环路三巷１号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泉州农村商业银行股份有限公司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福建省泉州市丰泽区滨海路222号香缤中心1层靠府东路区域、10层、11层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泉州银行股份有限公司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福建省泉州市丰泽区泉泰路266号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400-88-96312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泰宁县农村信用合作联社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泰宁县水南西街13号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泰安银行股份有限公司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山东省泰安市长城路3号圣地大厦</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0538-96588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浙江泰顺农村商业银行股份有限公司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浙江省温州市泰顺县罗阳镇新城区文祥大道181号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浙江泰隆商业银行股份有限公司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浙江省台州市路桥区南官大道188号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广西浦北农村商业银行股份有限公司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浦北县小江街道科园路218号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浙江海宁农村商业银行股份有限公司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浙江省海宁市海洲街道钱江西路278号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江苏海门农村商业银行股份有限公司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南通市海门区解放中路137号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淮南通商农村商业银行股份有限公司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安徽省淮南市田家庵区朝阳东路124号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0551-96669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深圳农村商业银行股份有限公司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深圳市宝安区新安街道海旺社区海秀路2028号农商银行大厦</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400-196-1200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浙江淳安农村商业银行股份有限公司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浙江省杭州市淳安县千岛湖镇阳光路960号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清流县农村信用合作联社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清流县龙津镇文化街123号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广东清远农村商业银行股份有限公司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清远市新城广清大道113号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浙江温岭农村商业银行股份有限公司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浙江省台州市温岭市城东街道下保路100号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广西桂林漓江农村合作银行</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桂林市秀峰区翠竹路77号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福建漳州农村商业银行股份有限公司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漳州市芗城区水仙大街53号信合大厦A-B幢</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0596-2680572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江苏灌云农村商业银行股份有限公司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江苏省灌云县伊山镇水利路东侧（人民路与水利路交汇处）</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广西灌阳农村商业银行股份有限公司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广西壮族自治区灌阳县灌阳镇灌江北路１４０号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灵山县农村信用合作联社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广西灵山县灵城镇江南路与邕浦路交汇处信用社</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环江毛南族自治县农村信用合作联社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环江思恩镇新建路１２７号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珠海农村商业银行股份有限公司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珠海市香洲兴业路223号农商银行大厦</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浙江瑞安农村商业银行股份有限公司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浙江省温州市瑞安市莘塍街道万松东路1700-1708、1718号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浙江温州瓯海农村商业银行股份有限公司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浙江省温州市瓯海区瓯海大道989号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甘肃银行股份有限公司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甘肃省兰州市城关区东岗西路525—1号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宁波甬城农村商业银行股份有限公司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浙江省宁波市江北区育才路15、17号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广西田东农村商业银行股份有限公司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广西田东县平马镇恩隆大道5号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中信百信银行股份有限公司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北京市朝阳区安定路5号院3号楼8层</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956186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广西百色右江农村合作银行</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广西百色市右江区城东大道166号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福建石狮农村商业银行股份有限公司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福建省石狮市西环路619号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福建福州农村商业银行股份有限公司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福建省福州市台江区曙光支路128号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0591-88019026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福建海峡银行股份有限公司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福建省福州市台江区江滨中大道358号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4008939999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福鼎市农村信用合作联社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福建省福鼎市桐城街道玉沙路8号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0593-7858695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江苏紫金农村商业银行股份有限公司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江苏省南京市建邺区江东中路381号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罗源县农村信用合作联社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福建省福州市罗源县凤山镇北大路11号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0591-26831001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芜湖扬子农村商业银行股份有限公司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安徽省芜湖市镜湖区镜湖之星301号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0551-96669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广西苍梧农村商业银行股份有限公司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广西梧州市龙圩区龙圩镇政贤路70号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广西荔浦农村商业银行股份有限公司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广西壮族自治区荔浦市荔城镇荔塔路２号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福建莆田农村商业银行股份有限公司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莆田市荔城区西天尾镇荔园北路599号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0594-2096336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藤县农村信用合作联社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广西藤县藤州大道266号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广西融安农村商业银行股份有限公司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广西柳州市融安县长安镇迎宾路农村商业银行</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宁波象山农村商业银行股份有限公司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浙江省宁波市象山县丹东街道天安路985号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广西贵港农村商业银行股份有限公司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广西贵港市港北区南苑街98号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连城县农村信用合作联社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连城县莲峰镇北大东路64号（百花金城小区1号楼）</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0597-8923750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福建连江农村商业银行股份有限公司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福建省福州市连江县凤城镇丹凤东路30号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浙江遂昌农村商业银行股份有限公司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浙江省丽水市遂昌县妙高街道溪边路100号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南宁市邕宁区农村信用合作联社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南宁市邕宁区良堤路6号南宁万达茂BS4栋110、111、112、113、115、116、117、118号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广西那坡农村商业银行股份有限公司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那坡县城厢镇南街15号保合时代广场一楼</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福建邵武农村商业银行股份有限公司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福建邵武市熙春中路248号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鄂尔多斯银行股份有限公司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鄂尔多斯市东胜区乌审西街6号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40000-96622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宁波鄞州农村商业银行股份有限公司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浙江省宁波市鄞州区民惠西路88号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浙江金华成泰农村商业银行股份有限公司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浙江省金华市八一南街123号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金华银行股份有限公司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浙江省金华市丹溪路1388号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956050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钦州市区农村信用合作联社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钦州市三沿路33号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宁波镇海农村商业银行股份有限公司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宁波市镇海区骆驼街道镇海大道中段788号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福建长乐农村商业银行股份有限公司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福建省福州市长乐市吴航街道朝阳中路193号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0591–28996336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长汀县农村信用合作联社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长汀县汀州镇兆征路148号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0597-6824851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长沙银行股份有限公司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湖南省长沙市岳麓区滨江路53号楷林商务中心B座</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漳州市长泰区农村信用合作联社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福建省漳州市长泰区武安镇人民西路206号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0596-8331904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闽侯县农村信用合作联社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福建省福州市闽侯县甘蔗入城路北侧</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0591-22796336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闽清县农村信用合作联社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福建省福州市闽清县西门街196号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0591-22338473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新疆农村商业银行股份有限公司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新疆乌鲁木齐市天山区金银路53号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0991-96596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阜阳颍淮农村商业银行股份有限公司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阜阳市颍州南路199号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0551-96669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防城港市防城区农村信用合作联社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防城港市防城区防城镇山海路８号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防城港市区农村信用合作联社</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港口区东兴大道采珠市场对面（东兴大道２７０号）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广西阳朔农村商业银行股份有限公司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广西壮族自治区阳朔县阳朔镇荆凤路67号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广西陆川农村商业银行股份有限公司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广西陆川县温泉镇西滨中路38号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广西隆安农村商业银行股份有限公司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广西隆安县城厢镇蝶城路407号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广西隆林农村商业银行股份有限公司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广西隆林县新州镇迎宾路西段农村商业银行</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青岛农村商业银行股份有限公司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山东省青岛市崂山区秦岭路6号1号楼</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0532-96668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青岛银行股份有限公司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青岛市崂山区秦岭路6号3号楼</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4006696588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青海银行股份有限公司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青海省西宁市城西区西关大街130号2号楼</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0971-96399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广西靖西农村商业银行股份有限公司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广西靖西市绣球大道819号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阜阳颍东农村商业银行股份有限公司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阜阳市颍州区一道河东路9号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0551-96669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阜阳颍泉农村商业银行股份有限公司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阜阳市颍泉区中市街道办事处北京中路99号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0551-96669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广西马山农村商业银行股份有限公司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南宁市马山县白山镇江滨西路412号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宁夏黄河农村商业银行股份有限公司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宁夏银川市解放西街35号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400-859-6555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齐鲁银行股份有限公司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山东省济南市历下区经十路10817号双金大厦B座</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0531-86036676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福建龙岩农村商业银行股份有限公司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福建省龙岩市新罗区龙岩大道中296号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0597-2258601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广西龙州农村商业银行股份有限公司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龙州县龙州镇独山路１７２号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福建龙海农村商业银行股份有限公司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福建省漳州市龙海区石码镇港林路17号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0596-6522118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浙江温州龙湾农村商业银行股份有限公司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浙江省温州市龙湾区永中街道永宁西路555号</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广西龙胜农村商业银行股份有限公司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龙胜县桑江北区</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0771-966888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兴业银行股份有限公司</w:t>
            </w:r>
          </w:p>
        </w:tc>
        <w:tc>
          <w:tcPr>
            <w:tcW w:w="312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福建省福州市台江区江滨中大道398号兴业银行大厦</w:t>
            </w:r>
          </w:p>
        </w:tc>
        <w:tc>
          <w:tcPr>
            <w:tcW w:w="248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95561</w:t>
            </w:r>
          </w:p>
        </w:tc>
      </w:tr>
    </w:tbl>
    <w:p>
      <w:pPr>
        <w:rPr>
          <w:rFonts w:hint="eastAsia" w:ascii="宋体" w:hAnsi="宋体"/>
          <w:b/>
          <w:sz w:val="18"/>
          <w:szCs w:val="18"/>
          <w:lang w:val="en-US" w:eastAsia="zh-CN"/>
        </w:rPr>
      </w:pPr>
      <w:r>
        <w:rPr>
          <w:rFonts w:hint="eastAsia" w:ascii="宋体" w:hAnsi="宋体"/>
          <w:b/>
          <w:sz w:val="18"/>
          <w:szCs w:val="18"/>
          <w:lang w:val="en-US" w:eastAsia="zh-CN"/>
        </w:rPr>
        <w:br w:type="page"/>
      </w:r>
    </w:p>
    <w:p>
      <w:pPr>
        <w:spacing w:line="360" w:lineRule="auto"/>
        <w:ind w:firstLine="361" w:firstLineChars="200"/>
        <w:rPr>
          <w:rFonts w:hint="eastAsia" w:ascii="宋体" w:hAnsi="宋体"/>
          <w:b/>
          <w:sz w:val="18"/>
          <w:szCs w:val="18"/>
          <w:lang w:val="en-US" w:eastAsia="zh-CN"/>
        </w:rPr>
      </w:pPr>
      <w:r>
        <w:rPr>
          <w:rFonts w:hint="eastAsia" w:ascii="宋体" w:hAnsi="宋体"/>
          <w:b/>
          <w:sz w:val="18"/>
          <w:szCs w:val="18"/>
          <w:lang w:val="en-US" w:eastAsia="zh-CN"/>
        </w:rPr>
        <w:t>附表2：销售机构关联关系情况（适用【A/B/C】类份额）：</w:t>
      </w:r>
    </w:p>
    <w:tbl>
      <w:tblPr>
        <w:tblStyle w:val="7"/>
        <w:tblW w:w="829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2"/>
        <w:gridCol w:w="3670"/>
        <w:gridCol w:w="21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blHeader/>
        </w:trPr>
        <w:tc>
          <w:tcPr>
            <w:tcW w:w="2432" w:type="dxa"/>
            <w:tcBorders>
              <w:top w:val="single" w:color="000000" w:sz="4" w:space="0"/>
              <w:left w:val="single" w:color="000000" w:sz="4" w:space="0"/>
              <w:bottom w:val="single" w:color="000000" w:sz="4" w:space="0"/>
              <w:right w:val="single" w:color="000000" w:sz="4" w:space="0"/>
            </w:tcBorders>
            <w:shd w:val="clear" w:color="DDEBF7"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销售机构全称</w:t>
            </w:r>
          </w:p>
        </w:tc>
        <w:tc>
          <w:tcPr>
            <w:tcW w:w="3670" w:type="dxa"/>
            <w:tcBorders>
              <w:top w:val="single" w:color="000000" w:sz="4" w:space="0"/>
              <w:left w:val="single" w:color="000000" w:sz="4" w:space="0"/>
              <w:bottom w:val="single" w:color="000000" w:sz="4" w:space="0"/>
              <w:right w:val="single" w:color="000000" w:sz="4" w:space="0"/>
            </w:tcBorders>
            <w:shd w:val="clear" w:color="DDEBF7"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销售机构住所</w:t>
            </w:r>
          </w:p>
        </w:tc>
        <w:tc>
          <w:tcPr>
            <w:tcW w:w="2193" w:type="dxa"/>
            <w:tcBorders>
              <w:top w:val="single" w:color="000000" w:sz="4" w:space="0"/>
              <w:left w:val="single" w:color="000000" w:sz="4" w:space="0"/>
              <w:bottom w:val="single" w:color="000000" w:sz="4" w:space="0"/>
              <w:right w:val="single" w:color="000000" w:sz="4" w:space="0"/>
            </w:tcBorders>
            <w:shd w:val="clear" w:color="DDEBF7"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销售机构联系</w:t>
            </w:r>
            <w:r>
              <w:rPr>
                <w:rFonts w:hint="eastAsia" w:ascii="宋体" w:hAnsi="宋体" w:cs="宋体"/>
                <w:b/>
                <w:bCs/>
                <w:i w:val="0"/>
                <w:iCs w:val="0"/>
                <w:color w:val="000000"/>
                <w:kern w:val="0"/>
                <w:sz w:val="18"/>
                <w:szCs w:val="18"/>
                <w:u w:val="none"/>
                <w:lang w:val="en-US" w:eastAsia="zh-CN" w:bidi="ar"/>
              </w:rPr>
              <w:t>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兴业银行股份有限公司</w:t>
            </w:r>
          </w:p>
        </w:tc>
        <w:tc>
          <w:tcPr>
            <w:tcW w:w="3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福建省福州市台江区江滨中大道398号兴业银行大厦</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厦门国际银行股份有限公司</w:t>
            </w:r>
          </w:p>
        </w:tc>
        <w:tc>
          <w:tcPr>
            <w:tcW w:w="3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厦门市思明区鹭江道8-10号国际银行大厦1-6层</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956085</w:t>
            </w:r>
          </w:p>
        </w:tc>
      </w:tr>
    </w:tbl>
    <w:p/>
    <w:sectPr>
      <w:headerReference r:id="rId3" w:type="default"/>
      <w:footerReference r:id="rId4" w:type="default"/>
      <w:pgSz w:w="11906" w:h="16838"/>
      <w:pgMar w:top="1276" w:right="1800" w:bottom="1418" w:left="1800" w:header="567" w:footer="850"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3"/>
          <w:jc w:val="center"/>
        </w:pPr>
        <w:r>
          <w:fldChar w:fldCharType="begin"/>
        </w:r>
        <w:r>
          <w:instrText xml:space="preserve"> PAGE   \* MERGEFORMAT </w:instrText>
        </w:r>
        <w:r>
          <w:fldChar w:fldCharType="separate"/>
        </w:r>
        <w:r>
          <w:rPr>
            <w:lang w:val="zh-CN"/>
          </w:rPr>
          <w:t>21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4"/>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0634F"/>
    <w:rsid w:val="071A260E"/>
    <w:rsid w:val="0B0B543E"/>
    <w:rsid w:val="0F87205A"/>
    <w:rsid w:val="10FD7FF4"/>
    <w:rsid w:val="167D7CEA"/>
    <w:rsid w:val="18361C2C"/>
    <w:rsid w:val="1DFA7E8F"/>
    <w:rsid w:val="2B622141"/>
    <w:rsid w:val="33F6732E"/>
    <w:rsid w:val="3BC75379"/>
    <w:rsid w:val="3CE67ECE"/>
    <w:rsid w:val="3E886CA4"/>
    <w:rsid w:val="60814E1C"/>
    <w:rsid w:val="61BD0BF2"/>
    <w:rsid w:val="69BB299A"/>
    <w:rsid w:val="7480634F"/>
    <w:rsid w:val="767527C7"/>
    <w:rsid w:val="7F110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widowControl/>
      <w:spacing w:after="100" w:line="276" w:lineRule="auto"/>
      <w:jc w:val="left"/>
    </w:pPr>
    <w:rPr>
      <w:kern w:val="0"/>
      <w:sz w:val="22"/>
    </w:rPr>
  </w:style>
  <w:style w:type="paragraph" w:styleId="6">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styleId="12">
    <w:name w:val="annotation reference"/>
    <w:qFormat/>
    <w:uiPriority w:val="99"/>
    <w:rPr>
      <w:sz w:val="21"/>
      <w:szCs w:val="21"/>
    </w:rPr>
  </w:style>
  <w:style w:type="paragraph" w:customStyle="1" w:styleId="1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0</Words>
  <Characters>0</Characters>
  <Lines>0</Lines>
  <Paragraphs>0</Paragraphs>
  <TotalTime>6</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2026-08-19T01:40:00Z</dcterms:created>
  <dc:creator>cib</dc:creator>
  <cp:lastModifiedBy>cib</cp:lastModifiedBy>
  <dcterms:modified xsi:type="dcterms:W3CDTF">2026-08-31T02:10:28Z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44650C7802754287BA1459698831AE97</vt:lpwstr>
  </property>
</Properties>
</file>