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jc w:val="center"/>
        <w:outlineLvl w:val="0"/>
        <w:rPr>
          <w:rStyle w:val="11"/>
          <w:rFonts w:ascii="黑体" w:hAnsi="黑体" w:eastAsia="黑体"/>
          <w:sz w:val="28"/>
          <w:szCs w:val="28"/>
        </w:rPr>
      </w:pPr>
      <w:permStart w:id="0" w:edGrp="everyone"/>
      <w:r>
        <w:rPr>
          <w:rStyle w:val="11"/>
          <w:rFonts w:hint="eastAsia" w:ascii="黑体" w:hAnsi="黑体" w:eastAsia="黑体"/>
          <w:sz w:val="28"/>
          <w:szCs w:val="28"/>
        </w:rPr>
        <w:t>【</w:t>
      </w:r>
      <w:r>
        <w:rPr>
          <w:rStyle w:val="11"/>
          <w:rFonts w:hint="eastAsia" w:ascii="黑体" w:hAnsi="黑体" w:eastAsia="黑体"/>
          <w:sz w:val="28"/>
          <w:szCs w:val="28"/>
          <w:lang w:eastAsia="zh-CN"/>
        </w:rPr>
        <w:t>兴业银行天天万利宝稳利2号净值型理财产品A款</w:t>
      </w:r>
      <w:r>
        <w:rPr>
          <w:rStyle w:val="11"/>
          <w:rFonts w:hint="eastAsia" w:ascii="黑体" w:hAnsi="黑体" w:eastAsia="黑体"/>
          <w:sz w:val="28"/>
          <w:szCs w:val="28"/>
        </w:rPr>
        <w:t>】</w:t>
      </w:r>
    </w:p>
    <w:permEnd w:id="0"/>
    <w:p>
      <w:pPr>
        <w:adjustRightInd w:val="0"/>
        <w:spacing w:line="276" w:lineRule="auto"/>
        <w:jc w:val="center"/>
        <w:outlineLvl w:val="0"/>
        <w:rPr>
          <w:rStyle w:val="11"/>
          <w:rFonts w:ascii="黑体" w:hAnsi="黑体" w:eastAsia="黑体"/>
          <w:sz w:val="28"/>
          <w:szCs w:val="28"/>
        </w:rPr>
      </w:pPr>
      <w:r>
        <w:rPr>
          <w:rStyle w:val="11"/>
          <w:rFonts w:hint="eastAsia" w:ascii="黑体" w:hAnsi="黑体" w:eastAsia="黑体"/>
          <w:sz w:val="28"/>
          <w:szCs w:val="28"/>
        </w:rPr>
        <w:t>投资者权益须知</w:t>
      </w:r>
    </w:p>
    <w:p>
      <w:pPr>
        <w:pStyle w:val="16"/>
        <w:jc w:val="center"/>
        <w:outlineLvl w:val="0"/>
        <w:rPr>
          <w:rFonts w:hAnsi="宋体"/>
          <w:b/>
          <w:color w:val="auto"/>
          <w:sz w:val="28"/>
          <w:szCs w:val="28"/>
        </w:rPr>
      </w:pPr>
      <w:r>
        <w:rPr>
          <w:rFonts w:hint="eastAsia" w:hAnsi="宋体"/>
          <w:b/>
          <w:color w:val="auto"/>
          <w:sz w:val="28"/>
          <w:szCs w:val="28"/>
        </w:rPr>
        <w:t>（适用于个人投资者）</w:t>
      </w:r>
    </w:p>
    <w:p>
      <w:pPr>
        <w:outlineLvl w:val="1"/>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w:t>
      </w:r>
      <w:permStart w:id="1" w:edGrp="everyone"/>
      <w:r>
        <w:rPr>
          <w:rFonts w:hint="eastAsia" w:ascii="宋体" w:hAnsi="宋体"/>
          <w:sz w:val="18"/>
          <w:szCs w:val="18"/>
        </w:rPr>
        <w:t>【】</w:t>
      </w:r>
      <w:permEnd w:id="1"/>
      <w:r>
        <w:rPr>
          <w:rFonts w:hint="eastAsia" w:ascii="宋体" w:hAnsi="宋体"/>
          <w:sz w:val="18"/>
          <w:szCs w:val="18"/>
        </w:rPr>
        <w:t>以(</w:t>
      </w:r>
      <w:permStart w:id="2" w:edGrp="everyone"/>
      <w:r>
        <w:rPr>
          <w:rFonts w:hint="eastAsia" w:ascii="宋体" w:hAnsi="宋体"/>
          <w:sz w:val="18"/>
          <w:szCs w:val="18"/>
        </w:rPr>
        <w:t>□ 直销：产品管理人销售/</w:t>
      </w:r>
      <w:r>
        <w:rPr>
          <w:rFonts w:hint="eastAsia" w:asciiTheme="majorEastAsia" w:hAnsiTheme="majorEastAsia" w:eastAsiaTheme="majorEastAsia"/>
          <w:bCs/>
          <w:sz w:val="18"/>
          <w:szCs w:val="18"/>
        </w:rPr>
        <w:t>■</w:t>
      </w:r>
      <w:r>
        <w:rPr>
          <w:rFonts w:hint="eastAsia" w:ascii="宋体" w:hAnsi="宋体"/>
          <w:sz w:val="18"/>
          <w:szCs w:val="18"/>
        </w:rPr>
        <w:t xml:space="preserve"> 代销：代理销售机构销售</w:t>
      </w:r>
      <w:permEnd w:id="2"/>
      <w:r>
        <w:rPr>
          <w:rFonts w:hint="eastAsia" w:ascii="宋体" w:hAnsi="宋体"/>
          <w:sz w:val="18"/>
          <w:szCs w:val="18"/>
        </w:rPr>
        <w:t>)的形式购买兴银理财有限责任公司（以下简称“兴银理财”）作为产品管理人管理的理财产品。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0" w:firstLineChars="200"/>
        <w:rPr>
          <w:rFonts w:ascii="宋体" w:hAnsi="宋体"/>
          <w:sz w:val="18"/>
          <w:szCs w:val="18"/>
        </w:rPr>
      </w:pPr>
    </w:p>
    <w:p>
      <w:pPr>
        <w:ind w:firstLine="361" w:firstLineChars="200"/>
        <w:outlineLvl w:val="1"/>
        <w:rPr>
          <w:rFonts w:ascii="宋体" w:hAnsi="宋体"/>
          <w:b/>
          <w:sz w:val="18"/>
          <w:szCs w:val="18"/>
        </w:rPr>
      </w:pPr>
      <w:r>
        <w:rPr>
          <w:rFonts w:hint="eastAsia" w:ascii="宋体" w:hAnsi="宋体"/>
          <w:b/>
          <w:sz w:val="18"/>
          <w:szCs w:val="18"/>
        </w:rPr>
        <w:t>一、理财产品购买流程</w:t>
      </w:r>
    </w:p>
    <w:p>
      <w:pPr>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ind w:firstLine="361" w:firstLineChars="200"/>
        <w:outlineLvl w:val="1"/>
        <w:rPr>
          <w:rFonts w:ascii="宋体" w:hAnsi="宋体"/>
          <w:b/>
          <w:sz w:val="18"/>
          <w:szCs w:val="18"/>
        </w:rPr>
      </w:pPr>
      <w:r>
        <w:rPr>
          <w:rFonts w:hint="eastAsia" w:ascii="宋体" w:hAnsi="宋体"/>
          <w:b/>
          <w:sz w:val="18"/>
          <w:szCs w:val="18"/>
        </w:rPr>
        <w:t>二、投资者风险承受能力与产品风险评级</w:t>
      </w:r>
    </w:p>
    <w:p>
      <w:pPr>
        <w:ind w:firstLine="361" w:firstLineChars="200"/>
        <w:rPr>
          <w:rFonts w:ascii="宋体" w:hAnsi="宋体"/>
          <w:b/>
          <w:sz w:val="18"/>
          <w:szCs w:val="18"/>
        </w:rPr>
      </w:pPr>
      <w:r>
        <w:rPr>
          <w:rFonts w:hint="eastAsia" w:ascii="宋体" w:hAnsi="宋体"/>
          <w:b/>
          <w:sz w:val="18"/>
          <w:szCs w:val="18"/>
        </w:rPr>
        <w:t>（一）投资者风险承受能力评估说明</w:t>
      </w:r>
    </w:p>
    <w:p>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2.</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投资者风险承受能力，个人投资者由低至高分为</w:t>
      </w:r>
      <w:permStart w:id="3" w:edGrp="everyone"/>
      <w:r>
        <w:rPr>
          <w:rFonts w:hint="eastAsia" w:ascii="宋体" w:hAnsi="宋体"/>
          <w:sz w:val="18"/>
          <w:szCs w:val="18"/>
        </w:rPr>
        <w:t>【C</w:t>
      </w:r>
      <w:r>
        <w:rPr>
          <w:rFonts w:ascii="宋体" w:hAnsi="宋体"/>
          <w:sz w:val="18"/>
          <w:szCs w:val="18"/>
        </w:rPr>
        <w:t>1</w:t>
      </w:r>
      <w:r>
        <w:rPr>
          <w:rFonts w:hint="eastAsia" w:ascii="宋体" w:hAnsi="宋体"/>
          <w:sz w:val="18"/>
          <w:szCs w:val="18"/>
        </w:rPr>
        <w:t>-C</w:t>
      </w:r>
      <w:r>
        <w:rPr>
          <w:rFonts w:hint="eastAsia" w:ascii="宋体" w:hAnsi="宋体"/>
          <w:sz w:val="18"/>
          <w:szCs w:val="18"/>
          <w:lang w:val="en-US" w:eastAsia="zh-CN"/>
        </w:rPr>
        <w:t>5五</w:t>
      </w:r>
      <w:r>
        <w:rPr>
          <w:rFonts w:hint="eastAsia" w:ascii="宋体" w:hAnsi="宋体"/>
          <w:sz w:val="18"/>
          <w:szCs w:val="18"/>
        </w:rPr>
        <w:t>个等级】</w:t>
      </w:r>
      <w:permEnd w:id="3"/>
      <w:r>
        <w:rPr>
          <w:rFonts w:ascii="宋体" w:hAnsi="宋体"/>
          <w:sz w:val="18"/>
          <w:szCs w:val="18"/>
        </w:rPr>
        <w:t>。其中，</w:t>
      </w:r>
      <w:permStart w:id="4" w:edGrp="everyone"/>
      <w:r>
        <w:rPr>
          <w:rFonts w:hint="eastAsia" w:ascii="宋体" w:hAnsi="宋体"/>
          <w:sz w:val="18"/>
          <w:szCs w:val="18"/>
        </w:rPr>
        <w:t>【</w:t>
      </w:r>
      <w:r>
        <w:rPr>
          <w:rFonts w:hint="eastAsia" w:ascii="宋体" w:hAnsi="宋体"/>
          <w:sz w:val="18"/>
          <w:szCs w:val="18"/>
          <w:lang w:val="en-US" w:eastAsia="zh-CN"/>
        </w:rPr>
        <w:t>C1</w:t>
      </w:r>
      <w:r>
        <w:rPr>
          <w:rFonts w:hint="eastAsia" w:ascii="宋体" w:hAnsi="宋体"/>
          <w:sz w:val="18"/>
          <w:szCs w:val="18"/>
        </w:rPr>
        <w:t>】</w:t>
      </w:r>
      <w:permEnd w:id="4"/>
      <w:r>
        <w:rPr>
          <w:rFonts w:ascii="宋体" w:hAnsi="宋体"/>
          <w:sz w:val="18"/>
          <w:szCs w:val="18"/>
        </w:rPr>
        <w:t>为风险承受能力最低类别，</w:t>
      </w:r>
      <w:permStart w:id="5" w:edGrp="everyone"/>
      <w:r>
        <w:rPr>
          <w:rFonts w:hint="eastAsia" w:ascii="宋体" w:hAnsi="宋体"/>
          <w:sz w:val="18"/>
          <w:szCs w:val="18"/>
        </w:rPr>
        <w:t>【</w:t>
      </w:r>
      <w:r>
        <w:rPr>
          <w:rFonts w:hint="eastAsia" w:ascii="宋体" w:hAnsi="宋体"/>
          <w:sz w:val="18"/>
          <w:szCs w:val="18"/>
          <w:lang w:val="en-US" w:eastAsia="zh-CN"/>
        </w:rPr>
        <w:t>C5</w:t>
      </w:r>
      <w:r>
        <w:rPr>
          <w:rFonts w:hint="eastAsia" w:ascii="宋体" w:hAnsi="宋体"/>
          <w:sz w:val="18"/>
          <w:szCs w:val="18"/>
        </w:rPr>
        <w:t>】</w:t>
      </w:r>
      <w:permEnd w:id="5"/>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9"/>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57"/>
        <w:gridCol w:w="486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5" w:hRule="atLeast"/>
          <w:jc w:val="center"/>
        </w:trPr>
        <w:tc>
          <w:tcPr>
            <w:tcW w:w="757" w:type="dxa"/>
            <w:tcBorders>
              <w:top w:val="single" w:color="auto" w:sz="12" w:space="0"/>
              <w:left w:val="single" w:color="auto" w:sz="12" w:space="0"/>
              <w:right w:val="single" w:color="auto" w:sz="4" w:space="0"/>
            </w:tcBorders>
            <w:vAlign w:val="center"/>
          </w:tcPr>
          <w:p>
            <w:pPr>
              <w:rPr>
                <w:rFonts w:ascii="宋体" w:hAnsi="宋体"/>
                <w:sz w:val="18"/>
                <w:szCs w:val="18"/>
              </w:rPr>
            </w:pPr>
            <w:permStart w:id="6" w:edGrp="everyone"/>
            <w:r>
              <w:rPr>
                <w:rFonts w:hint="eastAsia" w:ascii="宋体" w:hAnsi="宋体"/>
                <w:color w:val="000000" w:themeColor="text1"/>
                <w:sz w:val="18"/>
                <w:szCs w:val="18"/>
                <w14:textFill>
                  <w14:solidFill>
                    <w14:schemeClr w14:val="tx1"/>
                  </w14:solidFill>
                </w14:textFill>
              </w:rPr>
              <w:t>安逸型（R1）</w:t>
            </w:r>
          </w:p>
        </w:tc>
        <w:tc>
          <w:tcPr>
            <w:tcW w:w="4860" w:type="dxa"/>
            <w:tcBorders>
              <w:top w:val="single" w:color="auto" w:sz="12" w:space="0"/>
              <w:left w:val="single" w:color="auto" w:sz="4"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本金风险低，产品投资目标不能实现的概率较低；或投资范围仅限于货币市场工具等风险极低的短期金融资产。</w:t>
            </w:r>
          </w:p>
        </w:tc>
        <w:tc>
          <w:tcPr>
            <w:tcW w:w="2865" w:type="dxa"/>
            <w:tcBorders>
              <w:top w:val="single" w:color="auto" w:sz="12" w:space="0"/>
              <w:left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谨慎型（R2）</w:t>
            </w:r>
          </w:p>
        </w:tc>
        <w:tc>
          <w:tcPr>
            <w:tcW w:w="486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本金风险相对较小，收益浮动但相对较小。产品结构简单，过往业绩及净值的历史波动率低；投资标的流动性很好或为较高等级的信用主体；或者衍生品及杠杆交易对净值波动极小；估值政策清晰。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稳健型（R3）</w:t>
            </w:r>
          </w:p>
        </w:tc>
        <w:tc>
          <w:tcPr>
            <w:tcW w:w="486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增长型（R4）</w:t>
            </w:r>
          </w:p>
        </w:tc>
        <w:tc>
          <w:tcPr>
            <w:tcW w:w="486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进取型（R5）</w:t>
            </w:r>
          </w:p>
        </w:tc>
        <w:tc>
          <w:tcPr>
            <w:tcW w:w="486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进取型（C5）及以上</w:t>
            </w:r>
          </w:p>
        </w:tc>
      </w:tr>
      <w:permEnd w:id="6"/>
    </w:tbl>
    <w:p>
      <w:pPr>
        <w:ind w:firstLine="360" w:firstLineChars="200"/>
        <w:rPr>
          <w:rFonts w:ascii="黑体" w:hAnsi="黑体" w:eastAsia="黑体"/>
          <w:sz w:val="18"/>
          <w:szCs w:val="18"/>
        </w:rPr>
      </w:pPr>
      <w:bookmarkStart w:id="1" w:name="_GoBack"/>
      <w:bookmarkEnd w:id="1"/>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hint="eastAsia"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0" w:firstLineChars="200"/>
        <w:rPr>
          <w:rFonts w:hint="eastAsia" w:ascii="黑体" w:hAnsi="黑体" w:eastAsia="黑体"/>
          <w:sz w:val="18"/>
          <w:szCs w:val="18"/>
          <w:lang w:eastAsia="zh-CN"/>
        </w:rPr>
      </w:pPr>
      <w:r>
        <w:rPr>
          <w:rFonts w:hint="eastAsia" w:ascii="黑体" w:hAnsi="黑体" w:eastAsia="黑体" w:cs="仿宋_GB2312"/>
          <w:bCs/>
          <w:kern w:val="0"/>
          <w:sz w:val="18"/>
          <w:szCs w:val="18"/>
        </w:rPr>
        <w:t>★</w:t>
      </w:r>
      <w:r>
        <w:rPr>
          <w:rFonts w:hint="eastAsia" w:ascii="黑体" w:hAnsi="黑体" w:eastAsia="黑体"/>
          <w:sz w:val="18"/>
          <w:szCs w:val="18"/>
          <w:lang w:eastAsia="zh-CN"/>
        </w:rPr>
        <w:t>（三）特别提示：投资者应综合考虑自身风险承受能力与适当性匹配意见，独立做出投资决策并承担投资风险；销售机构提出的适当性匹配意见不表明其对产品的风险和收益做出实质性判断或保证，销售机构履行适当性职责不能取代投资者的投资判断，不会降低产品的固有风险，也不影响投资者依法应承担的投资风险、履约责任以及费用。</w:t>
      </w:r>
    </w:p>
    <w:p>
      <w:pPr>
        <w:ind w:firstLine="361" w:firstLineChars="200"/>
        <w:outlineLvl w:val="1"/>
        <w:rPr>
          <w:rFonts w:ascii="宋体" w:hAnsi="宋体"/>
          <w:b/>
          <w:sz w:val="18"/>
          <w:szCs w:val="18"/>
        </w:rPr>
      </w:pPr>
      <w:r>
        <w:rPr>
          <w:rFonts w:hint="eastAsia" w:ascii="宋体" w:hAnsi="宋体"/>
          <w:b/>
          <w:sz w:val="18"/>
          <w:szCs w:val="18"/>
        </w:rPr>
        <w:t>三、关于理财产品的信息披露</w:t>
      </w:r>
    </w:p>
    <w:p>
      <w:pPr>
        <w:keepNext w:val="0"/>
        <w:keepLines w:val="0"/>
        <w:pageBreakBefore w:val="0"/>
        <w:widowControl w:val="0"/>
        <w:kinsoku/>
        <w:wordWrap/>
        <w:overflowPunct/>
        <w:topLinePunct w:val="0"/>
        <w:autoSpaceDE/>
        <w:autoSpaceDN/>
        <w:bidi w:val="0"/>
        <w:adjustRightInd/>
        <w:snapToGrid/>
        <w:ind w:firstLine="360" w:firstLineChars="200"/>
        <w:textAlignment w:val="auto"/>
        <w:rPr>
          <w:rFonts w:asciiTheme="minorEastAsia" w:hAnsiTheme="minorEastAsia"/>
          <w:sz w:val="18"/>
          <w:szCs w:val="18"/>
        </w:rPr>
      </w:pPr>
      <w:r>
        <w:rPr>
          <w:rFonts w:hint="eastAsia" w:ascii="宋体" w:hAnsi="宋体"/>
          <w:bCs/>
          <w:sz w:val="18"/>
          <w:szCs w:val="18"/>
        </w:rPr>
        <w:t>理财产品的信息披露将通过中国理财网(www.chinawealth.com.cn）及产品管理人门户网站（www.cibwm.com.cn）或销售机构的门户网站、电子销售渠道或营业网点等进行。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keepNext w:val="0"/>
        <w:keepLines w:val="0"/>
        <w:pageBreakBefore w:val="0"/>
        <w:widowControl w:val="0"/>
        <w:kinsoku/>
        <w:wordWrap/>
        <w:overflowPunct/>
        <w:topLinePunct w:val="0"/>
        <w:autoSpaceDE/>
        <w:autoSpaceDN/>
        <w:bidi w:val="0"/>
        <w:adjustRightInd/>
        <w:snapToGrid/>
        <w:ind w:firstLine="361" w:firstLineChars="200"/>
        <w:textAlignment w:val="auto"/>
        <w:outlineLvl w:val="1"/>
        <w:rPr>
          <w:rFonts w:asciiTheme="minorEastAsia" w:hAnsiTheme="minorEastAsia"/>
          <w:b/>
          <w:sz w:val="18"/>
          <w:szCs w:val="18"/>
        </w:rPr>
      </w:pPr>
      <w:r>
        <w:rPr>
          <w:rFonts w:hint="eastAsia" w:ascii="宋体" w:hAnsi="宋体"/>
          <w:b/>
          <w:sz w:val="18"/>
          <w:szCs w:val="18"/>
        </w:rPr>
        <w:t>四、关于投诉与建议</w:t>
      </w:r>
    </w:p>
    <w:p>
      <w:pPr>
        <w:ind w:firstLine="360" w:firstLineChars="200"/>
        <w:rPr>
          <w:rFonts w:hint="eastAsia" w:ascii="宋体" w:hAnsi="宋体"/>
          <w:sz w:val="18"/>
          <w:szCs w:val="18"/>
        </w:rPr>
      </w:pPr>
      <w:r>
        <w:rPr>
          <w:rFonts w:hint="eastAsia" w:ascii="宋体" w:hAnsi="宋体"/>
          <w:sz w:val="18"/>
          <w:szCs w:val="18"/>
        </w:rPr>
        <w:t>（一）投诉程序</w:t>
      </w:r>
    </w:p>
    <w:p>
      <w:pPr>
        <w:ind w:firstLine="360" w:firstLineChars="200"/>
        <w:rPr>
          <w:rFonts w:ascii="宋体" w:hAnsi="宋体"/>
          <w:sz w:val="18"/>
          <w:szCs w:val="18"/>
        </w:rPr>
      </w:pPr>
      <w:r>
        <w:rPr>
          <w:rFonts w:hint="eastAsia" w:asciiTheme="minorEastAsia" w:hAnsiTheme="minorEastAsia"/>
          <w:sz w:val="18"/>
          <w:szCs w:val="18"/>
        </w:rPr>
        <w:t>您对本产品有任何意见或异议，可</w:t>
      </w:r>
      <w:r>
        <w:rPr>
          <w:rFonts w:hint="eastAsia" w:asciiTheme="minorEastAsia" w:hAnsiTheme="minorEastAsia"/>
          <w:sz w:val="18"/>
          <w:szCs w:val="18"/>
          <w:lang w:val="en-US" w:eastAsia="zh-CN"/>
        </w:rPr>
        <w:t>通过</w:t>
      </w:r>
      <w:r>
        <w:rPr>
          <w:rFonts w:hint="eastAsia" w:asciiTheme="minorEastAsia" w:hAnsiTheme="minorEastAsia"/>
          <w:sz w:val="18"/>
          <w:szCs w:val="18"/>
        </w:rPr>
        <w:t>相应的投诉方式向产品管理人或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，产品管理人或销售机构将由专人接听、接收、记录您的意见或建议，调查核实投诉事项，并按照监管规定结合投资者诉求及时告知客户投</w:t>
      </w:r>
      <w:r>
        <w:rPr>
          <w:rFonts w:hint="eastAsia" w:ascii="宋体" w:hAnsi="宋体"/>
          <w:sz w:val="18"/>
          <w:szCs w:val="18"/>
          <w:lang w:eastAsia="zh-CN"/>
        </w:rPr>
        <w:t>诉</w:t>
      </w:r>
      <w:r>
        <w:rPr>
          <w:rFonts w:hint="eastAsia" w:ascii="宋体" w:hAnsi="宋体"/>
          <w:sz w:val="18"/>
          <w:szCs w:val="18"/>
        </w:rPr>
        <w:t>处理决定。如对投诉处理结果有异议，可通过申请核查、调解、诉讼等途径解决纠纷。</w:t>
      </w:r>
    </w:p>
    <w:p>
      <w:pPr>
        <w:ind w:firstLine="360" w:firstLineChars="200"/>
        <w:rPr>
          <w:rFonts w:ascii="宋体" w:hAnsi="宋体"/>
          <w:sz w:val="18"/>
          <w:szCs w:val="18"/>
        </w:rPr>
      </w:pPr>
      <w:r>
        <w:rPr>
          <w:rFonts w:hint="eastAsia" w:ascii="宋体" w:hAnsi="宋体"/>
          <w:sz w:val="18"/>
          <w:szCs w:val="18"/>
        </w:rPr>
        <w:t>（二）产品管理人联络及投诉方式</w:t>
      </w:r>
      <w:r>
        <w:rPr>
          <w:rFonts w:ascii="宋体" w:hAnsi="宋体"/>
          <w:sz w:val="18"/>
          <w:szCs w:val="18"/>
        </w:rPr>
        <w:t xml:space="preserve"> </w:t>
      </w:r>
    </w:p>
    <w:p>
      <w:pPr>
        <w:ind w:firstLine="360" w:firstLineChars="200"/>
        <w:outlineLvl w:val="2"/>
        <w:rPr>
          <w:rFonts w:ascii="宋体" w:hAnsi="宋体"/>
          <w:sz w:val="18"/>
          <w:szCs w:val="18"/>
        </w:rPr>
      </w:pPr>
      <w:bookmarkStart w:id="0" w:name="_Hlk64707831"/>
      <w:r>
        <w:rPr>
          <w:rFonts w:hint="eastAsia" w:ascii="宋体" w:hAnsi="宋体"/>
          <w:sz w:val="18"/>
          <w:szCs w:val="18"/>
        </w:rPr>
        <w:t>1.产品管理人：兴银理财有限责任公司</w:t>
      </w:r>
    </w:p>
    <w:bookmarkEnd w:id="0"/>
    <w:p>
      <w:pPr>
        <w:ind w:firstLine="360" w:firstLineChars="200"/>
        <w:rPr>
          <w:rFonts w:hint="eastAsia" w:ascii="宋体" w:hAnsi="宋体" w:eastAsia="宋体"/>
          <w:sz w:val="18"/>
          <w:szCs w:val="18"/>
          <w:lang w:eastAsia="zh-CN"/>
        </w:rPr>
      </w:pPr>
      <w:r>
        <w:rPr>
          <w:rFonts w:hint="eastAsia" w:ascii="宋体" w:hAnsi="宋体"/>
          <w:sz w:val="18"/>
          <w:szCs w:val="18"/>
        </w:rPr>
        <w:t>门户网站：</w:t>
      </w:r>
      <w:r>
        <w:rPr>
          <w:rFonts w:hint="eastAsia" w:ascii="宋体" w:hAnsi="宋体"/>
          <w:sz w:val="18"/>
          <w:szCs w:val="18"/>
        </w:rPr>
        <w:fldChar w:fldCharType="begin"/>
      </w:r>
      <w:r>
        <w:rPr>
          <w:rFonts w:hint="eastAsia" w:ascii="宋体" w:hAnsi="宋体"/>
          <w:sz w:val="18"/>
          <w:szCs w:val="18"/>
        </w:rPr>
        <w:instrText xml:space="preserve"> HYPERLINK "http://www.cibwm.com.cn" </w:instrText>
      </w:r>
      <w:r>
        <w:rPr>
          <w:rFonts w:hint="eastAsia" w:ascii="宋体" w:hAnsi="宋体"/>
          <w:sz w:val="18"/>
          <w:szCs w:val="18"/>
        </w:rPr>
        <w:fldChar w:fldCharType="separate"/>
      </w:r>
      <w:r>
        <w:rPr>
          <w:rStyle w:val="12"/>
          <w:rFonts w:hint="eastAsia" w:ascii="宋体" w:hAnsi="宋体"/>
          <w:sz w:val="18"/>
          <w:szCs w:val="18"/>
        </w:rPr>
        <w:t>www.cibwm.com.cn</w:t>
      </w:r>
      <w:r>
        <w:rPr>
          <w:rFonts w:hint="eastAsia" w:ascii="宋体" w:hAnsi="宋体"/>
          <w:sz w:val="18"/>
          <w:szCs w:val="18"/>
        </w:rPr>
        <w:fldChar w:fldCharType="end"/>
      </w:r>
      <w:r>
        <w:rPr>
          <w:rFonts w:hint="eastAsia" w:ascii="宋体" w:hAnsi="宋体"/>
          <w:sz w:val="18"/>
          <w:szCs w:val="18"/>
          <w:lang w:eastAsia="zh-CN"/>
        </w:rPr>
        <w:t>；</w:t>
      </w:r>
    </w:p>
    <w:p>
      <w:pPr>
        <w:ind w:firstLine="360" w:firstLineChars="200"/>
        <w:rPr>
          <w:rFonts w:hint="eastAsia" w:ascii="宋体" w:hAnsi="宋体"/>
          <w:sz w:val="18"/>
          <w:szCs w:val="18"/>
          <w:lang w:eastAsia="zh-CN"/>
        </w:rPr>
      </w:pPr>
      <w:r>
        <w:rPr>
          <w:rFonts w:hint="eastAsia" w:ascii="宋体" w:hAnsi="宋体"/>
          <w:sz w:val="18"/>
          <w:szCs w:val="18"/>
        </w:rPr>
        <w:t>客户服务与投诉热线：40015-95561（工作日9：00-17：00）</w:t>
      </w:r>
      <w:r>
        <w:rPr>
          <w:rFonts w:hint="eastAsia" w:ascii="宋体" w:hAnsi="宋体"/>
          <w:sz w:val="18"/>
          <w:szCs w:val="18"/>
          <w:lang w:eastAsia="zh-CN"/>
        </w:rPr>
        <w:t>；</w:t>
      </w:r>
    </w:p>
    <w:p>
      <w:pPr>
        <w:ind w:firstLine="360" w:firstLineChars="200"/>
        <w:rPr>
          <w:rFonts w:hint="eastAsia" w:ascii="宋体" w:hAnsi="宋体"/>
          <w:sz w:val="18"/>
          <w:szCs w:val="18"/>
          <w:lang w:eastAsia="zh-CN"/>
        </w:rPr>
      </w:pPr>
      <w:r>
        <w:rPr>
          <w:rFonts w:hint="eastAsia" w:ascii="宋体" w:hAnsi="宋体"/>
          <w:sz w:val="18"/>
          <w:szCs w:val="18"/>
          <w:lang w:eastAsia="zh-CN"/>
        </w:rPr>
        <w:t>客户投诉受理邮箱：xylcts@cibwm.com.cn。</w:t>
      </w:r>
    </w:p>
    <w:p>
      <w:pPr>
        <w:ind w:firstLine="360" w:firstLineChars="200"/>
        <w:rPr>
          <w:rFonts w:hint="eastAsia" w:ascii="宋体" w:hAnsi="宋体"/>
          <w:sz w:val="18"/>
          <w:szCs w:val="18"/>
        </w:rPr>
      </w:pPr>
      <w:r>
        <w:rPr>
          <w:rFonts w:hint="eastAsia" w:ascii="宋体" w:hAnsi="宋体"/>
          <w:sz w:val="18"/>
          <w:szCs w:val="18"/>
          <w:lang w:eastAsia="zh-CN"/>
        </w:rPr>
        <w:t>（三）销售机构联络及投诉方式</w:t>
      </w:r>
    </w:p>
    <w:p>
      <w:pPr>
        <w:autoSpaceDE w:val="0"/>
        <w:autoSpaceDN w:val="0"/>
        <w:adjustRightInd w:val="0"/>
        <w:ind w:firstLine="360" w:firstLineChars="200"/>
        <w:jc w:val="left"/>
        <w:rPr>
          <w:rFonts w:ascii="宋体" w:hAnsi="宋体"/>
          <w:sz w:val="18"/>
          <w:szCs w:val="18"/>
        </w:rPr>
      </w:pPr>
      <w:permStart w:id="7" w:edGrp="everyone"/>
      <w:r>
        <w:rPr>
          <w:rFonts w:hint="eastAsia" w:ascii="宋体" w:hAnsi="宋体"/>
          <w:sz w:val="18"/>
          <w:szCs w:val="18"/>
          <w:lang w:val="en-US" w:eastAsia="zh-CN"/>
        </w:rPr>
        <w:t>1</w:t>
      </w:r>
      <w:r>
        <w:rPr>
          <w:rFonts w:hint="eastAsia" w:ascii="宋体" w:hAnsi="宋体"/>
          <w:sz w:val="18"/>
          <w:szCs w:val="18"/>
        </w:rPr>
        <w:t>.</w:t>
      </w:r>
      <w:r>
        <w:rPr>
          <w:rFonts w:ascii="宋体" w:hAnsi="宋体"/>
          <w:sz w:val="18"/>
          <w:szCs w:val="18"/>
        </w:rPr>
        <w:t>销售机构</w:t>
      </w:r>
      <w:r>
        <w:rPr>
          <w:rFonts w:hint="eastAsia" w:ascii="宋体" w:hAnsi="宋体"/>
          <w:sz w:val="18"/>
          <w:szCs w:val="18"/>
          <w:lang w:val="en-US" w:eastAsia="zh-CN"/>
        </w:rPr>
        <w:t>相关信息详见产品说明书。</w:t>
      </w:r>
    </w:p>
    <w:permEnd w:id="7"/>
    <w:p>
      <w:pPr>
        <w:autoSpaceDE w:val="0"/>
        <w:autoSpaceDN w:val="0"/>
        <w:adjustRightInd w:val="0"/>
        <w:jc w:val="left"/>
        <w:rPr>
          <w:rFonts w:ascii="仿宋_GB2312" w:eastAsia="仿宋_GB2312" w:cs="仿宋_GB2312"/>
          <w:color w:val="000000"/>
          <w:kern w:val="0"/>
          <w:sz w:val="24"/>
          <w:szCs w:val="24"/>
        </w:rPr>
      </w:pPr>
    </w:p>
    <w:p>
      <w:pPr>
        <w:widowControl/>
        <w:jc w:val="left"/>
        <w:rPr>
          <w:rFonts w:ascii="宋体" w:hAnsi="宋体"/>
          <w:b/>
          <w:sz w:val="28"/>
          <w:szCs w:val="28"/>
        </w:rPr>
      </w:pPr>
      <w:r>
        <w:rPr>
          <w:rFonts w:ascii="宋体" w:hAnsi="宋体"/>
          <w:b/>
          <w:sz w:val="28"/>
          <w:szCs w:val="28"/>
        </w:rPr>
        <w:br w:type="page"/>
      </w:r>
    </w:p>
    <w:p>
      <w:pPr>
        <w:adjustRightInd w:val="0"/>
        <w:spacing w:line="280" w:lineRule="atLeast"/>
        <w:jc w:val="center"/>
        <w:outlineLvl w:val="0"/>
        <w:rPr>
          <w:rStyle w:val="11"/>
          <w:rFonts w:ascii="黑体" w:hAnsi="黑体" w:eastAsia="黑体"/>
          <w:sz w:val="28"/>
          <w:szCs w:val="28"/>
        </w:rPr>
      </w:pPr>
      <w:permStart w:id="8" w:edGrp="everyone"/>
      <w:r>
        <w:rPr>
          <w:rStyle w:val="11"/>
          <w:rFonts w:hint="eastAsia" w:ascii="黑体" w:hAnsi="黑体" w:eastAsia="黑体"/>
          <w:sz w:val="28"/>
          <w:szCs w:val="28"/>
        </w:rPr>
        <w:t>【</w:t>
      </w:r>
      <w:r>
        <w:rPr>
          <w:rStyle w:val="11"/>
          <w:rFonts w:hint="eastAsia" w:ascii="黑体" w:hAnsi="黑体" w:eastAsia="黑体"/>
          <w:sz w:val="28"/>
          <w:szCs w:val="28"/>
          <w:lang w:eastAsia="zh-CN"/>
        </w:rPr>
        <w:t>兴业银行天天万利宝稳利2号净值型理财产品A款</w:t>
      </w:r>
      <w:r>
        <w:rPr>
          <w:rStyle w:val="11"/>
          <w:rFonts w:hint="eastAsia" w:ascii="黑体" w:hAnsi="黑体" w:eastAsia="黑体"/>
          <w:sz w:val="28"/>
          <w:szCs w:val="28"/>
        </w:rPr>
        <w:t>】</w:t>
      </w:r>
      <w:permEnd w:id="8"/>
    </w:p>
    <w:p>
      <w:pPr>
        <w:adjustRightInd w:val="0"/>
        <w:spacing w:line="280" w:lineRule="atLeast"/>
        <w:jc w:val="center"/>
        <w:outlineLvl w:val="0"/>
        <w:rPr>
          <w:rStyle w:val="11"/>
          <w:rFonts w:ascii="黑体" w:hAnsi="黑体" w:eastAsia="黑体"/>
          <w:sz w:val="28"/>
          <w:szCs w:val="28"/>
        </w:rPr>
      </w:pPr>
      <w:r>
        <w:rPr>
          <w:rStyle w:val="11"/>
          <w:rFonts w:hint="eastAsia" w:ascii="黑体" w:hAnsi="黑体" w:eastAsia="黑体"/>
          <w:sz w:val="28"/>
          <w:szCs w:val="28"/>
        </w:rPr>
        <w:t>投资者权益须知</w:t>
      </w:r>
    </w:p>
    <w:p>
      <w:pPr>
        <w:pStyle w:val="16"/>
        <w:spacing w:line="280" w:lineRule="atLeast"/>
        <w:jc w:val="center"/>
        <w:outlineLvl w:val="0"/>
        <w:rPr>
          <w:rFonts w:hAnsi="宋体"/>
          <w:b/>
          <w:color w:val="auto"/>
          <w:sz w:val="28"/>
          <w:szCs w:val="28"/>
        </w:rPr>
      </w:pPr>
      <w:r>
        <w:rPr>
          <w:rFonts w:hint="eastAsia" w:hAnsi="宋体"/>
          <w:b/>
          <w:color w:val="auto"/>
          <w:sz w:val="28"/>
          <w:szCs w:val="28"/>
        </w:rPr>
        <w:t>（适用于</w:t>
      </w:r>
      <w:permStart w:id="9" w:edGrp="everyone"/>
      <w:r>
        <w:rPr>
          <w:rFonts w:hint="eastAsia" w:hAnsi="宋体"/>
          <w:b/>
          <w:color w:val="auto"/>
          <w:sz w:val="28"/>
          <w:szCs w:val="28"/>
        </w:rPr>
        <w:t>机构投资者</w:t>
      </w:r>
      <w:permEnd w:id="9"/>
      <w:r>
        <w:rPr>
          <w:rFonts w:hint="eastAsia" w:hAnsi="宋体"/>
          <w:b/>
          <w:color w:val="auto"/>
          <w:sz w:val="28"/>
          <w:szCs w:val="28"/>
        </w:rPr>
        <w:t>）</w:t>
      </w:r>
    </w:p>
    <w:p>
      <w:pPr>
        <w:spacing w:line="280" w:lineRule="atLeast"/>
        <w:outlineLvl w:val="1"/>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w:t>
      </w:r>
      <w:permStart w:id="10" w:edGrp="everyone"/>
      <w:r>
        <w:rPr>
          <w:rFonts w:hint="eastAsia" w:ascii="宋体" w:hAnsi="宋体"/>
          <w:sz w:val="18"/>
          <w:szCs w:val="18"/>
        </w:rPr>
        <w:t>【】</w:t>
      </w:r>
      <w:permEnd w:id="10"/>
      <w:r>
        <w:rPr>
          <w:rFonts w:hint="eastAsia" w:ascii="宋体" w:hAnsi="宋体"/>
          <w:sz w:val="18"/>
          <w:szCs w:val="18"/>
        </w:rPr>
        <w:t>以(</w:t>
      </w:r>
      <w:permStart w:id="11" w:edGrp="everyone"/>
      <w:r>
        <w:rPr>
          <w:rFonts w:hint="eastAsia" w:ascii="宋体" w:hAnsi="宋体"/>
          <w:sz w:val="18"/>
          <w:szCs w:val="18"/>
        </w:rPr>
        <w:t>□ 直销：产品管理人销售/■ 代销：代理销售机构销售</w:t>
      </w:r>
      <w:permEnd w:id="11"/>
      <w:r>
        <w:rPr>
          <w:rFonts w:hint="eastAsia" w:ascii="宋体" w:hAnsi="宋体"/>
          <w:sz w:val="18"/>
          <w:szCs w:val="18"/>
        </w:rPr>
        <w:t>)的形式购买兴银理财有限责任公司（以下简称“兴银理财”）作为产品管理人管理的理财产品。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outlineLvl w:val="1"/>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outlineLvl w:val="1"/>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宋体" w:hAnsi="宋体"/>
          <w:sz w:val="18"/>
          <w:szCs w:val="18"/>
        </w:rPr>
      </w:pPr>
      <w:r>
        <w:rPr>
          <w:rFonts w:hint="eastAsia" w:ascii="宋体" w:hAnsi="宋体"/>
          <w:sz w:val="18"/>
          <w:szCs w:val="18"/>
        </w:rPr>
        <w:t>1.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2</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w:t>
      </w:r>
      <w:permStart w:id="12" w:edGrp="everyone"/>
      <w:r>
        <w:rPr>
          <w:rFonts w:hint="eastAsia" w:ascii="宋体" w:hAnsi="宋体"/>
          <w:sz w:val="18"/>
          <w:szCs w:val="18"/>
        </w:rPr>
        <w:t>【C</w:t>
      </w:r>
      <w:r>
        <w:rPr>
          <w:rFonts w:ascii="宋体" w:hAnsi="宋体"/>
          <w:sz w:val="18"/>
          <w:szCs w:val="18"/>
        </w:rPr>
        <w:t>1</w:t>
      </w:r>
      <w:r>
        <w:rPr>
          <w:rFonts w:hint="eastAsia" w:ascii="宋体" w:hAnsi="宋体"/>
          <w:sz w:val="18"/>
          <w:szCs w:val="18"/>
        </w:rPr>
        <w:t>-C</w:t>
      </w:r>
      <w:r>
        <w:rPr>
          <w:rFonts w:ascii="宋体" w:hAnsi="宋体"/>
          <w:sz w:val="18"/>
          <w:szCs w:val="18"/>
        </w:rPr>
        <w:t>5</w:t>
      </w:r>
      <w:r>
        <w:rPr>
          <w:rFonts w:hint="eastAsia" w:ascii="宋体" w:hAnsi="宋体"/>
          <w:sz w:val="18"/>
          <w:szCs w:val="18"/>
        </w:rPr>
        <w:t>五个等级】</w:t>
      </w:r>
      <w:permEnd w:id="12"/>
      <w:r>
        <w:rPr>
          <w:rFonts w:ascii="宋体" w:hAnsi="宋体"/>
          <w:sz w:val="18"/>
          <w:szCs w:val="18"/>
        </w:rPr>
        <w:t>。其中，</w:t>
      </w:r>
      <w:permStart w:id="13" w:edGrp="everyone"/>
      <w:r>
        <w:rPr>
          <w:rFonts w:hint="eastAsia" w:ascii="宋体" w:hAnsi="宋体"/>
          <w:sz w:val="18"/>
          <w:szCs w:val="18"/>
        </w:rPr>
        <w:t>【</w:t>
      </w:r>
      <w:r>
        <w:rPr>
          <w:rFonts w:hint="eastAsia" w:ascii="宋体" w:hAnsi="宋体"/>
          <w:sz w:val="18"/>
          <w:szCs w:val="18"/>
          <w:lang w:val="en-US" w:eastAsia="zh-CN"/>
        </w:rPr>
        <w:t>C1</w:t>
      </w:r>
      <w:r>
        <w:rPr>
          <w:rFonts w:hint="eastAsia" w:ascii="宋体" w:hAnsi="宋体"/>
          <w:sz w:val="18"/>
          <w:szCs w:val="18"/>
        </w:rPr>
        <w:t>】</w:t>
      </w:r>
      <w:permEnd w:id="13"/>
      <w:r>
        <w:rPr>
          <w:rFonts w:ascii="宋体" w:hAnsi="宋体"/>
          <w:sz w:val="18"/>
          <w:szCs w:val="18"/>
        </w:rPr>
        <w:t>为风险承受能力最低类别，</w:t>
      </w:r>
      <w:permStart w:id="14" w:edGrp="everyone"/>
      <w:r>
        <w:rPr>
          <w:rFonts w:hint="eastAsia" w:ascii="宋体" w:hAnsi="宋体"/>
          <w:sz w:val="18"/>
          <w:szCs w:val="18"/>
        </w:rPr>
        <w:t>【</w:t>
      </w:r>
      <w:r>
        <w:rPr>
          <w:rFonts w:hint="eastAsia" w:ascii="宋体" w:hAnsi="宋体"/>
          <w:sz w:val="18"/>
          <w:szCs w:val="18"/>
          <w:lang w:val="en-US" w:eastAsia="zh-CN"/>
        </w:rPr>
        <w:t>C5</w:t>
      </w:r>
      <w:r>
        <w:rPr>
          <w:rFonts w:hint="eastAsia" w:ascii="宋体" w:hAnsi="宋体"/>
          <w:sz w:val="18"/>
          <w:szCs w:val="18"/>
        </w:rPr>
        <w:t>】</w:t>
      </w:r>
      <w:permEnd w:id="14"/>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9"/>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permStart w:id="15" w:edGrp="everyone"/>
            <w:r>
              <w:rPr>
                <w:rFonts w:hint="eastAsia" w:ascii="宋体" w:hAnsi="宋体"/>
                <w:color w:val="000000" w:themeColor="text1"/>
                <w:sz w:val="18"/>
                <w:szCs w:val="18"/>
                <w14:textFill>
                  <w14:solidFill>
                    <w14:schemeClr w14:val="tx1"/>
                  </w14:solidFill>
                </w14:textFill>
              </w:rPr>
              <w:t>安逸型（R1）</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本金风险低，产品投资目标不能实现的概率较低；或投资范围仅限于货币市场工具等风险极低的短期金融资产。</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谨慎型（R2）</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本金风险相对较小，收益浮动但相对较小。产品结构简单，过往业绩及净值的历史波动率低；投资标的流动性很好或为较高等级的信用主体；或者衍生品及杠杆交易对净值波动极小；估值政策清晰。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稳健型（R3）</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增长型（R4）</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color w:val="000000" w:themeColor="text1"/>
                <w:sz w:val="18"/>
                <w:szCs w:val="18"/>
                <w14:textFill>
                  <w14:solidFill>
                    <w14:schemeClr w14:val="tx1"/>
                  </w14:solidFill>
                </w14:textFill>
              </w:rPr>
              <w:t>进取型（R5）</w:t>
            </w: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r>
              <w:rPr>
                <w:rFonts w:hint="eastAsia" w:ascii="宋体" w:hAnsi="宋体"/>
                <w:color w:val="000000" w:themeColor="text1"/>
                <w:sz w:val="18"/>
                <w:szCs w:val="18"/>
                <w14:textFill>
                  <w14:solidFill>
                    <w14:schemeClr w14:val="tx1"/>
                  </w14:solidFill>
                </w14:textFill>
              </w:rPr>
              <w:t>进取型（C5）及以上</w:t>
            </w:r>
          </w:p>
        </w:tc>
      </w:tr>
      <w:permEnd w:id="15"/>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0" w:firstLineChars="200"/>
        <w:rPr>
          <w:rFonts w:hint="eastAsia"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（三）上述风险承受能力评估要求适用于机构投资者中普通投资者，专业投资者的风险承受能力评估按照《（代理）销售协议书》约定或销售机构的销售政策执行。</w:t>
      </w:r>
    </w:p>
    <w:p>
      <w:pPr>
        <w:ind w:firstLine="360" w:firstLineChars="200"/>
        <w:rPr>
          <w:rFonts w:hint="eastAsia"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lang w:eastAsia="zh-CN"/>
        </w:rPr>
        <w:t>（四）特别提示：投资者应综合考虑自身风险承受能力与适当性匹配意见，独立做出投资决策并承担投资风险；销售机构提出的适当性匹配意见不表明其对产品的风险和收益做出实质性判断或保证，销售机构履行适当性职责不能取代投资者的投资判断，不会降低产品的固有风险，也不影响投资者依法应承担的投资风险、履约责任以及费用。</w:t>
      </w:r>
    </w:p>
    <w:p>
      <w:pPr>
        <w:spacing w:line="280" w:lineRule="atLeast"/>
        <w:ind w:firstLine="361" w:firstLineChars="200"/>
        <w:outlineLvl w:val="1"/>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spacing w:line="280" w:lineRule="atLeast"/>
        <w:ind w:firstLine="361" w:firstLineChars="200"/>
        <w:outlineLvl w:val="1"/>
        <w:rPr>
          <w:rFonts w:asciiTheme="minorEastAsia" w:hAnsiTheme="minorEastAsia"/>
          <w:sz w:val="18"/>
          <w:szCs w:val="18"/>
        </w:rPr>
      </w:pP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outlineLvl w:val="2"/>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ind w:firstLine="360" w:firstLineChars="200"/>
        <w:rPr>
          <w:rFonts w:hint="eastAsia" w:ascii="宋体" w:hAnsi="宋体"/>
          <w:sz w:val="18"/>
          <w:szCs w:val="18"/>
        </w:rPr>
      </w:pPr>
      <w:permStart w:id="16" w:edGrp="everyone"/>
      <w:r>
        <w:rPr>
          <w:rFonts w:hint="eastAsia" w:ascii="宋体" w:hAnsi="宋体"/>
          <w:sz w:val="18"/>
          <w:szCs w:val="18"/>
          <w:lang w:eastAsia="zh-CN"/>
        </w:rPr>
        <w:t>（三）销售机构联络及投诉方式</w:t>
      </w:r>
    </w:p>
    <w:p>
      <w:pPr>
        <w:autoSpaceDE w:val="0"/>
        <w:autoSpaceDN w:val="0"/>
        <w:adjustRightInd w:val="0"/>
        <w:ind w:firstLine="360" w:firstLineChars="200"/>
        <w:jc w:val="left"/>
        <w:rPr>
          <w:rFonts w:hint="eastAsia" w:ascii="宋体" w:hAnsi="宋体"/>
          <w:sz w:val="18"/>
          <w:szCs w:val="18"/>
        </w:rPr>
      </w:pPr>
      <w:r>
        <w:rPr>
          <w:rFonts w:hint="eastAsia" w:ascii="宋体" w:hAnsi="宋体"/>
          <w:sz w:val="18"/>
          <w:szCs w:val="18"/>
          <w:lang w:val="en-US" w:eastAsia="zh-CN"/>
        </w:rPr>
        <w:t>1</w:t>
      </w:r>
      <w:r>
        <w:rPr>
          <w:rFonts w:hint="eastAsia" w:ascii="宋体" w:hAnsi="宋体"/>
          <w:sz w:val="18"/>
          <w:szCs w:val="18"/>
        </w:rPr>
        <w:t>.</w:t>
      </w:r>
      <w:r>
        <w:rPr>
          <w:rFonts w:ascii="宋体" w:hAnsi="宋体"/>
          <w:sz w:val="18"/>
          <w:szCs w:val="18"/>
        </w:rPr>
        <w:t>销售机构</w:t>
      </w:r>
      <w:r>
        <w:rPr>
          <w:rFonts w:hint="eastAsia" w:ascii="宋体" w:hAnsi="宋体"/>
          <w:sz w:val="18"/>
          <w:szCs w:val="18"/>
          <w:lang w:val="en-US" w:eastAsia="zh-CN"/>
        </w:rPr>
        <w:t>相关信息详见产品说明书。</w:t>
      </w:r>
      <w:r>
        <w:rPr>
          <w:rFonts w:ascii="宋体" w:hAnsi="宋体"/>
          <w:sz w:val="18"/>
          <w:szCs w:val="18"/>
        </w:rPr>
        <w:t xml:space="preserve"> </w:t>
      </w:r>
    </w:p>
    <w:permEnd w:id="16"/>
    <w:p>
      <w:pPr>
        <w:autoSpaceDE w:val="0"/>
        <w:autoSpaceDN w:val="0"/>
        <w:adjustRightInd w:val="0"/>
        <w:spacing w:line="280" w:lineRule="atLeast"/>
        <w:jc w:val="left"/>
        <w:rPr>
          <w:rFonts w:ascii="仿宋_GB2312" w:eastAsia="仿宋_GB2312" w:cs="仿宋_GB2312"/>
          <w:color w:val="000000"/>
          <w:kern w:val="0"/>
          <w:sz w:val="24"/>
          <w:szCs w:val="24"/>
        </w:rPr>
      </w:pPr>
    </w:p>
    <w:p>
      <w:pPr>
        <w:spacing w:line="280" w:lineRule="atLeast"/>
        <w:ind w:right="84" w:rightChars="40"/>
        <w:jc w:val="right"/>
        <w:rPr>
          <w:rFonts w:ascii="宋体" w:hAnsi="宋体"/>
          <w:sz w:val="18"/>
          <w:szCs w:val="18"/>
        </w:rPr>
      </w:pPr>
    </w:p>
    <w:p>
      <w:pPr>
        <w:widowControl/>
        <w:spacing w:line="280" w:lineRule="atLeast"/>
        <w:jc w:val="left"/>
        <w:rPr>
          <w:rFonts w:ascii="宋体" w:hAnsi="宋体"/>
          <w:b/>
          <w:sz w:val="28"/>
          <w:szCs w:val="28"/>
        </w:rPr>
      </w:pP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5"/>
          <w:jc w:val="center"/>
        </w:pPr>
        <w:r>
          <w:fldChar w:fldCharType="begin"/>
        </w:r>
        <w:r>
          <w:instrText xml:space="preserve">PAGE   \* MERGEFORMAT</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Times New Roman" w:hAnsi="Times New Roman" w:eastAsia="宋体" w:cs="Times New Roman"/>
        <w:b/>
        <w:szCs w:val="20"/>
      </w:rPr>
    </w:pPr>
    <w:r>
      <w:rPr>
        <w:rFonts w:hint="eastAsia" w:ascii="Times New Roman" w:hAnsi="Times New Roman" w:eastAsia="宋体" w:cs="Times New Roman"/>
        <w:b/>
        <w:szCs w:val="20"/>
      </w:rPr>
      <w:t>投资者权益须知</w:t>
    </w:r>
  </w:p>
  <w:p>
    <w:pPr>
      <w:pStyle w:val="6"/>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readOnly" w:enforcement="1" w:cryptProviderType="rsaFull" w:cryptAlgorithmClass="hash" w:cryptAlgorithmType="typeAny" w:cryptAlgorithmSid="4" w:cryptSpinCount="0" w:hash="EnFyhpiz3lXY+Yvz7MCuxkVxaA8=" w:salt="diwRdEKhsLwdv4oFTyx82w=="/>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D237B3"/>
    <w:rsid w:val="00012DF8"/>
    <w:rsid w:val="00044E9D"/>
    <w:rsid w:val="000466D9"/>
    <w:rsid w:val="00052540"/>
    <w:rsid w:val="000921B4"/>
    <w:rsid w:val="000C4846"/>
    <w:rsid w:val="000D54FF"/>
    <w:rsid w:val="000E1A5F"/>
    <w:rsid w:val="000E6147"/>
    <w:rsid w:val="00106877"/>
    <w:rsid w:val="0011362A"/>
    <w:rsid w:val="001201EA"/>
    <w:rsid w:val="001242AF"/>
    <w:rsid w:val="001320A8"/>
    <w:rsid w:val="00141624"/>
    <w:rsid w:val="00143B52"/>
    <w:rsid w:val="00171420"/>
    <w:rsid w:val="00195672"/>
    <w:rsid w:val="001A48F9"/>
    <w:rsid w:val="001C6375"/>
    <w:rsid w:val="001E2A14"/>
    <w:rsid w:val="00226A9C"/>
    <w:rsid w:val="00243879"/>
    <w:rsid w:val="002462D8"/>
    <w:rsid w:val="00271331"/>
    <w:rsid w:val="00276F5A"/>
    <w:rsid w:val="00283229"/>
    <w:rsid w:val="002A6909"/>
    <w:rsid w:val="002B0017"/>
    <w:rsid w:val="002B6D4B"/>
    <w:rsid w:val="002C01C0"/>
    <w:rsid w:val="002D624E"/>
    <w:rsid w:val="002E6656"/>
    <w:rsid w:val="002F133A"/>
    <w:rsid w:val="002F2667"/>
    <w:rsid w:val="00351333"/>
    <w:rsid w:val="00376CFF"/>
    <w:rsid w:val="003B4628"/>
    <w:rsid w:val="003C3A9E"/>
    <w:rsid w:val="003D624D"/>
    <w:rsid w:val="004727B8"/>
    <w:rsid w:val="00493512"/>
    <w:rsid w:val="00497BB0"/>
    <w:rsid w:val="004A1091"/>
    <w:rsid w:val="004D586E"/>
    <w:rsid w:val="004E5B8C"/>
    <w:rsid w:val="00514077"/>
    <w:rsid w:val="005315B7"/>
    <w:rsid w:val="005438C7"/>
    <w:rsid w:val="005514E2"/>
    <w:rsid w:val="00552ACB"/>
    <w:rsid w:val="00566848"/>
    <w:rsid w:val="00571A72"/>
    <w:rsid w:val="00587D0B"/>
    <w:rsid w:val="005A0FFB"/>
    <w:rsid w:val="005A17EF"/>
    <w:rsid w:val="005D158B"/>
    <w:rsid w:val="005D405A"/>
    <w:rsid w:val="005E4F9A"/>
    <w:rsid w:val="00622E88"/>
    <w:rsid w:val="00641888"/>
    <w:rsid w:val="00661E32"/>
    <w:rsid w:val="006639A1"/>
    <w:rsid w:val="006B20CA"/>
    <w:rsid w:val="006B237F"/>
    <w:rsid w:val="006D6123"/>
    <w:rsid w:val="006E4016"/>
    <w:rsid w:val="006F690F"/>
    <w:rsid w:val="00705E58"/>
    <w:rsid w:val="00710B52"/>
    <w:rsid w:val="00781AA5"/>
    <w:rsid w:val="007B0970"/>
    <w:rsid w:val="007B231D"/>
    <w:rsid w:val="007B2FEE"/>
    <w:rsid w:val="007C6A86"/>
    <w:rsid w:val="0080127B"/>
    <w:rsid w:val="00812B92"/>
    <w:rsid w:val="00820AF6"/>
    <w:rsid w:val="008A10A9"/>
    <w:rsid w:val="008A57A2"/>
    <w:rsid w:val="008B0058"/>
    <w:rsid w:val="008C2FE9"/>
    <w:rsid w:val="008E7821"/>
    <w:rsid w:val="008E7C7D"/>
    <w:rsid w:val="00971F4B"/>
    <w:rsid w:val="009816B9"/>
    <w:rsid w:val="009B1EE5"/>
    <w:rsid w:val="009D1DC4"/>
    <w:rsid w:val="009E4DBC"/>
    <w:rsid w:val="00A112C9"/>
    <w:rsid w:val="00A21F06"/>
    <w:rsid w:val="00A646F7"/>
    <w:rsid w:val="00AA4438"/>
    <w:rsid w:val="00AB386C"/>
    <w:rsid w:val="00AC71D9"/>
    <w:rsid w:val="00B02055"/>
    <w:rsid w:val="00B314E7"/>
    <w:rsid w:val="00B507EB"/>
    <w:rsid w:val="00B55AAD"/>
    <w:rsid w:val="00B75610"/>
    <w:rsid w:val="00BE3E99"/>
    <w:rsid w:val="00BE4E6B"/>
    <w:rsid w:val="00BF7C2F"/>
    <w:rsid w:val="00C018F3"/>
    <w:rsid w:val="00C202DE"/>
    <w:rsid w:val="00C32FF7"/>
    <w:rsid w:val="00C37EB3"/>
    <w:rsid w:val="00C827C4"/>
    <w:rsid w:val="00C8683D"/>
    <w:rsid w:val="00C86FD7"/>
    <w:rsid w:val="00D01E10"/>
    <w:rsid w:val="00D237B3"/>
    <w:rsid w:val="00D56354"/>
    <w:rsid w:val="00D71983"/>
    <w:rsid w:val="00D917DB"/>
    <w:rsid w:val="00DB67D6"/>
    <w:rsid w:val="00DC6391"/>
    <w:rsid w:val="00DD5F6E"/>
    <w:rsid w:val="00E01CA3"/>
    <w:rsid w:val="00E077CB"/>
    <w:rsid w:val="00E5408F"/>
    <w:rsid w:val="00EA7D7F"/>
    <w:rsid w:val="00EF1A43"/>
    <w:rsid w:val="00F126D2"/>
    <w:rsid w:val="00F33265"/>
    <w:rsid w:val="00F47A61"/>
    <w:rsid w:val="00F55639"/>
    <w:rsid w:val="00F63C18"/>
    <w:rsid w:val="00F74AE2"/>
    <w:rsid w:val="00F7617B"/>
    <w:rsid w:val="00F81CAA"/>
    <w:rsid w:val="00FA461D"/>
    <w:rsid w:val="03D04281"/>
    <w:rsid w:val="04AD52CA"/>
    <w:rsid w:val="09115C30"/>
    <w:rsid w:val="0ED956A0"/>
    <w:rsid w:val="105C7928"/>
    <w:rsid w:val="28D341DE"/>
    <w:rsid w:val="2DCEC330"/>
    <w:rsid w:val="381F3EDF"/>
    <w:rsid w:val="4BCF2629"/>
    <w:rsid w:val="4BFA7C2F"/>
    <w:rsid w:val="52D44062"/>
    <w:rsid w:val="532F1E5B"/>
    <w:rsid w:val="58024912"/>
    <w:rsid w:val="5EF7C404"/>
    <w:rsid w:val="600E3DBA"/>
    <w:rsid w:val="620D133E"/>
    <w:rsid w:val="662B30D7"/>
    <w:rsid w:val="764E7D17"/>
    <w:rsid w:val="E70F0012"/>
    <w:rsid w:val="E7FFE007"/>
    <w:rsid w:val="EBF3381F"/>
    <w:rsid w:val="EFBF2FBC"/>
    <w:rsid w:val="F3DFE7AB"/>
    <w:rsid w:val="FFCFF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7"/>
    <w:qFormat/>
    <w:uiPriority w:val="0"/>
    <w:pPr>
      <w:keepNext/>
      <w:keepLines/>
      <w:spacing w:before="120" w:after="120" w:line="360" w:lineRule="auto"/>
      <w:outlineLvl w:val="0"/>
    </w:pPr>
    <w:rPr>
      <w:rFonts w:ascii="宋体"/>
      <w:b/>
      <w:color w:val="000000"/>
      <w:kern w:val="0"/>
      <w:sz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qFormat/>
    <w:uiPriority w:val="0"/>
    <w:pPr>
      <w:jc w:val="left"/>
    </w:pPr>
  </w:style>
  <w:style w:type="paragraph" w:styleId="4">
    <w:name w:val="Balloon Text"/>
    <w:basedOn w:val="1"/>
    <w:link w:val="21"/>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HTML Preformatted"/>
    <w:basedOn w:val="1"/>
    <w:link w:val="1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8">
    <w:name w:val="annotation subject"/>
    <w:basedOn w:val="3"/>
    <w:next w:val="3"/>
    <w:link w:val="22"/>
    <w:semiHidden/>
    <w:unhideWhenUsed/>
    <w:qFormat/>
    <w:uiPriority w:val="99"/>
    <w:rPr>
      <w:b/>
      <w:bCs/>
    </w:rPr>
  </w:style>
  <w:style w:type="character" w:styleId="11">
    <w:name w:val="Strong"/>
    <w:qFormat/>
    <w:uiPriority w:val="22"/>
    <w:rPr>
      <w:b/>
      <w:bCs/>
    </w:rPr>
  </w:style>
  <w:style w:type="character" w:styleId="12">
    <w:name w:val="Hyperlink"/>
    <w:basedOn w:val="10"/>
    <w:semiHidden/>
    <w:unhideWhenUsed/>
    <w:qFormat/>
    <w:uiPriority w:val="99"/>
    <w:rPr>
      <w:color w:val="0000FF"/>
      <w:u w:val="single"/>
    </w:rPr>
  </w:style>
  <w:style w:type="character" w:styleId="13">
    <w:name w:val="annotation reference"/>
    <w:qFormat/>
    <w:uiPriority w:val="0"/>
    <w:rPr>
      <w:sz w:val="21"/>
    </w:rPr>
  </w:style>
  <w:style w:type="character" w:customStyle="1" w:styleId="14">
    <w:name w:val="页眉 Char"/>
    <w:basedOn w:val="10"/>
    <w:link w:val="6"/>
    <w:qFormat/>
    <w:uiPriority w:val="99"/>
    <w:rPr>
      <w:sz w:val="18"/>
      <w:szCs w:val="18"/>
    </w:rPr>
  </w:style>
  <w:style w:type="character" w:customStyle="1" w:styleId="15">
    <w:name w:val="页脚 Char"/>
    <w:basedOn w:val="10"/>
    <w:link w:val="5"/>
    <w:qFormat/>
    <w:uiPriority w:val="99"/>
    <w:rPr>
      <w:sz w:val="18"/>
      <w:szCs w:val="18"/>
    </w:rPr>
  </w:style>
  <w:style w:type="paragraph" w:customStyle="1" w:styleId="16">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character" w:customStyle="1" w:styleId="17">
    <w:name w:val="标题 1 Char"/>
    <w:basedOn w:val="10"/>
    <w:link w:val="2"/>
    <w:qFormat/>
    <w:uiPriority w:val="0"/>
    <w:rPr>
      <w:rFonts w:ascii="宋体" w:hAnsi="Times New Roman" w:eastAsia="宋体" w:cs="Times New Roman"/>
      <w:b/>
      <w:color w:val="000000"/>
      <w:kern w:val="0"/>
      <w:sz w:val="24"/>
      <w:szCs w:val="20"/>
    </w:rPr>
  </w:style>
  <w:style w:type="character" w:customStyle="1" w:styleId="18">
    <w:name w:val="HTML 预设格式 Char"/>
    <w:basedOn w:val="10"/>
    <w:link w:val="7"/>
    <w:qFormat/>
    <w:uiPriority w:val="99"/>
    <w:rPr>
      <w:rFonts w:ascii="宋体" w:hAnsi="宋体" w:eastAsia="宋体" w:cs="宋体"/>
      <w:kern w:val="0"/>
      <w:sz w:val="24"/>
      <w:szCs w:val="24"/>
    </w:rPr>
  </w:style>
  <w:style w:type="character" w:customStyle="1" w:styleId="19">
    <w:name w:val="批注文字 Char"/>
    <w:basedOn w:val="10"/>
    <w:semiHidden/>
    <w:qFormat/>
    <w:uiPriority w:val="99"/>
    <w:rPr>
      <w:rFonts w:ascii="Times New Roman" w:hAnsi="Times New Roman" w:eastAsia="宋体" w:cs="Times New Roman"/>
      <w:szCs w:val="20"/>
    </w:rPr>
  </w:style>
  <w:style w:type="character" w:customStyle="1" w:styleId="20">
    <w:name w:val="批注文字 Char1"/>
    <w:basedOn w:val="10"/>
    <w:link w:val="3"/>
    <w:qFormat/>
    <w:uiPriority w:val="0"/>
    <w:rPr>
      <w:rFonts w:ascii="Times New Roman" w:hAnsi="Times New Roman" w:eastAsia="宋体" w:cs="Times New Roman"/>
      <w:szCs w:val="20"/>
    </w:rPr>
  </w:style>
  <w:style w:type="character" w:customStyle="1" w:styleId="21">
    <w:name w:val="批注框文本 Char"/>
    <w:basedOn w:val="10"/>
    <w:link w:val="4"/>
    <w:semiHidden/>
    <w:qFormat/>
    <w:uiPriority w:val="99"/>
    <w:rPr>
      <w:rFonts w:ascii="Times New Roman" w:hAnsi="Times New Roman" w:eastAsia="宋体" w:cs="Times New Roman"/>
      <w:sz w:val="18"/>
      <w:szCs w:val="18"/>
    </w:rPr>
  </w:style>
  <w:style w:type="character" w:customStyle="1" w:styleId="22">
    <w:name w:val="批注主题 Char"/>
    <w:basedOn w:val="20"/>
    <w:link w:val="8"/>
    <w:semiHidden/>
    <w:qFormat/>
    <w:uiPriority w:val="99"/>
    <w:rPr>
      <w:rFonts w:ascii="Times New Roman" w:hAnsi="Times New Roman" w:eastAsia="宋体" w:cs="Times New Roman"/>
      <w:b/>
      <w:bCs/>
      <w:szCs w:val="20"/>
    </w:rPr>
  </w:style>
  <w:style w:type="paragraph" w:customStyle="1" w:styleId="23">
    <w:name w:val="修订1"/>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4</Pages>
  <Words>429</Words>
  <Characters>2450</Characters>
  <Lines>20</Lines>
  <Paragraphs>5</Paragraphs>
  <TotalTime>0</TotalTime>
  <ScaleCrop>false</ScaleCrop>
  <LinksUpToDate>false</LinksUpToDate>
  <CharactersWithSpaces>2874</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2021-06-17T14:19:00Z</dcterms:created>
  <dc:creator>胡骁潇</dc:creator>
  <cp:lastModifiedBy>cib</cp:lastModifiedBy>
  <dcterms:modified xsi:type="dcterms:W3CDTF">2026-08-31T03:30:46Z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F38CDB0A342847339B79C7443BD612BA</vt:lpwstr>
  </property>
  <property fmtid="{D5CDD505-2E9C-101B-9397-08002B2CF9AE}" pid="4" name="DSMMark">
    <vt:i4>0</vt:i4>
  </property>
</Properties>
</file>