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951FE" w:rsidRDefault="00B5351E">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A951FE" w:rsidRDefault="00B5351E">
      <w:pPr>
        <w:widowControl/>
        <w:spacing w:line="360" w:lineRule="auto"/>
        <w:jc w:val="center"/>
        <w:rPr>
          <w:b/>
          <w:szCs w:val="21"/>
        </w:rPr>
      </w:pPr>
      <w:r>
        <w:rPr>
          <w:rFonts w:ascii="黑体" w:eastAsia="黑体" w:hAnsi="黑体" w:hint="eastAsia"/>
          <w:b/>
          <w:sz w:val="44"/>
          <w:szCs w:val="44"/>
        </w:rPr>
        <w:t>兴银理财天天万利</w:t>
      </w:r>
      <w:proofErr w:type="gramStart"/>
      <w:r>
        <w:rPr>
          <w:rFonts w:ascii="黑体" w:eastAsia="黑体" w:hAnsi="黑体" w:hint="eastAsia"/>
          <w:b/>
          <w:sz w:val="44"/>
          <w:szCs w:val="44"/>
        </w:rPr>
        <w:t>宝稳利</w:t>
      </w:r>
      <w:proofErr w:type="gramEnd"/>
      <w:r>
        <w:rPr>
          <w:rFonts w:ascii="黑体" w:eastAsia="黑体" w:hAnsi="黑体" w:hint="eastAsia"/>
          <w:b/>
          <w:sz w:val="44"/>
          <w:szCs w:val="44"/>
        </w:rPr>
        <w:t>净值型理财产品销售文件</w:t>
      </w:r>
    </w:p>
    <w:tbl>
      <w:tblPr>
        <w:tblStyle w:val="af4"/>
        <w:tblW w:w="892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90"/>
        <w:gridCol w:w="6008"/>
        <w:gridCol w:w="1924"/>
      </w:tblGrid>
      <w:tr w:rsidR="00A951FE">
        <w:trPr>
          <w:jc w:val="center"/>
        </w:trPr>
        <w:tc>
          <w:tcPr>
            <w:tcW w:w="990" w:type="dxa"/>
          </w:tcPr>
          <w:p w:rsidR="00A951FE" w:rsidRDefault="00B5351E">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6008" w:type="dxa"/>
          </w:tcPr>
          <w:p w:rsidR="00A951FE" w:rsidRDefault="00B5351E">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24" w:type="dxa"/>
          </w:tcPr>
          <w:p w:rsidR="00A951FE" w:rsidRDefault="00B5351E">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A951FE">
        <w:trPr>
          <w:jc w:val="center"/>
        </w:trPr>
        <w:tc>
          <w:tcPr>
            <w:tcW w:w="990" w:type="dxa"/>
          </w:tcPr>
          <w:p w:rsidR="00A951FE" w:rsidRDefault="00B5351E">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6008" w:type="dxa"/>
          </w:tcPr>
          <w:p w:rsidR="00A951FE" w:rsidRDefault="00B5351E">
            <w:pPr>
              <w:widowControl/>
              <w:spacing w:line="360" w:lineRule="auto"/>
              <w:rPr>
                <w:rFonts w:ascii="宋体" w:hAnsi="宋体"/>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净值型理财产品投资协议书</w:t>
            </w:r>
            <w:r>
              <w:rPr>
                <w:rFonts w:ascii="宋体" w:hAnsi="宋体"/>
                <w:kern w:val="0"/>
                <w:sz w:val="20"/>
                <w:szCs w:val="21"/>
              </w:rPr>
              <w:t xml:space="preserve"> </w:t>
            </w:r>
          </w:p>
        </w:tc>
        <w:tc>
          <w:tcPr>
            <w:tcW w:w="1924" w:type="dxa"/>
          </w:tcPr>
          <w:p w:rsidR="00A951FE" w:rsidRDefault="00B5351E">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A951FE">
        <w:trPr>
          <w:trHeight w:val="323"/>
          <w:jc w:val="center"/>
        </w:trPr>
        <w:tc>
          <w:tcPr>
            <w:tcW w:w="990" w:type="dxa"/>
          </w:tcPr>
          <w:p w:rsidR="00A951FE" w:rsidRDefault="00B5351E">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6008" w:type="dxa"/>
          </w:tcPr>
          <w:p w:rsidR="00A951FE" w:rsidRDefault="00B5351E">
            <w:pPr>
              <w:widowControl/>
              <w:spacing w:line="360" w:lineRule="auto"/>
              <w:rPr>
                <w:rFonts w:ascii="宋体" w:hAnsi="宋体"/>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24" w:type="dxa"/>
          </w:tcPr>
          <w:p w:rsidR="00A951FE" w:rsidRDefault="00B5351E">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A951FE">
        <w:trPr>
          <w:jc w:val="center"/>
        </w:trPr>
        <w:tc>
          <w:tcPr>
            <w:tcW w:w="990" w:type="dxa"/>
          </w:tcPr>
          <w:p w:rsidR="00A951FE" w:rsidRDefault="00B5351E">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6008" w:type="dxa"/>
          </w:tcPr>
          <w:p w:rsidR="00A951FE" w:rsidRDefault="00B5351E">
            <w:pPr>
              <w:widowControl/>
              <w:spacing w:line="360" w:lineRule="auto"/>
              <w:rPr>
                <w:rFonts w:ascii="宋体" w:hAnsi="宋体"/>
                <w:kern w:val="0"/>
                <w:sz w:val="20"/>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净值型理财产品（代理）销售协议书</w:t>
            </w:r>
          </w:p>
        </w:tc>
        <w:tc>
          <w:tcPr>
            <w:tcW w:w="1924" w:type="dxa"/>
          </w:tcPr>
          <w:p w:rsidR="00A951FE" w:rsidRDefault="00B5351E">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A951FE">
        <w:trPr>
          <w:jc w:val="center"/>
        </w:trPr>
        <w:tc>
          <w:tcPr>
            <w:tcW w:w="990" w:type="dxa"/>
          </w:tcPr>
          <w:p w:rsidR="00A951FE" w:rsidRDefault="00B5351E">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6008" w:type="dxa"/>
          </w:tcPr>
          <w:p w:rsidR="00A951FE" w:rsidRDefault="00B5351E">
            <w:pPr>
              <w:widowControl/>
              <w:spacing w:line="360" w:lineRule="auto"/>
              <w:rPr>
                <w:rFonts w:ascii="宋体" w:hAnsi="宋体"/>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净值型理财产品风险揭示书</w:t>
            </w:r>
          </w:p>
        </w:tc>
        <w:tc>
          <w:tcPr>
            <w:tcW w:w="1924" w:type="dxa"/>
          </w:tcPr>
          <w:p w:rsidR="00A951FE" w:rsidRDefault="00B5351E">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A951FE">
        <w:trPr>
          <w:trHeight w:val="431"/>
          <w:jc w:val="center"/>
        </w:trPr>
        <w:tc>
          <w:tcPr>
            <w:tcW w:w="990" w:type="dxa"/>
          </w:tcPr>
          <w:p w:rsidR="00A951FE" w:rsidRDefault="00B5351E">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6008" w:type="dxa"/>
          </w:tcPr>
          <w:p w:rsidR="00A951FE" w:rsidRDefault="00B5351E">
            <w:pPr>
              <w:widowControl/>
              <w:spacing w:line="360" w:lineRule="auto"/>
              <w:rPr>
                <w:rFonts w:ascii="宋体" w:hAnsi="宋体"/>
                <w:kern w:val="0"/>
                <w:sz w:val="20"/>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净值型理财产品投资者权益须知</w:t>
            </w:r>
          </w:p>
        </w:tc>
        <w:tc>
          <w:tcPr>
            <w:tcW w:w="1924" w:type="dxa"/>
          </w:tcPr>
          <w:p w:rsidR="00A951FE" w:rsidRDefault="00B5351E">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A951FE" w:rsidRDefault="00B5351E">
      <w:pPr>
        <w:widowControl/>
        <w:spacing w:line="360" w:lineRule="auto"/>
        <w:jc w:val="left"/>
        <w:rPr>
          <w:rFonts w:ascii="黑体" w:eastAsia="黑体" w:hAnsi="黑体"/>
          <w:b/>
          <w:szCs w:val="21"/>
        </w:rPr>
      </w:pPr>
      <w:r>
        <w:rPr>
          <w:rFonts w:ascii="黑体" w:eastAsia="黑体" w:hAnsi="黑体" w:hint="eastAsia"/>
          <w:b/>
          <w:szCs w:val="21"/>
        </w:rPr>
        <w:t>郑重提示：</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w:t>
      </w:r>
      <w:proofErr w:type="gramStart"/>
      <w:r>
        <w:rPr>
          <w:rFonts w:ascii="黑体" w:eastAsia="黑体" w:hAnsi="黑体" w:hint="eastAsia"/>
          <w:kern w:val="0"/>
          <w:szCs w:val="21"/>
        </w:rPr>
        <w:t>规</w:t>
      </w:r>
      <w:proofErr w:type="gramEnd"/>
      <w:r>
        <w:rPr>
          <w:rFonts w:ascii="黑体" w:eastAsia="黑体" w:hAnsi="黑体" w:hint="eastAsia"/>
          <w:kern w:val="0"/>
          <w:szCs w:val="21"/>
        </w:rPr>
        <w:t>性审核，使用前向理财公司备案。</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w:t>
      </w:r>
      <w:proofErr w:type="gramStart"/>
      <w:r>
        <w:rPr>
          <w:rFonts w:ascii="黑体" w:eastAsia="黑体" w:hAnsi="黑体" w:hint="eastAsia"/>
          <w:kern w:val="0"/>
          <w:szCs w:val="21"/>
        </w:rPr>
        <w:t>您风险</w:t>
      </w:r>
      <w:proofErr w:type="gramEnd"/>
      <w:r>
        <w:rPr>
          <w:rFonts w:ascii="黑体" w:eastAsia="黑体" w:hAnsi="黑体" w:hint="eastAsia"/>
          <w:kern w:val="0"/>
          <w:szCs w:val="21"/>
        </w:rPr>
        <w:t>承受能力的因素发生变化，请及时重新完成风险承受能力评估。</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A951FE" w:rsidRDefault="00B5351E">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A951FE" w:rsidRPr="00870D3C" w:rsidRDefault="00A951FE">
      <w:pPr>
        <w:tabs>
          <w:tab w:val="left" w:pos="6660"/>
        </w:tabs>
        <w:spacing w:line="360" w:lineRule="auto"/>
        <w:jc w:val="center"/>
        <w:rPr>
          <w:bCs/>
          <w:sz w:val="44"/>
        </w:rPr>
      </w:pPr>
    </w:p>
    <w:p w:rsidR="00A951FE" w:rsidRDefault="00B5351E">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A951FE" w:rsidRDefault="00A951FE">
      <w:pPr>
        <w:tabs>
          <w:tab w:val="left" w:pos="6660"/>
        </w:tabs>
        <w:spacing w:line="360" w:lineRule="auto"/>
        <w:jc w:val="center"/>
        <w:rPr>
          <w:bCs/>
          <w:sz w:val="44"/>
        </w:rPr>
      </w:pPr>
    </w:p>
    <w:p w:rsidR="00A951FE" w:rsidRDefault="00A951FE">
      <w:pPr>
        <w:spacing w:line="360" w:lineRule="auto"/>
        <w:jc w:val="center"/>
        <w:rPr>
          <w:b/>
          <w:sz w:val="52"/>
        </w:rPr>
      </w:pPr>
    </w:p>
    <w:p w:rsidR="00A951FE" w:rsidRDefault="00B5351E">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A951FE" w:rsidRDefault="00A951FE">
      <w:pPr>
        <w:spacing w:line="360" w:lineRule="auto"/>
        <w:jc w:val="center"/>
        <w:rPr>
          <w:b/>
          <w:sz w:val="52"/>
        </w:rPr>
      </w:pPr>
    </w:p>
    <w:p w:rsidR="00A951FE" w:rsidRDefault="00B5351E">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兴银理财天天万利</w:t>
      </w:r>
      <w:proofErr w:type="gramStart"/>
      <w:r>
        <w:rPr>
          <w:rStyle w:val="af"/>
          <w:rFonts w:ascii="黑体" w:eastAsia="黑体" w:hAnsi="黑体" w:cs="宋体" w:hint="eastAsia"/>
          <w:sz w:val="44"/>
          <w:szCs w:val="44"/>
        </w:rPr>
        <w:t>宝稳利</w:t>
      </w:r>
      <w:proofErr w:type="gramEnd"/>
      <w:r>
        <w:rPr>
          <w:rStyle w:val="af"/>
          <w:rFonts w:ascii="黑体" w:eastAsia="黑体" w:hAnsi="黑体" w:cs="宋体" w:hint="eastAsia"/>
          <w:sz w:val="44"/>
          <w:szCs w:val="44"/>
        </w:rPr>
        <w:t>净值型理财产品投资协议书</w:t>
      </w:r>
    </w:p>
    <w:p w:rsidR="00A951FE" w:rsidRDefault="00A951FE">
      <w:pPr>
        <w:spacing w:line="360" w:lineRule="auto"/>
        <w:jc w:val="center"/>
        <w:rPr>
          <w:b/>
          <w:sz w:val="28"/>
          <w:szCs w:val="28"/>
        </w:rPr>
      </w:pPr>
    </w:p>
    <w:p w:rsidR="00A951FE" w:rsidRDefault="00B5351E">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r>
        <w:rPr>
          <w:rFonts w:ascii="黑体" w:eastAsia="黑体" w:hAnsi="黑体"/>
          <w:b/>
          <w:sz w:val="28"/>
          <w:szCs w:val="28"/>
        </w:rPr>
        <w:t xml:space="preserve">                 </w:t>
      </w:r>
      <w:r>
        <w:rPr>
          <w:rFonts w:ascii="黑体" w:eastAsia="黑体" w:hAnsi="黑体" w:hint="eastAsia"/>
          <w:b/>
          <w:sz w:val="28"/>
          <w:szCs w:val="28"/>
        </w:rPr>
        <w:t>】</w:t>
      </w:r>
    </w:p>
    <w:p w:rsidR="00A951FE" w:rsidRDefault="00A951FE">
      <w:pPr>
        <w:spacing w:line="360" w:lineRule="auto"/>
        <w:jc w:val="center"/>
        <w:rPr>
          <w:b/>
          <w:sz w:val="28"/>
          <w:szCs w:val="28"/>
        </w:rPr>
      </w:pPr>
    </w:p>
    <w:p w:rsidR="00A951FE" w:rsidRDefault="00A951FE">
      <w:pPr>
        <w:spacing w:line="360" w:lineRule="auto"/>
        <w:jc w:val="center"/>
        <w:rPr>
          <w:b/>
          <w:sz w:val="28"/>
          <w:szCs w:val="28"/>
        </w:rPr>
      </w:pPr>
    </w:p>
    <w:p w:rsidR="00A951FE" w:rsidRDefault="00A951FE">
      <w:pPr>
        <w:spacing w:line="360" w:lineRule="auto"/>
        <w:jc w:val="center"/>
        <w:rPr>
          <w:b/>
          <w:sz w:val="28"/>
          <w:szCs w:val="28"/>
        </w:rPr>
      </w:pPr>
    </w:p>
    <w:p w:rsidR="00A951FE" w:rsidRDefault="00A951FE">
      <w:pPr>
        <w:spacing w:line="360" w:lineRule="auto"/>
        <w:jc w:val="center"/>
        <w:rPr>
          <w:b/>
          <w:sz w:val="28"/>
          <w:szCs w:val="28"/>
        </w:rPr>
      </w:pPr>
    </w:p>
    <w:p w:rsidR="00A951FE" w:rsidRDefault="00B5351E">
      <w:pPr>
        <w:adjustRightInd w:val="0"/>
        <w:spacing w:line="360" w:lineRule="auto"/>
        <w:jc w:val="center"/>
        <w:rPr>
          <w:rStyle w:val="af"/>
          <w:rFonts w:ascii="宋体" w:hAnsi="宋体"/>
          <w:sz w:val="28"/>
          <w:szCs w:val="28"/>
        </w:rPr>
      </w:pPr>
      <w:bookmarkStart w:id="0" w:name="_Toc123701383"/>
      <w:bookmarkStart w:id="1" w:name="_Toc139991726"/>
      <w:bookmarkStart w:id="2" w:name="_Toc123112263"/>
      <w:bookmarkStart w:id="3" w:name="_Toc123112224"/>
      <w:bookmarkStart w:id="4" w:name="_Toc139992301"/>
      <w:r>
        <w:rPr>
          <w:rStyle w:val="af"/>
          <w:rFonts w:ascii="宋体" w:hAnsi="宋体" w:hint="eastAsia"/>
          <w:sz w:val="28"/>
          <w:szCs w:val="28"/>
        </w:rPr>
        <w:t>理财产品管理人：</w:t>
      </w:r>
      <w:bookmarkEnd w:id="0"/>
      <w:bookmarkEnd w:id="1"/>
      <w:bookmarkEnd w:id="2"/>
      <w:bookmarkEnd w:id="3"/>
      <w:bookmarkEnd w:id="4"/>
      <w:r>
        <w:rPr>
          <w:rStyle w:val="af"/>
          <w:rFonts w:ascii="宋体" w:hAnsi="宋体" w:hint="eastAsia"/>
          <w:sz w:val="28"/>
          <w:szCs w:val="28"/>
        </w:rPr>
        <w:t>兴银理财有限责任公司</w:t>
      </w:r>
    </w:p>
    <w:p w:rsidR="00A951FE" w:rsidRDefault="00A951FE">
      <w:pPr>
        <w:adjustRightInd w:val="0"/>
        <w:spacing w:line="360" w:lineRule="auto"/>
        <w:jc w:val="center"/>
        <w:rPr>
          <w:rStyle w:val="af"/>
          <w:rFonts w:ascii="黑体" w:eastAsia="黑体" w:hAnsi="黑体" w:cs="宋体"/>
          <w:sz w:val="28"/>
          <w:szCs w:val="28"/>
        </w:rPr>
      </w:pPr>
      <w:bookmarkStart w:id="5" w:name="_Toc139992302"/>
      <w:bookmarkStart w:id="6" w:name="_Toc123112225"/>
      <w:bookmarkStart w:id="7" w:name="_Toc139991727"/>
      <w:bookmarkStart w:id="8" w:name="_Toc123701384"/>
      <w:bookmarkStart w:id="9" w:name="_Toc123112264"/>
    </w:p>
    <w:bookmarkEnd w:id="5"/>
    <w:bookmarkEnd w:id="6"/>
    <w:bookmarkEnd w:id="7"/>
    <w:bookmarkEnd w:id="8"/>
    <w:bookmarkEnd w:id="9"/>
    <w:p w:rsidR="00A951FE" w:rsidRDefault="00A951FE">
      <w:pPr>
        <w:adjustRightInd w:val="0"/>
        <w:spacing w:line="360" w:lineRule="auto"/>
        <w:jc w:val="center"/>
        <w:rPr>
          <w:rStyle w:val="af"/>
          <w:rFonts w:ascii="黑体" w:eastAsia="黑体" w:hAnsi="黑体" w:cs="宋体"/>
          <w:sz w:val="28"/>
          <w:szCs w:val="28"/>
        </w:rPr>
      </w:pPr>
    </w:p>
    <w:p w:rsidR="00A951FE" w:rsidRDefault="00B5351E">
      <w:pPr>
        <w:adjustRightInd w:val="0"/>
        <w:spacing w:line="360" w:lineRule="auto"/>
        <w:jc w:val="center"/>
        <w:rPr>
          <w:rStyle w:val="af"/>
          <w:rFonts w:ascii="宋体" w:hAnsi="宋体"/>
          <w:sz w:val="28"/>
          <w:szCs w:val="28"/>
        </w:rPr>
      </w:pPr>
      <w:r>
        <w:rPr>
          <w:rStyle w:val="af"/>
          <w:rFonts w:ascii="宋体" w:hAnsi="宋体" w:hint="eastAsia"/>
          <w:sz w:val="28"/>
          <w:szCs w:val="28"/>
        </w:rPr>
        <w:t>日期</w:t>
      </w:r>
      <w:r>
        <w:rPr>
          <w:rStyle w:val="af"/>
          <w:rFonts w:ascii="宋体" w:hAnsi="宋体"/>
          <w:sz w:val="28"/>
          <w:szCs w:val="28"/>
        </w:rPr>
        <w:t>：</w:t>
      </w:r>
      <w:r>
        <w:rPr>
          <w:rStyle w:val="af"/>
          <w:rFonts w:ascii="宋体" w:hAnsi="宋体" w:hint="eastAsia"/>
          <w:sz w:val="28"/>
          <w:szCs w:val="28"/>
        </w:rPr>
        <w:t>【2022】年【</w:t>
      </w:r>
      <w:r w:rsidR="00870D3C">
        <w:rPr>
          <w:rStyle w:val="af"/>
          <w:rFonts w:ascii="宋体" w:hAnsi="宋体"/>
          <w:sz w:val="28"/>
          <w:szCs w:val="28"/>
        </w:rPr>
        <w:t>9</w:t>
      </w:r>
      <w:r>
        <w:rPr>
          <w:rStyle w:val="af"/>
          <w:rFonts w:ascii="宋体" w:hAnsi="宋体" w:hint="eastAsia"/>
          <w:sz w:val="28"/>
          <w:szCs w:val="28"/>
        </w:rPr>
        <w:t>】月</w:t>
      </w:r>
    </w:p>
    <w:p w:rsidR="00A951FE" w:rsidRDefault="00B5351E">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A951FE" w:rsidRDefault="00A951FE">
      <w:pPr>
        <w:tabs>
          <w:tab w:val="left" w:pos="8070"/>
          <w:tab w:val="right" w:pos="8306"/>
        </w:tabs>
        <w:autoSpaceDE w:val="0"/>
        <w:autoSpaceDN w:val="0"/>
        <w:adjustRightInd w:val="0"/>
        <w:snapToGrid w:val="0"/>
        <w:spacing w:beforeLines="50" w:before="156" w:line="360" w:lineRule="auto"/>
        <w:rPr>
          <w:bCs/>
          <w:sz w:val="32"/>
        </w:rPr>
      </w:pPr>
    </w:p>
    <w:tbl>
      <w:tblPr>
        <w:tblStyle w:val="af4"/>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A951FE">
        <w:tc>
          <w:tcPr>
            <w:tcW w:w="8522" w:type="dxa"/>
          </w:tcPr>
          <w:p w:rsidR="00A951FE" w:rsidRDefault="00B5351E">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A951FE">
        <w:tc>
          <w:tcPr>
            <w:tcW w:w="8522" w:type="dxa"/>
          </w:tcPr>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w:t>
            </w:r>
            <w:r>
              <w:rPr>
                <w:rFonts w:ascii="黑体" w:eastAsia="黑体" w:hAnsi="黑体"/>
                <w:bCs/>
                <w:sz w:val="18"/>
                <w:szCs w:val="18"/>
              </w:rPr>
              <w:t>须</w:t>
            </w:r>
            <w:r>
              <w:rPr>
                <w:rFonts w:ascii="黑体" w:eastAsia="黑体" w:hAnsi="黑体" w:hint="eastAsia"/>
                <w:bCs/>
                <w:sz w:val="18"/>
                <w:szCs w:val="18"/>
              </w:rPr>
              <w:t>谨慎。</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w:t>
            </w:r>
            <w:proofErr w:type="gramStart"/>
            <w:r>
              <w:rPr>
                <w:rFonts w:ascii="黑体" w:eastAsia="黑体" w:hAnsi="黑体" w:hint="eastAsia"/>
                <w:bCs/>
                <w:sz w:val="18"/>
                <w:szCs w:val="18"/>
              </w:rPr>
              <w:t>您风险</w:t>
            </w:r>
            <w:proofErr w:type="gramEnd"/>
            <w:r>
              <w:rPr>
                <w:rFonts w:ascii="黑体" w:eastAsia="黑体" w:hAnsi="黑体" w:hint="eastAsia"/>
                <w:bCs/>
                <w:sz w:val="18"/>
                <w:szCs w:val="18"/>
              </w:rPr>
              <w:t>承受能力的因素发生变化，请及时重新完成风险承受能力评估。</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w:t>
            </w:r>
            <w:proofErr w:type="gramStart"/>
            <w:r>
              <w:rPr>
                <w:rFonts w:ascii="黑体" w:eastAsia="黑体" w:hAnsi="黑体" w:hint="eastAsia"/>
                <w:bCs/>
                <w:sz w:val="18"/>
                <w:szCs w:val="18"/>
              </w:rPr>
              <w:t>钱</w:t>
            </w:r>
            <w:r>
              <w:rPr>
                <w:rFonts w:ascii="黑体" w:eastAsia="黑体" w:hAnsi="黑体"/>
                <w:bCs/>
                <w:sz w:val="18"/>
                <w:szCs w:val="18"/>
              </w:rPr>
              <w:t>工作</w:t>
            </w:r>
            <w:proofErr w:type="gramEnd"/>
            <w:r>
              <w:rPr>
                <w:rFonts w:ascii="黑体" w:eastAsia="黑体" w:hAnsi="黑体" w:hint="eastAsia"/>
                <w:bCs/>
                <w:sz w:val="18"/>
                <w:szCs w:val="18"/>
              </w:rPr>
              <w:t>等需要，向登记部门或监管机构及相关方提供投资者相关信息。</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A951FE" w:rsidRDefault="00B5351E">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关于理财产品咨询的提示</w:t>
            </w:r>
          </w:p>
          <w:p w:rsidR="00A951FE" w:rsidRDefault="00B5351E">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701386"/>
      <w:bookmarkStart w:id="12" w:name="_Toc139991729"/>
      <w:bookmarkStart w:id="13" w:name="_Toc123112266"/>
    </w:p>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A951FE" w:rsidRDefault="00B5351E">
      <w:pPr>
        <w:widowControl/>
        <w:jc w:val="left"/>
        <w:rPr>
          <w:rFonts w:ascii="宋体" w:hAnsi="宋体" w:cs="仿宋_GB2312"/>
          <w:b/>
          <w:kern w:val="0"/>
          <w:sz w:val="18"/>
          <w:szCs w:val="18"/>
        </w:rPr>
      </w:pPr>
      <w:r>
        <w:rPr>
          <w:rFonts w:ascii="宋体" w:hAnsi="宋体" w:cs="仿宋_GB2312"/>
          <w:b/>
          <w:kern w:val="0"/>
          <w:sz w:val="18"/>
          <w:szCs w:val="18"/>
        </w:rPr>
        <w:br w:type="page"/>
      </w:r>
    </w:p>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A951FE">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A951FE" w:rsidRDefault="00B5351E">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A951FE" w:rsidRDefault="00A951FE">
            <w:pPr>
              <w:pStyle w:val="ab"/>
              <w:spacing w:line="360" w:lineRule="auto"/>
              <w:rPr>
                <w:rFonts w:ascii="宋体" w:hAnsi="宋体"/>
                <w:b/>
                <w:bCs/>
                <w:sz w:val="28"/>
                <w:szCs w:val="28"/>
              </w:rPr>
            </w:pPr>
          </w:p>
        </w:tc>
      </w:tr>
      <w:tr w:rsidR="00A951FE">
        <w:trPr>
          <w:cantSplit/>
          <w:trHeight w:hRule="exact" w:val="170"/>
          <w:jc w:val="center"/>
        </w:trPr>
        <w:tc>
          <w:tcPr>
            <w:tcW w:w="9221" w:type="dxa"/>
            <w:gridSpan w:val="6"/>
            <w:shd w:val="pct10" w:color="A6A6A6" w:themeColor="background1" w:themeShade="A6" w:fill="A6A6A6" w:themeFill="background1" w:themeFillShade="A6"/>
            <w:vAlign w:val="center"/>
          </w:tcPr>
          <w:p w:rsidR="00A951FE" w:rsidRDefault="00A951FE">
            <w:pPr>
              <w:pStyle w:val="ab"/>
              <w:spacing w:line="360" w:lineRule="auto"/>
              <w:rPr>
                <w:rFonts w:ascii="宋体" w:hAnsi="宋体"/>
                <w:b/>
                <w:bCs/>
                <w:sz w:val="28"/>
                <w:szCs w:val="28"/>
              </w:rPr>
            </w:pPr>
          </w:p>
        </w:tc>
      </w:tr>
      <w:tr w:rsidR="00A951FE">
        <w:trPr>
          <w:trHeight w:hRule="exact" w:val="340"/>
          <w:jc w:val="center"/>
        </w:trPr>
        <w:tc>
          <w:tcPr>
            <w:tcW w:w="1142" w:type="dxa"/>
            <w:vMerge w:val="restart"/>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投资者信息</w:t>
            </w:r>
          </w:p>
        </w:tc>
        <w:tc>
          <w:tcPr>
            <w:tcW w:w="708" w:type="dxa"/>
            <w:vMerge w:val="restart"/>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shd w:val="solid" w:color="FFFFFF" w:fill="FFFFFF"/>
            <w:vAlign w:val="center"/>
          </w:tcPr>
          <w:p w:rsidR="00A951FE" w:rsidRDefault="00A951FE">
            <w:pPr>
              <w:spacing w:line="360" w:lineRule="auto"/>
              <w:jc w:val="left"/>
              <w:rPr>
                <w:rFonts w:ascii="宋体" w:hAnsi="宋体"/>
                <w:b/>
                <w:bCs/>
                <w:sz w:val="18"/>
                <w:szCs w:val="18"/>
              </w:rPr>
            </w:pPr>
          </w:p>
        </w:tc>
        <w:tc>
          <w:tcPr>
            <w:tcW w:w="982"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A951FE" w:rsidRDefault="00A951FE">
            <w:pPr>
              <w:spacing w:line="360" w:lineRule="auto"/>
              <w:jc w:val="left"/>
              <w:rPr>
                <w:rFonts w:ascii="宋体" w:hAnsi="宋体"/>
                <w:b/>
                <w:bCs/>
                <w:sz w:val="18"/>
                <w:szCs w:val="18"/>
              </w:rPr>
            </w:pPr>
          </w:p>
        </w:tc>
        <w:tc>
          <w:tcPr>
            <w:tcW w:w="1417"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shd w:val="solid" w:color="FFFFFF" w:fill="FFFFFF"/>
            <w:vAlign w:val="center"/>
          </w:tcPr>
          <w:p w:rsidR="00A951FE" w:rsidRDefault="00A951FE">
            <w:pPr>
              <w:spacing w:line="360" w:lineRule="auto"/>
              <w:jc w:val="left"/>
              <w:rPr>
                <w:rFonts w:ascii="宋体" w:hAnsi="宋体"/>
                <w:b/>
                <w:bCs/>
                <w:sz w:val="18"/>
                <w:szCs w:val="18"/>
              </w:rPr>
            </w:pPr>
          </w:p>
        </w:tc>
        <w:tc>
          <w:tcPr>
            <w:tcW w:w="982"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A951FE" w:rsidRDefault="00A951FE">
            <w:pPr>
              <w:spacing w:line="360" w:lineRule="auto"/>
              <w:jc w:val="left"/>
              <w:rPr>
                <w:rFonts w:ascii="宋体" w:hAnsi="宋体"/>
                <w:b/>
                <w:bCs/>
                <w:sz w:val="18"/>
                <w:szCs w:val="18"/>
              </w:rPr>
            </w:pPr>
          </w:p>
        </w:tc>
        <w:tc>
          <w:tcPr>
            <w:tcW w:w="1417"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shd w:val="solid" w:color="FFFFFF" w:fill="FFFFFF"/>
            <w:vAlign w:val="center"/>
          </w:tcPr>
          <w:p w:rsidR="00A951FE" w:rsidRDefault="00A951FE">
            <w:pPr>
              <w:spacing w:line="360" w:lineRule="auto"/>
              <w:jc w:val="left"/>
              <w:rPr>
                <w:rFonts w:ascii="宋体" w:hAnsi="宋体"/>
                <w:b/>
                <w:bCs/>
                <w:sz w:val="18"/>
                <w:szCs w:val="18"/>
              </w:rPr>
            </w:pPr>
          </w:p>
        </w:tc>
        <w:tc>
          <w:tcPr>
            <w:tcW w:w="982"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val="restart"/>
            <w:tcBorders>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tcBorders>
              <w:bottom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170"/>
          <w:jc w:val="center"/>
        </w:trPr>
        <w:tc>
          <w:tcPr>
            <w:tcW w:w="9221" w:type="dxa"/>
            <w:gridSpan w:val="6"/>
            <w:shd w:val="pct10" w:color="FFFFFF" w:fill="A6A6A6" w:themeFill="background1" w:themeFillShade="A6"/>
            <w:vAlign w:val="center"/>
          </w:tcPr>
          <w:p w:rsidR="00A951FE" w:rsidRDefault="00A951FE">
            <w:pPr>
              <w:pStyle w:val="ab"/>
              <w:pBdr>
                <w:bottom w:val="none" w:sz="0" w:space="0" w:color="auto"/>
              </w:pBdr>
              <w:spacing w:line="360" w:lineRule="auto"/>
              <w:rPr>
                <w:rFonts w:ascii="宋体" w:hAnsi="宋体"/>
                <w:b/>
                <w:bCs/>
                <w:szCs w:val="18"/>
              </w:rPr>
            </w:pPr>
          </w:p>
        </w:tc>
      </w:tr>
      <w:tr w:rsidR="00A951FE">
        <w:trPr>
          <w:trHeight w:val="402"/>
          <w:jc w:val="center"/>
        </w:trPr>
        <w:tc>
          <w:tcPr>
            <w:tcW w:w="1142" w:type="dxa"/>
            <w:vMerge w:val="restart"/>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A951FE" w:rsidRDefault="00B5351E">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A951FE">
        <w:trPr>
          <w:trHeight w:val="375"/>
          <w:jc w:val="center"/>
        </w:trPr>
        <w:tc>
          <w:tcPr>
            <w:tcW w:w="1142" w:type="dxa"/>
            <w:vMerge/>
            <w:tcBorders>
              <w:bottom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A951FE" w:rsidRDefault="00B5351E">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 xml:space="preserve">CIB Wealth Management </w:t>
            </w:r>
            <w:proofErr w:type="spellStart"/>
            <w:r>
              <w:rPr>
                <w:rFonts w:ascii="宋体" w:hAnsi="宋体"/>
                <w:bCs/>
                <w:sz w:val="18"/>
                <w:szCs w:val="18"/>
              </w:rPr>
              <w:t>Co.,Ltd</w:t>
            </w:r>
            <w:proofErr w:type="spellEnd"/>
            <w:r>
              <w:rPr>
                <w:rFonts w:ascii="宋体" w:hAnsi="宋体"/>
                <w:bCs/>
                <w:sz w:val="18"/>
                <w:szCs w:val="18"/>
              </w:rPr>
              <w:t>.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w:t>
            </w:r>
            <w:proofErr w:type="gramStart"/>
            <w:r>
              <w:rPr>
                <w:rFonts w:ascii="宋体" w:hAnsi="宋体" w:hint="eastAsia"/>
                <w:bCs/>
                <w:sz w:val="18"/>
                <w:szCs w:val="18"/>
              </w:rPr>
              <w:t>经银保</w:t>
            </w:r>
            <w:proofErr w:type="gramEnd"/>
            <w:r>
              <w:rPr>
                <w:rFonts w:ascii="宋体" w:hAnsi="宋体" w:hint="eastAsia"/>
                <w:bCs/>
                <w:sz w:val="18"/>
                <w:szCs w:val="18"/>
              </w:rPr>
              <w:t>监会批准的其他业务等。</w:t>
            </w:r>
          </w:p>
        </w:tc>
      </w:tr>
      <w:tr w:rsidR="00A951FE">
        <w:trPr>
          <w:trHeight w:hRule="exact" w:val="170"/>
          <w:jc w:val="center"/>
        </w:trPr>
        <w:tc>
          <w:tcPr>
            <w:tcW w:w="9221" w:type="dxa"/>
            <w:gridSpan w:val="6"/>
            <w:shd w:val="pct10" w:color="FFFFFF" w:fill="A6A6A6" w:themeFill="background1" w:themeFillShade="A6"/>
            <w:vAlign w:val="center"/>
          </w:tcPr>
          <w:p w:rsidR="00A951FE" w:rsidRDefault="00A951FE">
            <w:pPr>
              <w:spacing w:line="360" w:lineRule="auto"/>
              <w:jc w:val="left"/>
              <w:rPr>
                <w:rFonts w:ascii="宋体" w:hAnsi="宋体"/>
                <w:bCs/>
                <w:sz w:val="18"/>
                <w:szCs w:val="18"/>
              </w:rPr>
            </w:pPr>
          </w:p>
        </w:tc>
      </w:tr>
      <w:tr w:rsidR="00A951FE">
        <w:trPr>
          <w:trHeight w:val="291"/>
          <w:jc w:val="center"/>
        </w:trPr>
        <w:tc>
          <w:tcPr>
            <w:tcW w:w="1142" w:type="dxa"/>
            <w:vMerge w:val="restart"/>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A951FE" w:rsidRDefault="00B5351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5C4BF6" w:rsidRDefault="00870D3C">
            <w:pPr>
              <w:spacing w:line="360" w:lineRule="auto"/>
              <w:jc w:val="left"/>
              <w:rPr>
                <w:rFonts w:ascii="宋体" w:hAnsi="宋体"/>
                <w:bCs/>
                <w:sz w:val="18"/>
                <w:szCs w:val="18"/>
              </w:rPr>
            </w:pPr>
            <w:r w:rsidRPr="00870D3C">
              <w:rPr>
                <w:rFonts w:ascii="宋体" w:hAnsi="宋体" w:hint="eastAsia"/>
                <w:bCs/>
                <w:sz w:val="18"/>
                <w:szCs w:val="18"/>
              </w:rPr>
              <w:t>兴业银行天天万利</w:t>
            </w:r>
            <w:proofErr w:type="gramStart"/>
            <w:r w:rsidRPr="00870D3C">
              <w:rPr>
                <w:rFonts w:ascii="宋体" w:hAnsi="宋体" w:hint="eastAsia"/>
                <w:bCs/>
                <w:sz w:val="18"/>
                <w:szCs w:val="18"/>
              </w:rPr>
              <w:t>宝稳利</w:t>
            </w:r>
            <w:proofErr w:type="gramEnd"/>
            <w:r w:rsidRPr="00870D3C">
              <w:rPr>
                <w:rFonts w:ascii="宋体" w:hAnsi="宋体" w:hint="eastAsia"/>
                <w:bCs/>
                <w:sz w:val="18"/>
                <w:szCs w:val="18"/>
              </w:rPr>
              <w:t>6号H款净值型理财产品</w:t>
            </w:r>
          </w:p>
        </w:tc>
      </w:tr>
      <w:tr w:rsidR="00A951FE">
        <w:trPr>
          <w:trHeight w:val="291"/>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shd w:val="solid" w:color="FFFFFF" w:fill="FFFFFF"/>
            <w:vAlign w:val="center"/>
          </w:tcPr>
          <w:p w:rsidR="00A951FE" w:rsidRDefault="00B5351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870D3C" w:rsidRPr="00870D3C" w:rsidRDefault="00870D3C" w:rsidP="00870D3C">
            <w:pPr>
              <w:spacing w:line="360" w:lineRule="auto"/>
              <w:jc w:val="left"/>
              <w:rPr>
                <w:rFonts w:ascii="宋体" w:hAnsi="宋体"/>
                <w:bCs/>
                <w:sz w:val="18"/>
                <w:szCs w:val="18"/>
              </w:rPr>
            </w:pPr>
            <w:r w:rsidRPr="00870D3C">
              <w:rPr>
                <w:rFonts w:ascii="宋体" w:hAnsi="宋体" w:hint="eastAsia"/>
                <w:bCs/>
                <w:sz w:val="18"/>
                <w:szCs w:val="18"/>
              </w:rPr>
              <w:t>【稳利恒盈6号H款 9个月A】（适用A类份额）</w:t>
            </w:r>
          </w:p>
          <w:p w:rsidR="00870D3C" w:rsidRPr="00870D3C" w:rsidRDefault="00870D3C" w:rsidP="00870D3C">
            <w:pPr>
              <w:spacing w:line="360" w:lineRule="auto"/>
              <w:jc w:val="left"/>
              <w:rPr>
                <w:rFonts w:ascii="宋体" w:hAnsi="宋体"/>
                <w:bCs/>
                <w:sz w:val="18"/>
                <w:szCs w:val="18"/>
              </w:rPr>
            </w:pPr>
            <w:r w:rsidRPr="00870D3C">
              <w:rPr>
                <w:rFonts w:ascii="宋体" w:hAnsi="宋体" w:hint="eastAsia"/>
                <w:bCs/>
                <w:sz w:val="18"/>
                <w:szCs w:val="18"/>
              </w:rPr>
              <w:t>【稳利恒盈6号H款 9个月</w:t>
            </w:r>
            <w:r w:rsidRPr="00870D3C">
              <w:rPr>
                <w:rFonts w:ascii="宋体" w:hAnsi="宋体"/>
                <w:bCs/>
                <w:sz w:val="18"/>
                <w:szCs w:val="18"/>
              </w:rPr>
              <w:t>B</w:t>
            </w:r>
            <w:r w:rsidRPr="00870D3C">
              <w:rPr>
                <w:rFonts w:ascii="宋体" w:hAnsi="宋体" w:hint="eastAsia"/>
                <w:bCs/>
                <w:sz w:val="18"/>
                <w:szCs w:val="18"/>
              </w:rPr>
              <w:t>】（适用</w:t>
            </w:r>
            <w:r w:rsidRPr="00870D3C">
              <w:rPr>
                <w:rFonts w:ascii="宋体" w:hAnsi="宋体"/>
                <w:bCs/>
                <w:sz w:val="18"/>
                <w:szCs w:val="18"/>
              </w:rPr>
              <w:t>B</w:t>
            </w:r>
            <w:r w:rsidRPr="00870D3C">
              <w:rPr>
                <w:rFonts w:ascii="宋体" w:hAnsi="宋体" w:hint="eastAsia"/>
                <w:bCs/>
                <w:sz w:val="18"/>
                <w:szCs w:val="18"/>
              </w:rPr>
              <w:t>类份额）</w:t>
            </w:r>
          </w:p>
          <w:p w:rsidR="005C4BF6" w:rsidRDefault="00870D3C" w:rsidP="005C4BF6">
            <w:pPr>
              <w:spacing w:line="360" w:lineRule="auto"/>
              <w:jc w:val="left"/>
              <w:rPr>
                <w:rFonts w:ascii="宋体" w:hAnsi="宋体"/>
                <w:bCs/>
                <w:sz w:val="18"/>
                <w:szCs w:val="18"/>
              </w:rPr>
            </w:pPr>
            <w:r w:rsidRPr="00870D3C">
              <w:rPr>
                <w:rFonts w:ascii="宋体" w:hAnsi="宋体" w:hint="eastAsia"/>
                <w:b/>
                <w:bCs/>
                <w:sz w:val="18"/>
                <w:szCs w:val="18"/>
              </w:rPr>
              <w:t>【</w:t>
            </w:r>
            <w:r w:rsidRPr="00870D3C">
              <w:rPr>
                <w:rFonts w:ascii="宋体" w:hAnsi="宋体" w:hint="eastAsia"/>
                <w:bCs/>
                <w:sz w:val="18"/>
                <w:szCs w:val="18"/>
              </w:rPr>
              <w:t>稳利恒盈6号H款 9个月</w:t>
            </w:r>
            <w:r w:rsidRPr="00870D3C">
              <w:rPr>
                <w:rFonts w:ascii="宋体" w:hAnsi="宋体"/>
                <w:bCs/>
                <w:sz w:val="18"/>
                <w:szCs w:val="18"/>
              </w:rPr>
              <w:t>C</w:t>
            </w:r>
            <w:r w:rsidRPr="00870D3C">
              <w:rPr>
                <w:rFonts w:ascii="宋体" w:hAnsi="宋体" w:hint="eastAsia"/>
                <w:bCs/>
                <w:sz w:val="18"/>
                <w:szCs w:val="18"/>
              </w:rPr>
              <w:t>】（适用</w:t>
            </w:r>
            <w:r w:rsidRPr="00870D3C">
              <w:rPr>
                <w:rFonts w:ascii="宋体" w:hAnsi="宋体"/>
                <w:bCs/>
                <w:sz w:val="18"/>
                <w:szCs w:val="18"/>
              </w:rPr>
              <w:t>C</w:t>
            </w:r>
            <w:r w:rsidRPr="00870D3C">
              <w:rPr>
                <w:rFonts w:ascii="宋体" w:hAnsi="宋体" w:hint="eastAsia"/>
                <w:bCs/>
                <w:sz w:val="18"/>
                <w:szCs w:val="18"/>
              </w:rPr>
              <w:t>类份额）</w:t>
            </w:r>
          </w:p>
        </w:tc>
      </w:tr>
      <w:tr w:rsidR="00A951FE">
        <w:trPr>
          <w:trHeight w:val="291"/>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shd w:val="solid" w:color="FFFFFF" w:fill="FFFFFF"/>
          </w:tcPr>
          <w:p w:rsidR="00A951FE" w:rsidRDefault="00B5351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A951FE" w:rsidRDefault="00B5351E">
            <w:pPr>
              <w:spacing w:line="360" w:lineRule="auto"/>
              <w:jc w:val="left"/>
              <w:rPr>
                <w:rFonts w:ascii="宋体" w:hAnsi="宋体"/>
                <w:bCs/>
                <w:sz w:val="18"/>
                <w:szCs w:val="18"/>
              </w:rPr>
            </w:pPr>
            <w:r>
              <w:rPr>
                <w:rFonts w:ascii="宋体" w:hAnsi="宋体" w:hint="eastAsia"/>
                <w:bCs/>
                <w:sz w:val="18"/>
                <w:szCs w:val="18"/>
              </w:rPr>
              <w:t>【</w:t>
            </w:r>
            <w:r w:rsidR="00870D3C" w:rsidRPr="00870D3C">
              <w:rPr>
                <w:rFonts w:ascii="宋体" w:hAnsi="宋体"/>
                <w:bCs/>
                <w:sz w:val="18"/>
                <w:szCs w:val="18"/>
              </w:rPr>
              <w:t>Z7002021000096</w:t>
            </w:r>
            <w:r>
              <w:rPr>
                <w:rFonts w:ascii="宋体" w:hAnsi="宋体" w:hint="eastAsia"/>
                <w:bCs/>
                <w:sz w:val="18"/>
                <w:szCs w:val="18"/>
              </w:rPr>
              <w:t>】注：投资者可依据理财产品登记编码在中国</w:t>
            </w:r>
            <w:proofErr w:type="gramStart"/>
            <w:r>
              <w:rPr>
                <w:rFonts w:ascii="宋体" w:hAnsi="宋体" w:hint="eastAsia"/>
                <w:bCs/>
                <w:sz w:val="18"/>
                <w:szCs w:val="18"/>
              </w:rPr>
              <w:t>理财网</w:t>
            </w:r>
            <w:proofErr w:type="gramEnd"/>
            <w:r>
              <w:rPr>
                <w:rFonts w:ascii="宋体" w:hAnsi="宋体" w:hint="eastAsia"/>
                <w:bCs/>
                <w:sz w:val="18"/>
                <w:szCs w:val="18"/>
              </w:rPr>
              <w:t>查询产品信息</w:t>
            </w:r>
            <w:hyperlink r:id="rId10" w:history="1">
              <w:r>
                <w:rPr>
                  <w:rFonts w:ascii="宋体" w:hAnsi="宋体"/>
                  <w:bCs/>
                  <w:sz w:val="18"/>
                  <w:szCs w:val="18"/>
                </w:rPr>
                <w:t>www.chinawealth.com.cn</w:t>
              </w:r>
            </w:hyperlink>
          </w:p>
        </w:tc>
      </w:tr>
      <w:tr w:rsidR="00A951FE">
        <w:trPr>
          <w:trHeight w:val="9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shd w:val="solid" w:color="FFFFFF" w:fill="FFFFFF"/>
            <w:vAlign w:val="center"/>
          </w:tcPr>
          <w:p w:rsidR="00A951FE" w:rsidRDefault="00B5351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A951FE" w:rsidRDefault="00B5351E">
            <w:pPr>
              <w:spacing w:line="360" w:lineRule="auto"/>
              <w:jc w:val="left"/>
              <w:rPr>
                <w:rFonts w:ascii="宋体" w:hAnsi="宋体"/>
                <w:bCs/>
                <w:sz w:val="18"/>
                <w:szCs w:val="18"/>
              </w:rPr>
            </w:pPr>
            <w:r>
              <w:rPr>
                <w:rFonts w:ascii="宋体" w:hAnsi="宋体"/>
                <w:bCs/>
                <w:color w:val="000000" w:themeColor="text1"/>
                <w:sz w:val="18"/>
                <w:szCs w:val="18"/>
              </w:rPr>
              <w:t>【</w:t>
            </w:r>
            <w:r w:rsidR="00870D3C" w:rsidRPr="00870D3C">
              <w:rPr>
                <w:rFonts w:ascii="宋体" w:hAnsi="宋体"/>
                <w:bCs/>
                <w:color w:val="000000" w:themeColor="text1"/>
                <w:sz w:val="18"/>
                <w:szCs w:val="18"/>
              </w:rPr>
              <w:t>9K209120</w:t>
            </w:r>
            <w:r>
              <w:rPr>
                <w:rFonts w:ascii="宋体" w:hAnsi="宋体"/>
                <w:bCs/>
                <w:color w:val="000000" w:themeColor="text1"/>
                <w:sz w:val="18"/>
                <w:szCs w:val="18"/>
              </w:rPr>
              <w:t>】</w:t>
            </w:r>
          </w:p>
        </w:tc>
      </w:tr>
      <w:tr w:rsidR="00A951FE">
        <w:trPr>
          <w:trHeight w:val="9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shd w:val="solid" w:color="FFFFFF" w:fill="FFFFFF"/>
            <w:vAlign w:val="center"/>
          </w:tcPr>
          <w:p w:rsidR="00A951FE" w:rsidRDefault="00B5351E">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870D3C" w:rsidRPr="00870D3C" w:rsidRDefault="00870D3C" w:rsidP="00870D3C">
            <w:pPr>
              <w:spacing w:line="360" w:lineRule="auto"/>
              <w:jc w:val="left"/>
              <w:rPr>
                <w:rFonts w:ascii="宋体" w:hAnsi="宋体" w:hint="eastAsia"/>
                <w:bCs/>
                <w:color w:val="000000" w:themeColor="text1"/>
                <w:sz w:val="18"/>
                <w:szCs w:val="18"/>
              </w:rPr>
            </w:pPr>
            <w:r w:rsidRPr="00870D3C">
              <w:rPr>
                <w:rFonts w:ascii="宋体" w:hAnsi="宋体" w:hint="eastAsia"/>
                <w:bCs/>
                <w:color w:val="000000" w:themeColor="text1"/>
                <w:sz w:val="18"/>
                <w:szCs w:val="18"/>
              </w:rPr>
              <w:t>【9K20912A】（适用A类份额）</w:t>
            </w:r>
          </w:p>
          <w:p w:rsidR="00870D3C" w:rsidRPr="00870D3C" w:rsidRDefault="00870D3C" w:rsidP="00870D3C">
            <w:pPr>
              <w:spacing w:line="360" w:lineRule="auto"/>
              <w:jc w:val="left"/>
              <w:rPr>
                <w:rFonts w:ascii="宋体" w:hAnsi="宋体" w:hint="eastAsia"/>
                <w:bCs/>
                <w:color w:val="000000" w:themeColor="text1"/>
                <w:sz w:val="18"/>
                <w:szCs w:val="18"/>
              </w:rPr>
            </w:pPr>
            <w:r w:rsidRPr="00870D3C">
              <w:rPr>
                <w:rFonts w:ascii="宋体" w:hAnsi="宋体" w:hint="eastAsia"/>
                <w:bCs/>
                <w:color w:val="000000" w:themeColor="text1"/>
                <w:sz w:val="18"/>
                <w:szCs w:val="18"/>
              </w:rPr>
              <w:t>【9K20912B】（适用B类份额）</w:t>
            </w:r>
          </w:p>
          <w:p w:rsidR="00B65218" w:rsidRDefault="00870D3C" w:rsidP="00B65218">
            <w:pPr>
              <w:spacing w:line="360" w:lineRule="auto"/>
              <w:jc w:val="left"/>
              <w:rPr>
                <w:rFonts w:ascii="宋体" w:hAnsi="宋体"/>
                <w:bCs/>
                <w:color w:val="000000" w:themeColor="text1"/>
                <w:sz w:val="18"/>
                <w:szCs w:val="18"/>
              </w:rPr>
            </w:pPr>
            <w:r w:rsidRPr="00870D3C">
              <w:rPr>
                <w:rFonts w:ascii="宋体" w:hAnsi="宋体" w:hint="eastAsia"/>
                <w:bCs/>
                <w:color w:val="000000" w:themeColor="text1"/>
                <w:sz w:val="18"/>
                <w:szCs w:val="18"/>
              </w:rPr>
              <w:lastRenderedPageBreak/>
              <w:t>【9K20912C】（适用C类份额）</w:t>
            </w:r>
            <w:bookmarkStart w:id="14" w:name="_GoBack"/>
            <w:bookmarkEnd w:id="14"/>
          </w:p>
        </w:tc>
      </w:tr>
      <w:tr w:rsidR="00A951FE">
        <w:trPr>
          <w:trHeight w:hRule="exact" w:val="170"/>
          <w:jc w:val="center"/>
        </w:trPr>
        <w:tc>
          <w:tcPr>
            <w:tcW w:w="9221" w:type="dxa"/>
            <w:gridSpan w:val="6"/>
            <w:shd w:val="pct10" w:color="FFFFFF" w:fill="A6A6A6" w:themeFill="background1" w:themeFillShade="A6"/>
            <w:vAlign w:val="center"/>
          </w:tcPr>
          <w:p w:rsidR="00A951FE" w:rsidRDefault="00A951FE">
            <w:pPr>
              <w:spacing w:line="360" w:lineRule="auto"/>
              <w:jc w:val="left"/>
              <w:rPr>
                <w:rFonts w:ascii="宋体" w:hAnsi="宋体"/>
                <w:b/>
                <w:bCs/>
                <w:sz w:val="18"/>
                <w:szCs w:val="18"/>
              </w:rPr>
            </w:pPr>
          </w:p>
        </w:tc>
      </w:tr>
      <w:tr w:rsidR="00A951FE">
        <w:trPr>
          <w:trHeight w:val="826"/>
          <w:jc w:val="center"/>
        </w:trPr>
        <w:tc>
          <w:tcPr>
            <w:tcW w:w="1142" w:type="dxa"/>
            <w:shd w:val="solid" w:color="FFFFFF" w:fill="FFFFFF"/>
            <w:vAlign w:val="center"/>
          </w:tcPr>
          <w:p w:rsidR="00A951FE" w:rsidRDefault="00B5351E">
            <w:pPr>
              <w:pStyle w:val="ab"/>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A951FE" w:rsidRDefault="00B5351E">
            <w:pPr>
              <w:pStyle w:val="ab"/>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r>
              <w:rPr>
                <w:rFonts w:ascii="宋体" w:hAnsi="宋体"/>
                <w:szCs w:val="18"/>
                <w:u w:val="single"/>
              </w:rPr>
              <w:t xml:space="preserve">　                     </w:t>
            </w:r>
            <w:r>
              <w:rPr>
                <w:rFonts w:ascii="宋体" w:hAnsi="宋体" w:hint="eastAsia"/>
                <w:szCs w:val="18"/>
              </w:rPr>
              <w:t>。</w:t>
            </w:r>
          </w:p>
        </w:tc>
      </w:tr>
    </w:tbl>
    <w:p w:rsidR="00A951FE" w:rsidRDefault="00B5351E">
      <w:pPr>
        <w:widowControl/>
        <w:spacing w:line="360" w:lineRule="auto"/>
        <w:jc w:val="left"/>
        <w:rPr>
          <w:bCs/>
          <w:sz w:val="32"/>
        </w:rPr>
      </w:pPr>
      <w:r>
        <w:rPr>
          <w:rFonts w:hint="eastAsia"/>
          <w:bCs/>
          <w:sz w:val="32"/>
        </w:rPr>
        <w:t xml:space="preserve"> </w:t>
      </w:r>
    </w:p>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A951FE">
          <w:headerReference w:type="default" r:id="rId11"/>
          <w:footerReference w:type="default" r:id="rId12"/>
          <w:pgSz w:w="11906" w:h="16838"/>
          <w:pgMar w:top="1440" w:right="1800" w:bottom="1440" w:left="1800" w:header="567" w:footer="992"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A951FE" w:rsidRDefault="00B5351E">
          <w:pPr>
            <w:pStyle w:val="TOC1"/>
            <w:spacing w:line="360" w:lineRule="auto"/>
            <w:jc w:val="center"/>
          </w:pPr>
          <w:r>
            <w:rPr>
              <w:lang w:val="zh-CN"/>
            </w:rPr>
            <w:t>目录</w:t>
          </w:r>
        </w:p>
        <w:p w:rsidR="00A951FE" w:rsidRDefault="00B5351E">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95897036" w:history="1">
            <w:r>
              <w:rPr>
                <w:rStyle w:val="af1"/>
                <w:rFonts w:hint="eastAsia"/>
              </w:rPr>
              <w:t>第一条</w:t>
            </w:r>
            <w:r>
              <w:rPr>
                <w:rStyle w:val="af1"/>
              </w:rPr>
              <w:t xml:space="preserve">  </w:t>
            </w:r>
            <w:r>
              <w:rPr>
                <w:rStyle w:val="af1"/>
                <w:rFonts w:hint="eastAsia"/>
              </w:rPr>
              <w:t>前言</w:t>
            </w:r>
            <w:r>
              <w:tab/>
            </w:r>
            <w:r>
              <w:fldChar w:fldCharType="begin"/>
            </w:r>
            <w:r>
              <w:instrText xml:space="preserve"> PAGEREF _Toc95897036 \h </w:instrText>
            </w:r>
            <w:r>
              <w:fldChar w:fldCharType="separate"/>
            </w:r>
            <w:r>
              <w:t>1</w:t>
            </w:r>
            <w:r>
              <w:fldChar w:fldCharType="end"/>
            </w:r>
          </w:hyperlink>
        </w:p>
        <w:p w:rsidR="00A951FE" w:rsidRDefault="009E7423">
          <w:pPr>
            <w:pStyle w:val="10"/>
            <w:rPr>
              <w:rFonts w:asciiTheme="minorHAnsi" w:eastAsiaTheme="minorEastAsia" w:hAnsiTheme="minorHAnsi" w:cstheme="minorBidi"/>
              <w:szCs w:val="22"/>
            </w:rPr>
          </w:pPr>
          <w:hyperlink w:anchor="_Toc95897037" w:history="1">
            <w:r w:rsidR="00B5351E">
              <w:rPr>
                <w:rStyle w:val="af1"/>
                <w:rFonts w:hint="eastAsia"/>
              </w:rPr>
              <w:t>第二条</w:t>
            </w:r>
            <w:r w:rsidR="00B5351E">
              <w:rPr>
                <w:rStyle w:val="af1"/>
              </w:rPr>
              <w:t xml:space="preserve">  </w:t>
            </w:r>
            <w:r w:rsidR="00B5351E">
              <w:rPr>
                <w:rStyle w:val="af1"/>
                <w:rFonts w:hint="eastAsia"/>
              </w:rPr>
              <w:t>双方权利义务</w:t>
            </w:r>
            <w:r w:rsidR="00B5351E">
              <w:tab/>
            </w:r>
            <w:r w:rsidR="00B5351E">
              <w:fldChar w:fldCharType="begin"/>
            </w:r>
            <w:r w:rsidR="00B5351E">
              <w:instrText xml:space="preserve"> PAGEREF _Toc95897037 \h </w:instrText>
            </w:r>
            <w:r w:rsidR="00B5351E">
              <w:fldChar w:fldCharType="separate"/>
            </w:r>
            <w:r w:rsidR="00B5351E">
              <w:t>2</w:t>
            </w:r>
            <w:r w:rsidR="00B5351E">
              <w:fldChar w:fldCharType="end"/>
            </w:r>
          </w:hyperlink>
        </w:p>
        <w:p w:rsidR="00A951FE" w:rsidRDefault="009E7423">
          <w:pPr>
            <w:pStyle w:val="10"/>
            <w:rPr>
              <w:rFonts w:asciiTheme="minorHAnsi" w:eastAsiaTheme="minorEastAsia" w:hAnsiTheme="minorHAnsi" w:cstheme="minorBidi"/>
              <w:szCs w:val="22"/>
            </w:rPr>
          </w:pPr>
          <w:hyperlink w:anchor="_Toc95897038" w:history="1">
            <w:r w:rsidR="00B5351E">
              <w:rPr>
                <w:rStyle w:val="af1"/>
                <w:rFonts w:hint="eastAsia"/>
              </w:rPr>
              <w:t>第三条</w:t>
            </w:r>
            <w:r w:rsidR="00B5351E">
              <w:rPr>
                <w:rStyle w:val="af1"/>
              </w:rPr>
              <w:t xml:space="preserve">  </w:t>
            </w:r>
            <w:r w:rsidR="00B5351E">
              <w:rPr>
                <w:rStyle w:val="af1"/>
                <w:rFonts w:hint="eastAsia"/>
              </w:rPr>
              <w:t>不可抗力</w:t>
            </w:r>
            <w:r w:rsidR="00B5351E">
              <w:tab/>
            </w:r>
            <w:r w:rsidR="00B5351E">
              <w:fldChar w:fldCharType="begin"/>
            </w:r>
            <w:r w:rsidR="00B5351E">
              <w:instrText xml:space="preserve"> PAGEREF _Toc95897038 \h </w:instrText>
            </w:r>
            <w:r w:rsidR="00B5351E">
              <w:fldChar w:fldCharType="separate"/>
            </w:r>
            <w:r w:rsidR="00B5351E">
              <w:t>5</w:t>
            </w:r>
            <w:r w:rsidR="00B5351E">
              <w:fldChar w:fldCharType="end"/>
            </w:r>
          </w:hyperlink>
        </w:p>
        <w:p w:rsidR="00A951FE" w:rsidRDefault="009E7423">
          <w:pPr>
            <w:pStyle w:val="10"/>
            <w:rPr>
              <w:rFonts w:asciiTheme="minorHAnsi" w:eastAsiaTheme="minorEastAsia" w:hAnsiTheme="minorHAnsi" w:cstheme="minorBidi"/>
              <w:szCs w:val="22"/>
            </w:rPr>
          </w:pPr>
          <w:hyperlink w:anchor="_Toc95897039" w:history="1">
            <w:r w:rsidR="00B5351E">
              <w:rPr>
                <w:rStyle w:val="af1"/>
                <w:rFonts w:hint="eastAsia"/>
              </w:rPr>
              <w:t>第四条</w:t>
            </w:r>
            <w:r w:rsidR="00B5351E">
              <w:rPr>
                <w:rStyle w:val="af1"/>
              </w:rPr>
              <w:t xml:space="preserve">  </w:t>
            </w:r>
            <w:r w:rsidR="00B5351E">
              <w:rPr>
                <w:rStyle w:val="af1"/>
                <w:rFonts w:hint="eastAsia"/>
              </w:rPr>
              <w:t>违约责任</w:t>
            </w:r>
            <w:r w:rsidR="00B5351E">
              <w:tab/>
            </w:r>
            <w:r w:rsidR="00B5351E">
              <w:fldChar w:fldCharType="begin"/>
            </w:r>
            <w:r w:rsidR="00B5351E">
              <w:instrText xml:space="preserve"> PAGEREF _Toc95897039 \h </w:instrText>
            </w:r>
            <w:r w:rsidR="00B5351E">
              <w:fldChar w:fldCharType="separate"/>
            </w:r>
            <w:r w:rsidR="00B5351E">
              <w:t>6</w:t>
            </w:r>
            <w:r w:rsidR="00B5351E">
              <w:fldChar w:fldCharType="end"/>
            </w:r>
          </w:hyperlink>
        </w:p>
        <w:p w:rsidR="00A951FE" w:rsidRDefault="009E7423">
          <w:pPr>
            <w:pStyle w:val="10"/>
            <w:rPr>
              <w:rFonts w:asciiTheme="minorHAnsi" w:eastAsiaTheme="minorEastAsia" w:hAnsiTheme="minorHAnsi" w:cstheme="minorBidi"/>
              <w:szCs w:val="22"/>
            </w:rPr>
          </w:pPr>
          <w:hyperlink w:anchor="_Toc95897040" w:history="1">
            <w:r w:rsidR="00B5351E">
              <w:rPr>
                <w:rStyle w:val="af1"/>
                <w:rFonts w:hint="eastAsia"/>
              </w:rPr>
              <w:t>第五条</w:t>
            </w:r>
            <w:r w:rsidR="00B5351E">
              <w:rPr>
                <w:rStyle w:val="af1"/>
              </w:rPr>
              <w:t xml:space="preserve">  </w:t>
            </w:r>
            <w:r w:rsidR="00B5351E">
              <w:rPr>
                <w:rStyle w:val="af1"/>
                <w:rFonts w:hint="eastAsia"/>
              </w:rPr>
              <w:t>法律适用和争议解决</w:t>
            </w:r>
            <w:r w:rsidR="00B5351E">
              <w:tab/>
            </w:r>
            <w:r w:rsidR="00B5351E">
              <w:fldChar w:fldCharType="begin"/>
            </w:r>
            <w:r w:rsidR="00B5351E">
              <w:instrText xml:space="preserve"> PAGEREF _Toc95897040 \h </w:instrText>
            </w:r>
            <w:r w:rsidR="00B5351E">
              <w:fldChar w:fldCharType="separate"/>
            </w:r>
            <w:r w:rsidR="00B5351E">
              <w:t>7</w:t>
            </w:r>
            <w:r w:rsidR="00B5351E">
              <w:fldChar w:fldCharType="end"/>
            </w:r>
          </w:hyperlink>
        </w:p>
        <w:p w:rsidR="00A951FE" w:rsidRDefault="009E7423">
          <w:pPr>
            <w:pStyle w:val="10"/>
            <w:rPr>
              <w:rFonts w:asciiTheme="minorHAnsi" w:eastAsiaTheme="minorEastAsia" w:hAnsiTheme="minorHAnsi" w:cstheme="minorBidi"/>
              <w:szCs w:val="22"/>
            </w:rPr>
          </w:pPr>
          <w:hyperlink w:anchor="_Toc95897041" w:history="1">
            <w:r w:rsidR="00B5351E">
              <w:rPr>
                <w:rStyle w:val="af1"/>
                <w:rFonts w:hint="eastAsia"/>
              </w:rPr>
              <w:t>第六条</w:t>
            </w:r>
            <w:r w:rsidR="00B5351E">
              <w:rPr>
                <w:rStyle w:val="af1"/>
              </w:rPr>
              <w:t xml:space="preserve">  </w:t>
            </w:r>
            <w:r w:rsidR="00B5351E">
              <w:rPr>
                <w:rStyle w:val="af1"/>
                <w:rFonts w:hint="eastAsia"/>
              </w:rPr>
              <w:t>协议的签署和效力</w:t>
            </w:r>
            <w:r w:rsidR="00B5351E">
              <w:tab/>
            </w:r>
            <w:r w:rsidR="00B5351E">
              <w:fldChar w:fldCharType="begin"/>
            </w:r>
            <w:r w:rsidR="00B5351E">
              <w:instrText xml:space="preserve"> PAGEREF _Toc95897041 \h </w:instrText>
            </w:r>
            <w:r w:rsidR="00B5351E">
              <w:fldChar w:fldCharType="separate"/>
            </w:r>
            <w:r w:rsidR="00B5351E">
              <w:t>8</w:t>
            </w:r>
            <w:r w:rsidR="00B5351E">
              <w:fldChar w:fldCharType="end"/>
            </w:r>
          </w:hyperlink>
        </w:p>
        <w:p w:rsidR="00A951FE" w:rsidRDefault="009E7423">
          <w:pPr>
            <w:pStyle w:val="10"/>
            <w:rPr>
              <w:rFonts w:asciiTheme="minorHAnsi" w:eastAsiaTheme="minorEastAsia" w:hAnsiTheme="minorHAnsi" w:cstheme="minorBidi"/>
              <w:szCs w:val="22"/>
            </w:rPr>
          </w:pPr>
          <w:hyperlink w:anchor="_Toc95897042" w:history="1">
            <w:r w:rsidR="00B5351E">
              <w:rPr>
                <w:rStyle w:val="af1"/>
                <w:rFonts w:hint="eastAsia"/>
              </w:rPr>
              <w:t>第七条</w:t>
            </w:r>
            <w:r w:rsidR="00B5351E">
              <w:rPr>
                <w:rStyle w:val="af1"/>
              </w:rPr>
              <w:t xml:space="preserve">  </w:t>
            </w:r>
            <w:r w:rsidR="00B5351E">
              <w:rPr>
                <w:rStyle w:val="af1"/>
                <w:rFonts w:hint="eastAsia"/>
              </w:rPr>
              <w:t>消费者权益保护</w:t>
            </w:r>
            <w:r w:rsidR="00B5351E">
              <w:tab/>
            </w:r>
            <w:r w:rsidR="00B5351E">
              <w:fldChar w:fldCharType="begin"/>
            </w:r>
            <w:r w:rsidR="00B5351E">
              <w:instrText xml:space="preserve"> PAGEREF _Toc95897042 \h </w:instrText>
            </w:r>
            <w:r w:rsidR="00B5351E">
              <w:fldChar w:fldCharType="separate"/>
            </w:r>
            <w:r w:rsidR="00B5351E">
              <w:t>9</w:t>
            </w:r>
            <w:r w:rsidR="00B5351E">
              <w:fldChar w:fldCharType="end"/>
            </w:r>
          </w:hyperlink>
        </w:p>
        <w:p w:rsidR="00A951FE" w:rsidRDefault="00B5351E">
          <w:pPr>
            <w:spacing w:line="360" w:lineRule="auto"/>
          </w:pPr>
          <w:r>
            <w:rPr>
              <w:b/>
              <w:bCs/>
              <w:lang w:val="zh-CN"/>
            </w:rPr>
            <w:fldChar w:fldCharType="end"/>
          </w:r>
        </w:p>
      </w:sdtContent>
    </w:sdt>
    <w:p w:rsidR="00A951FE" w:rsidRDefault="00A951FE">
      <w:pPr>
        <w:widowControl/>
        <w:spacing w:line="360" w:lineRule="auto"/>
        <w:jc w:val="left"/>
        <w:rPr>
          <w:rFonts w:ascii="宋体" w:hAnsi="宋体" w:cs="仿宋_GB2312"/>
          <w:b/>
          <w:kern w:val="0"/>
          <w:sz w:val="18"/>
          <w:szCs w:val="18"/>
        </w:rPr>
      </w:pPr>
    </w:p>
    <w:p w:rsidR="00A951FE" w:rsidRDefault="00A951FE">
      <w:pPr>
        <w:widowControl/>
        <w:spacing w:line="360" w:lineRule="auto"/>
        <w:jc w:val="left"/>
        <w:rPr>
          <w:rFonts w:ascii="宋体" w:hAnsi="宋体" w:cs="仿宋_GB2312"/>
          <w:b/>
          <w:kern w:val="0"/>
          <w:sz w:val="18"/>
          <w:szCs w:val="18"/>
        </w:rPr>
      </w:pPr>
    </w:p>
    <w:p w:rsidR="00A951FE" w:rsidRDefault="00A951FE">
      <w:pPr>
        <w:widowControl/>
        <w:spacing w:line="360" w:lineRule="auto"/>
        <w:jc w:val="left"/>
        <w:rPr>
          <w:rFonts w:ascii="宋体" w:hAnsi="宋体" w:cs="仿宋_GB2312"/>
          <w:b/>
          <w:kern w:val="0"/>
          <w:sz w:val="18"/>
          <w:szCs w:val="18"/>
        </w:rPr>
        <w:sectPr w:rsidR="00A951FE">
          <w:pgSz w:w="11906" w:h="16838"/>
          <w:pgMar w:top="1440" w:right="1800" w:bottom="1440" w:left="1800" w:header="851" w:footer="992" w:gutter="0"/>
          <w:pgNumType w:start="0"/>
          <w:cols w:space="720"/>
          <w:docGrid w:type="lines" w:linePitch="312"/>
        </w:sectPr>
      </w:pPr>
    </w:p>
    <w:p w:rsidR="00A951FE" w:rsidRDefault="00B5351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A951FE" w:rsidRDefault="00B5351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A951FE" w:rsidRDefault="00A951FE">
      <w:pPr>
        <w:spacing w:line="360" w:lineRule="auto"/>
      </w:pPr>
    </w:p>
    <w:p w:rsidR="00A951FE" w:rsidRDefault="00B5351E">
      <w:pPr>
        <w:pStyle w:val="1"/>
        <w:spacing w:before="0" w:after="0"/>
        <w:jc w:val="center"/>
        <w:rPr>
          <w:rFonts w:ascii="Times New Roman"/>
          <w:color w:val="auto"/>
          <w:sz w:val="30"/>
        </w:rPr>
      </w:pPr>
      <w:bookmarkStart w:id="15" w:name="_Toc8727"/>
      <w:bookmarkStart w:id="16" w:name="_Toc4867"/>
      <w:bookmarkStart w:id="17" w:name="_Toc4966"/>
      <w:bookmarkStart w:id="18" w:name="_Toc29629"/>
      <w:bookmarkStart w:id="19" w:name="_Toc32639"/>
      <w:bookmarkStart w:id="20" w:name="_Toc123701389"/>
      <w:bookmarkStart w:id="21" w:name="_Toc15517"/>
      <w:bookmarkStart w:id="22" w:name="_Toc23386"/>
      <w:bookmarkStart w:id="23" w:name="_Toc6306"/>
      <w:bookmarkStart w:id="24" w:name="_Toc26897"/>
      <w:bookmarkStart w:id="25" w:name="_Toc123112229"/>
      <w:bookmarkStart w:id="26" w:name="_Toc141703880"/>
      <w:bookmarkStart w:id="27" w:name="_Toc123112268"/>
      <w:bookmarkStart w:id="28" w:name="_Toc139991730"/>
      <w:bookmarkStart w:id="29" w:name="_Toc30935"/>
      <w:bookmarkStart w:id="30" w:name="_Toc88482730"/>
      <w:bookmarkStart w:id="31" w:name="_Toc95897036"/>
      <w:bookmarkStart w:id="32" w:name="_Toc74065738"/>
      <w:bookmarkStart w:id="33"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4" w:name="_Toc21301"/>
      <w:bookmarkStart w:id="35" w:name="_Toc19592"/>
      <w:bookmarkStart w:id="36" w:name="_Toc3224"/>
      <w:bookmarkStart w:id="37" w:name="_Toc258829399"/>
      <w:bookmarkStart w:id="38" w:name="_Toc15067"/>
      <w:bookmarkStart w:id="39" w:name="_Toc22864"/>
      <w:bookmarkStart w:id="40" w:name="_Toc24860"/>
      <w:bookmarkStart w:id="41" w:name="_Toc819"/>
      <w:bookmarkStart w:id="42" w:name="_Toc13020"/>
      <w:bookmarkStart w:id="43" w:name="_Toc6617"/>
      <w:bookmarkStart w:id="44" w:name="_Toc246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bookmarkEnd w:id="31"/>
    </w:p>
    <w:p w:rsidR="00A951FE" w:rsidRDefault="00B5351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5" w:name="_Toc59965743"/>
      <w:r>
        <w:rPr>
          <w:rFonts w:asciiTheme="majorEastAsia" w:eastAsiaTheme="majorEastAsia" w:hAnsiTheme="majorEastAsia" w:hint="eastAsia"/>
          <w:bCs/>
          <w:color w:val="auto"/>
          <w:sz w:val="18"/>
          <w:szCs w:val="18"/>
        </w:rPr>
        <w:t>《商业银行理财子公司管理办法》</w:t>
      </w:r>
      <w:bookmarkEnd w:id="45"/>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A951FE" w:rsidRDefault="00B5351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A951FE" w:rsidRDefault="00A951FE">
      <w:pPr>
        <w:pStyle w:val="Default"/>
        <w:spacing w:line="360" w:lineRule="auto"/>
        <w:rPr>
          <w:rFonts w:asciiTheme="majorEastAsia" w:eastAsiaTheme="majorEastAsia" w:hAnsiTheme="majorEastAsia"/>
          <w:bCs/>
          <w:color w:val="auto"/>
          <w:sz w:val="18"/>
          <w:szCs w:val="18"/>
        </w:rPr>
      </w:pPr>
    </w:p>
    <w:bookmarkEnd w:id="32"/>
    <w:p w:rsidR="00A951FE" w:rsidRDefault="00B5351E">
      <w:pPr>
        <w:widowControl/>
        <w:spacing w:line="360" w:lineRule="auto"/>
        <w:jc w:val="left"/>
      </w:pPr>
      <w:r>
        <w:br w:type="page"/>
      </w:r>
    </w:p>
    <w:p w:rsidR="00A951FE" w:rsidRDefault="00B5351E">
      <w:pPr>
        <w:pStyle w:val="1"/>
        <w:spacing w:before="0" w:after="0"/>
        <w:jc w:val="center"/>
        <w:rPr>
          <w:rFonts w:ascii="Times New Roman"/>
          <w:color w:val="auto"/>
          <w:sz w:val="30"/>
        </w:rPr>
      </w:pPr>
      <w:bookmarkStart w:id="46" w:name="_Toc88482731"/>
      <w:bookmarkStart w:id="47" w:name="_Toc95897037"/>
      <w:bookmarkStart w:id="48"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6"/>
      <w:bookmarkEnd w:id="47"/>
    </w:p>
    <w:p w:rsidR="00A951FE" w:rsidRDefault="00B5351E">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w:t>
      </w:r>
      <w:proofErr w:type="gramStart"/>
      <w:r>
        <w:rPr>
          <w:rFonts w:ascii="黑体" w:eastAsia="黑体" w:hAnsi="黑体" w:hint="eastAsia"/>
          <w:sz w:val="18"/>
          <w:szCs w:val="18"/>
        </w:rPr>
        <w:t>所勾选的</w:t>
      </w:r>
      <w:proofErr w:type="gramEnd"/>
      <w:r>
        <w:rPr>
          <w:rFonts w:ascii="黑体" w:eastAsia="黑体" w:hAnsi="黑体" w:hint="eastAsia"/>
          <w:sz w:val="18"/>
          <w:szCs w:val="18"/>
        </w:rPr>
        <w:t>业务申请类型，并根据业务办理需要、反洗</w:t>
      </w:r>
      <w:proofErr w:type="gramStart"/>
      <w:r>
        <w:rPr>
          <w:rFonts w:ascii="黑体" w:eastAsia="黑体" w:hAnsi="黑体" w:hint="eastAsia"/>
          <w:sz w:val="18"/>
          <w:szCs w:val="18"/>
        </w:rPr>
        <w:t>钱工作</w:t>
      </w:r>
      <w:proofErr w:type="gramEnd"/>
      <w:r>
        <w:rPr>
          <w:rFonts w:ascii="黑体" w:eastAsia="黑体" w:hAnsi="黑体" w:hint="eastAsia"/>
          <w:sz w:val="18"/>
          <w:szCs w:val="18"/>
        </w:rPr>
        <w:t>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w:t>
      </w:r>
      <w:proofErr w:type="gramStart"/>
      <w:r>
        <w:rPr>
          <w:rFonts w:ascii="宋体" w:hAnsi="宋体" w:hint="eastAsia"/>
          <w:sz w:val="18"/>
          <w:szCs w:val="18"/>
        </w:rPr>
        <w:t>涉恐及反洗</w:t>
      </w:r>
      <w:proofErr w:type="gramEnd"/>
      <w:r>
        <w:rPr>
          <w:rFonts w:ascii="宋体" w:hAnsi="宋体" w:hint="eastAsia"/>
          <w:sz w:val="18"/>
          <w:szCs w:val="18"/>
        </w:rPr>
        <w:t>钱相关风险名单内的企业；</w:t>
      </w:r>
      <w:proofErr w:type="gramStart"/>
      <w:r>
        <w:rPr>
          <w:rFonts w:ascii="宋体" w:hAnsi="宋体" w:hint="eastAsia"/>
          <w:sz w:val="18"/>
          <w:szCs w:val="18"/>
        </w:rPr>
        <w:t>不</w:t>
      </w:r>
      <w:proofErr w:type="gramEnd"/>
      <w:r>
        <w:rPr>
          <w:rFonts w:ascii="宋体" w:hAnsi="宋体" w:hint="eastAsia"/>
          <w:sz w:val="18"/>
          <w:szCs w:val="18"/>
        </w:rPr>
        <w:t>位于被联合国、欧盟或美国等制裁的国家和地区。</w:t>
      </w:r>
      <w:r>
        <w:rPr>
          <w:rFonts w:ascii="宋体" w:hAnsi="宋体"/>
          <w:sz w:val="18"/>
          <w:szCs w:val="18"/>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w:t>
      </w:r>
      <w:proofErr w:type="gramStart"/>
      <w:r>
        <w:rPr>
          <w:rFonts w:ascii="黑体" w:eastAsia="黑体" w:hAnsi="黑体" w:hint="eastAsia"/>
          <w:sz w:val="18"/>
          <w:szCs w:val="18"/>
        </w:rPr>
        <w:t>归集日</w:t>
      </w:r>
      <w:proofErr w:type="gramEnd"/>
      <w:r>
        <w:rPr>
          <w:rFonts w:ascii="黑体" w:eastAsia="黑体" w:hAnsi="黑体" w:hint="eastAsia"/>
          <w:sz w:val="18"/>
          <w:szCs w:val="18"/>
        </w:rPr>
        <w:t>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w:t>
      </w:r>
      <w:proofErr w:type="gramStart"/>
      <w:r>
        <w:rPr>
          <w:rFonts w:ascii="黑体" w:eastAsia="黑体" w:hAnsi="黑体"/>
          <w:sz w:val="18"/>
          <w:szCs w:val="18"/>
        </w:rPr>
        <w:t>归集日</w:t>
      </w:r>
      <w:proofErr w:type="gramEnd"/>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w:t>
      </w:r>
      <w:r>
        <w:rPr>
          <w:rFonts w:ascii="黑体" w:eastAsia="黑体" w:hAnsi="黑体" w:hint="eastAsia"/>
          <w:sz w:val="18"/>
          <w:szCs w:val="18"/>
        </w:rPr>
        <w:lastRenderedPageBreak/>
        <w:t>金或理财资金不足或未在约定的时间前购买本产品而导致交易失败的，产品管理人不承担相应责任。</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A951FE" w:rsidRDefault="00B5351E">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3.</w:t>
      </w:r>
      <w:r>
        <w:rPr>
          <w:rFonts w:ascii="宋体" w:hAnsi="宋体"/>
          <w:sz w:val="18"/>
          <w:szCs w:val="18"/>
        </w:rPr>
        <w:t>产品管理人应按照约定披露产品相关信息</w:t>
      </w:r>
      <w:r>
        <w:rPr>
          <w:rFonts w:ascii="宋体" w:hAnsi="宋体" w:hint="eastAsia"/>
          <w:sz w:val="18"/>
          <w:szCs w:val="18"/>
        </w:rPr>
        <w:t>。</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w:t>
      </w:r>
      <w:proofErr w:type="gramStart"/>
      <w:r>
        <w:rPr>
          <w:rFonts w:ascii="黑体" w:eastAsia="黑体" w:hAnsi="黑体" w:hint="eastAsia"/>
          <w:sz w:val="18"/>
          <w:szCs w:val="18"/>
        </w:rPr>
        <w:t>资管计划</w:t>
      </w:r>
      <w:proofErr w:type="gramEnd"/>
      <w:r>
        <w:rPr>
          <w:rFonts w:ascii="黑体" w:eastAsia="黑体" w:hAnsi="黑体" w:hint="eastAsia"/>
          <w:sz w:val="18"/>
          <w:szCs w:val="18"/>
        </w:rPr>
        <w:t>、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w:t>
      </w:r>
      <w:proofErr w:type="gramStart"/>
      <w:r>
        <w:rPr>
          <w:rFonts w:ascii="黑体" w:eastAsia="黑体" w:hAnsi="黑体" w:hint="eastAsia"/>
          <w:sz w:val="18"/>
          <w:szCs w:val="18"/>
        </w:rPr>
        <w:t>戳服务</w:t>
      </w:r>
      <w:proofErr w:type="gramEnd"/>
      <w:r>
        <w:rPr>
          <w:rFonts w:ascii="黑体" w:eastAsia="黑体" w:hAnsi="黑体" w:hint="eastAsia"/>
          <w:sz w:val="18"/>
          <w:szCs w:val="18"/>
        </w:rPr>
        <w:t>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包括但不限于转让、重组、债转股、资产证券化、委外催收、抵债资产收取与处置、破产重整等。</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lastRenderedPageBreak/>
        <w:t>产品管理人有权提前终止本协议，造成投资者损失的，产品管理人不承担责任。</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w:t>
      </w:r>
      <w:proofErr w:type="gramStart"/>
      <w:r>
        <w:rPr>
          <w:rFonts w:ascii="宋体" w:hAnsi="宋体" w:hint="eastAsia"/>
          <w:sz w:val="18"/>
          <w:szCs w:val="18"/>
        </w:rPr>
        <w:t>非交易</w:t>
      </w:r>
      <w:proofErr w:type="gramEnd"/>
      <w:r>
        <w:rPr>
          <w:rFonts w:ascii="宋体" w:hAnsi="宋体" w:hint="eastAsia"/>
          <w:sz w:val="18"/>
          <w:szCs w:val="18"/>
        </w:rPr>
        <w:t>过户。</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13.其他在本产品所对应理财产品销售文件中约定的产品管理人的权利与义务。</w:t>
      </w:r>
    </w:p>
    <w:p w:rsidR="00A951FE" w:rsidRDefault="00B5351E">
      <w:pPr>
        <w:widowControl/>
        <w:spacing w:line="360" w:lineRule="auto"/>
        <w:jc w:val="left"/>
        <w:rPr>
          <w:b/>
          <w:kern w:val="0"/>
          <w:sz w:val="30"/>
        </w:rPr>
      </w:pPr>
      <w:r>
        <w:rPr>
          <w:sz w:val="30"/>
        </w:rPr>
        <w:br w:type="page"/>
      </w:r>
    </w:p>
    <w:p w:rsidR="00A951FE" w:rsidRDefault="00B5351E">
      <w:pPr>
        <w:pStyle w:val="1"/>
        <w:spacing w:before="0" w:after="0"/>
        <w:jc w:val="center"/>
        <w:rPr>
          <w:rFonts w:ascii="Times New Roman"/>
          <w:sz w:val="30"/>
        </w:rPr>
      </w:pPr>
      <w:bookmarkStart w:id="49" w:name="_Toc95897038"/>
      <w:bookmarkStart w:id="50" w:name="_Toc88482732"/>
      <w:bookmarkStart w:id="51" w:name="_Toc20627"/>
      <w:bookmarkStart w:id="52" w:name="_Toc22708"/>
      <w:bookmarkStart w:id="53" w:name="_Toc6149"/>
      <w:bookmarkStart w:id="54" w:name="_Toc545"/>
      <w:bookmarkStart w:id="55" w:name="_Toc20318"/>
      <w:bookmarkStart w:id="56" w:name="_Toc13288"/>
      <w:bookmarkStart w:id="57" w:name="_Toc74065740"/>
      <w:bookmarkStart w:id="58" w:name="_Toc733"/>
      <w:bookmarkStart w:id="59" w:name="_Toc18631"/>
      <w:bookmarkStart w:id="60" w:name="_Toc24571"/>
      <w:bookmarkStart w:id="61" w:name="_Toc6683"/>
      <w:bookmarkStart w:id="62" w:name="_Toc233456272"/>
      <w:bookmarkStart w:id="63" w:name="_Toc258829400"/>
      <w:bookmarkEnd w:id="33"/>
      <w:bookmarkEnd w:id="34"/>
      <w:bookmarkEnd w:id="35"/>
      <w:bookmarkEnd w:id="36"/>
      <w:bookmarkEnd w:id="37"/>
      <w:bookmarkEnd w:id="38"/>
      <w:bookmarkEnd w:id="39"/>
      <w:bookmarkEnd w:id="40"/>
      <w:bookmarkEnd w:id="41"/>
      <w:bookmarkEnd w:id="42"/>
      <w:bookmarkEnd w:id="43"/>
      <w:bookmarkEnd w:id="44"/>
      <w:bookmarkEnd w:id="48"/>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9"/>
      <w:bookmarkEnd w:id="50"/>
    </w:p>
    <w:bookmarkEnd w:id="51"/>
    <w:bookmarkEnd w:id="52"/>
    <w:bookmarkEnd w:id="53"/>
    <w:bookmarkEnd w:id="54"/>
    <w:bookmarkEnd w:id="55"/>
    <w:bookmarkEnd w:id="56"/>
    <w:bookmarkEnd w:id="57"/>
    <w:bookmarkEnd w:id="58"/>
    <w:bookmarkEnd w:id="59"/>
    <w:bookmarkEnd w:id="60"/>
    <w:bookmarkEnd w:id="61"/>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A951FE" w:rsidRDefault="00B5351E">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A951FE" w:rsidRDefault="00B5351E">
      <w:pPr>
        <w:pStyle w:val="1"/>
        <w:spacing w:before="0" w:after="0"/>
        <w:jc w:val="center"/>
        <w:rPr>
          <w:rFonts w:ascii="Times New Roman"/>
          <w:b w:val="0"/>
          <w:sz w:val="30"/>
        </w:rPr>
      </w:pPr>
      <w:bookmarkStart w:id="64" w:name="_Toc95897039"/>
      <w:bookmarkStart w:id="65" w:name="_Toc88482733"/>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4"/>
      <w:bookmarkEnd w:id="65"/>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w:t>
      </w:r>
      <w:proofErr w:type="gramStart"/>
      <w:r>
        <w:rPr>
          <w:rFonts w:ascii="宋体" w:hAnsi="宋体" w:cs="仿宋_GB2312" w:hint="eastAsia"/>
          <w:kern w:val="0"/>
          <w:sz w:val="18"/>
          <w:szCs w:val="18"/>
        </w:rPr>
        <w:t>分配日</w:t>
      </w:r>
      <w:proofErr w:type="gramEnd"/>
      <w:r>
        <w:rPr>
          <w:rFonts w:ascii="宋体" w:hAnsi="宋体" w:cs="仿宋_GB2312" w:hint="eastAsia"/>
          <w:kern w:val="0"/>
          <w:sz w:val="18"/>
          <w:szCs w:val="18"/>
        </w:rPr>
        <w:t>如遇节假日，将顺延至下一个工作日，由此产生的风险及损失双方当事人互不承担责任；</w:t>
      </w:r>
    </w:p>
    <w:p w:rsidR="00A951FE" w:rsidRDefault="00B5351E">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A951FE" w:rsidRDefault="00B5351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A951FE" w:rsidRDefault="00B5351E">
      <w:pPr>
        <w:pStyle w:val="1"/>
        <w:spacing w:before="0" w:after="0"/>
        <w:jc w:val="center"/>
        <w:rPr>
          <w:rFonts w:ascii="Times New Roman"/>
          <w:b w:val="0"/>
          <w:sz w:val="30"/>
        </w:rPr>
      </w:pPr>
      <w:bookmarkStart w:id="66" w:name="_Toc95897040"/>
      <w:bookmarkStart w:id="67" w:name="_Toc88482734"/>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6"/>
      <w:bookmarkEnd w:id="67"/>
    </w:p>
    <w:p w:rsidR="00A951FE" w:rsidRDefault="00B5351E">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A951FE" w:rsidRDefault="00B5351E">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A951FE" w:rsidRDefault="00B5351E">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A951FE" w:rsidRDefault="00B5351E">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w:t>
      </w:r>
      <w:proofErr w:type="gramStart"/>
      <w:r>
        <w:rPr>
          <w:rFonts w:ascii="黑体" w:eastAsia="黑体" w:hAnsi="黑体" w:hint="eastAsia"/>
          <w:color w:val="000000" w:themeColor="text1"/>
          <w:sz w:val="18"/>
          <w:szCs w:val="18"/>
        </w:rPr>
        <w:t>如下第</w:t>
      </w:r>
      <w:proofErr w:type="gramEnd"/>
      <w:r>
        <w:rPr>
          <w:rFonts w:ascii="黑体" w:eastAsia="黑体" w:hAnsi="黑体" w:hint="eastAsia"/>
          <w:color w:val="000000" w:themeColor="text1"/>
          <w:sz w:val="18"/>
          <w:szCs w:val="18"/>
        </w:rPr>
        <w:t>【壹】种方式解决：</w:t>
      </w:r>
    </w:p>
    <w:p w:rsidR="00A951FE" w:rsidRDefault="00B5351E">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A951FE" w:rsidRDefault="00B5351E">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A951FE" w:rsidRDefault="00B5351E">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A951FE" w:rsidRDefault="00B5351E">
      <w:pPr>
        <w:pStyle w:val="1"/>
        <w:spacing w:before="0" w:after="0"/>
        <w:jc w:val="center"/>
        <w:rPr>
          <w:rFonts w:ascii="Times New Roman"/>
          <w:b w:val="0"/>
          <w:sz w:val="30"/>
        </w:rPr>
      </w:pPr>
      <w:bookmarkStart w:id="68" w:name="_Toc95897041"/>
      <w:bookmarkStart w:id="69" w:name="_Toc88482735"/>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8"/>
      <w:bookmarkEnd w:id="69"/>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w:t>
      </w:r>
      <w:proofErr w:type="gramStart"/>
      <w:r>
        <w:rPr>
          <w:rFonts w:ascii="宋体" w:hAnsi="宋体" w:hint="eastAsia"/>
          <w:sz w:val="18"/>
          <w:szCs w:val="18"/>
        </w:rPr>
        <w:t>上渠道</w:t>
      </w:r>
      <w:proofErr w:type="gramEnd"/>
      <w:r>
        <w:rPr>
          <w:rFonts w:ascii="宋体" w:hAnsi="宋体" w:hint="eastAsia"/>
          <w:sz w:val="18"/>
          <w:szCs w:val="18"/>
        </w:rPr>
        <w:t>购买本产品的，</w:t>
      </w:r>
      <w:r>
        <w:rPr>
          <w:rFonts w:ascii="黑体" w:eastAsia="黑体" w:hAnsi="黑体" w:hint="eastAsia"/>
          <w:sz w:val="18"/>
          <w:szCs w:val="18"/>
        </w:rPr>
        <w:t>本协议自投资者在系统中点击确认则视为签署。</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A951FE" w:rsidRDefault="00B5351E">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A951FE" w:rsidRDefault="00B5351E">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w:t>
      </w:r>
      <w:proofErr w:type="gramStart"/>
      <w:r>
        <w:rPr>
          <w:rFonts w:ascii="宋体" w:hAnsi="宋体" w:hint="eastAsia"/>
          <w:sz w:val="18"/>
          <w:szCs w:val="18"/>
        </w:rPr>
        <w:t>可</w:t>
      </w:r>
      <w:proofErr w:type="gramEnd"/>
      <w:r>
        <w:rPr>
          <w:rFonts w:ascii="宋体" w:hAnsi="宋体" w:hint="eastAsia"/>
          <w:sz w:val="18"/>
          <w:szCs w:val="18"/>
        </w:rPr>
        <w:t>执行性不受影响。</w:t>
      </w:r>
    </w:p>
    <w:p w:rsidR="00A951FE" w:rsidRDefault="00B5351E">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A951FE" w:rsidRDefault="00B5351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A951FE" w:rsidRDefault="00B5351E">
      <w:pPr>
        <w:pStyle w:val="1"/>
        <w:spacing w:before="0" w:after="0"/>
        <w:jc w:val="center"/>
        <w:rPr>
          <w:rFonts w:ascii="Times New Roman"/>
          <w:b w:val="0"/>
          <w:sz w:val="30"/>
        </w:rPr>
      </w:pPr>
      <w:bookmarkStart w:id="70" w:name="_Toc88482736"/>
      <w:bookmarkStart w:id="71" w:name="_Toc95897042"/>
      <w:bookmarkStart w:id="72" w:name="_Toc77953869"/>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70"/>
      <w:bookmarkEnd w:id="71"/>
      <w:bookmarkEnd w:id="72"/>
      <w:r>
        <w:rPr>
          <w:rFonts w:ascii="Times New Roman" w:hint="eastAsia"/>
          <w:color w:val="auto"/>
          <w:sz w:val="30"/>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73" w:name="_Hlk64707831"/>
      <w:r>
        <w:rPr>
          <w:rFonts w:ascii="黑体" w:eastAsia="黑体" w:hAnsi="黑体" w:hint="eastAsia"/>
          <w:sz w:val="18"/>
          <w:szCs w:val="18"/>
        </w:rPr>
        <w:t>1、产品管理人：兴银理财有限责任公司</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73"/>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A951FE" w:rsidRDefault="00B5351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A951FE" w:rsidRDefault="00A951FE">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4"/>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A951FE">
        <w:tc>
          <w:tcPr>
            <w:tcW w:w="8524" w:type="dxa"/>
            <w:gridSpan w:val="5"/>
          </w:tcPr>
          <w:bookmarkEnd w:id="62"/>
          <w:bookmarkEnd w:id="63"/>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A951FE">
        <w:trPr>
          <w:trHeight w:val="527"/>
        </w:trPr>
        <w:tc>
          <w:tcPr>
            <w:tcW w:w="1403"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A951FE" w:rsidRDefault="00B5351E">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w:t>
            </w:r>
          </w:p>
        </w:tc>
      </w:tr>
      <w:tr w:rsidR="00A951FE">
        <w:trPr>
          <w:trHeight w:val="527"/>
        </w:trPr>
        <w:tc>
          <w:tcPr>
            <w:tcW w:w="1403"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A951FE" w:rsidRDefault="00B5351E">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【】类份额</w:t>
            </w:r>
          </w:p>
        </w:tc>
      </w:tr>
      <w:tr w:rsidR="00A951FE">
        <w:trPr>
          <w:trHeight w:val="527"/>
        </w:trPr>
        <w:tc>
          <w:tcPr>
            <w:tcW w:w="1403" w:type="dxa"/>
            <w:gridSpan w:val="2"/>
            <w:vMerge w:val="restart"/>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A951FE" w:rsidRDefault="00B5351E">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A951FE">
        <w:trPr>
          <w:trHeight w:val="490"/>
        </w:trPr>
        <w:tc>
          <w:tcPr>
            <w:tcW w:w="1403" w:type="dxa"/>
            <w:gridSpan w:val="2"/>
            <w:vMerge/>
          </w:tcPr>
          <w:p w:rsidR="00A951FE" w:rsidRDefault="00A951FE">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申购</w:t>
            </w:r>
          </w:p>
        </w:tc>
        <w:tc>
          <w:tcPr>
            <w:tcW w:w="5987" w:type="dxa"/>
            <w:vAlign w:val="center"/>
          </w:tcPr>
          <w:p w:rsidR="00A951FE" w:rsidRDefault="00B5351E">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A951FE">
        <w:trPr>
          <w:trHeight w:val="452"/>
        </w:trPr>
        <w:tc>
          <w:tcPr>
            <w:tcW w:w="1403" w:type="dxa"/>
            <w:gridSpan w:val="2"/>
            <w:vMerge/>
          </w:tcPr>
          <w:p w:rsidR="00A951FE" w:rsidRDefault="00A951FE">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赎回</w:t>
            </w:r>
          </w:p>
        </w:tc>
        <w:tc>
          <w:tcPr>
            <w:tcW w:w="5987" w:type="dxa"/>
            <w:vAlign w:val="center"/>
          </w:tcPr>
          <w:p w:rsidR="00A951FE" w:rsidRDefault="00B5351E">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tr w:rsidR="00A951FE">
        <w:trPr>
          <w:trHeight w:val="441"/>
        </w:trPr>
        <w:tc>
          <w:tcPr>
            <w:tcW w:w="1403"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
        </w:tc>
      </w:tr>
      <w:tr w:rsidR="00A951FE">
        <w:trPr>
          <w:trHeight w:val="329"/>
        </w:trPr>
        <w:tc>
          <w:tcPr>
            <w:tcW w:w="8524" w:type="dxa"/>
            <w:gridSpan w:val="5"/>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A951FE">
        <w:tc>
          <w:tcPr>
            <w:tcW w:w="675" w:type="dxa"/>
            <w:vAlign w:val="center"/>
          </w:tcPr>
          <w:p w:rsidR="00A951FE" w:rsidRDefault="00B5351E">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A951FE" w:rsidRDefault="00B5351E">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A951FE" w:rsidRDefault="00B5351E">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A951FE" w:rsidRDefault="00B5351E">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A951FE" w:rsidRDefault="00B5351E">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w:t>
            </w:r>
            <w:proofErr w:type="gramStart"/>
            <w:r>
              <w:rPr>
                <w:rFonts w:ascii="黑体" w:eastAsia="黑体" w:hAnsi="黑体" w:hint="eastAsia"/>
                <w:sz w:val="18"/>
                <w:szCs w:val="18"/>
              </w:rPr>
              <w:t>做风</w:t>
            </w:r>
            <w:proofErr w:type="gramEnd"/>
            <w:r>
              <w:rPr>
                <w:rFonts w:ascii="黑体" w:eastAsia="黑体" w:hAnsi="黑体" w:hint="eastAsia"/>
                <w:sz w:val="18"/>
                <w:szCs w:val="18"/>
              </w:rPr>
              <w:t>险提示，愿意承担投资风险，现决定认购/申购/赎回，并授权产品管理人根据投资方案进行投资。</w:t>
            </w:r>
          </w:p>
        </w:tc>
      </w:tr>
      <w:tr w:rsidR="00A951FE">
        <w:trPr>
          <w:trHeight w:hRule="exact" w:val="1014"/>
        </w:trPr>
        <w:tc>
          <w:tcPr>
            <w:tcW w:w="675" w:type="dxa"/>
            <w:vMerge w:val="restart"/>
            <w:vAlign w:val="center"/>
          </w:tcPr>
          <w:p w:rsidR="00A951FE" w:rsidRDefault="00B5351E">
            <w:pPr>
              <w:spacing w:line="360" w:lineRule="auto"/>
              <w:jc w:val="center"/>
              <w:rPr>
                <w:b/>
                <w:sz w:val="18"/>
                <w:szCs w:val="18"/>
              </w:rPr>
            </w:pPr>
            <w:r>
              <w:rPr>
                <w:rFonts w:hint="eastAsia"/>
                <w:b/>
                <w:sz w:val="18"/>
                <w:szCs w:val="18"/>
              </w:rPr>
              <w:t>投资者签署栏</w:t>
            </w:r>
          </w:p>
        </w:tc>
        <w:tc>
          <w:tcPr>
            <w:tcW w:w="851" w:type="dxa"/>
            <w:gridSpan w:val="2"/>
          </w:tcPr>
          <w:p w:rsidR="00A951FE" w:rsidRDefault="00B5351E">
            <w:pPr>
              <w:spacing w:line="360" w:lineRule="auto"/>
              <w:rPr>
                <w:b/>
                <w:sz w:val="18"/>
                <w:szCs w:val="18"/>
              </w:rPr>
            </w:pPr>
            <w:r>
              <w:rPr>
                <w:rFonts w:hint="eastAsia"/>
                <w:b/>
                <w:sz w:val="18"/>
                <w:szCs w:val="18"/>
              </w:rPr>
              <w:t>个人投资者适用</w:t>
            </w:r>
          </w:p>
        </w:tc>
        <w:tc>
          <w:tcPr>
            <w:tcW w:w="6998" w:type="dxa"/>
            <w:gridSpan w:val="2"/>
          </w:tcPr>
          <w:p w:rsidR="00A951FE" w:rsidRDefault="00B5351E">
            <w:pPr>
              <w:spacing w:line="360" w:lineRule="auto"/>
              <w:rPr>
                <w:sz w:val="18"/>
                <w:szCs w:val="18"/>
              </w:rPr>
            </w:pPr>
            <w:r>
              <w:rPr>
                <w:rFonts w:hint="eastAsia"/>
                <w:sz w:val="18"/>
                <w:szCs w:val="18"/>
              </w:rPr>
              <w:t>投资者（签字）：</w:t>
            </w:r>
          </w:p>
          <w:p w:rsidR="00A951FE" w:rsidRDefault="00A951FE">
            <w:pPr>
              <w:spacing w:line="360" w:lineRule="auto"/>
              <w:rPr>
                <w:b/>
                <w:sz w:val="18"/>
                <w:szCs w:val="18"/>
              </w:rPr>
            </w:pPr>
          </w:p>
          <w:p w:rsidR="00A951FE" w:rsidRDefault="00B5351E">
            <w:pPr>
              <w:spacing w:line="360" w:lineRule="auto"/>
              <w:rPr>
                <w:b/>
                <w:sz w:val="18"/>
                <w:szCs w:val="18"/>
              </w:rPr>
            </w:pPr>
            <w:r>
              <w:rPr>
                <w:rFonts w:hint="eastAsia"/>
                <w:sz w:val="18"/>
                <w:szCs w:val="18"/>
              </w:rPr>
              <w:t>日期：</w:t>
            </w:r>
          </w:p>
        </w:tc>
      </w:tr>
      <w:tr w:rsidR="00A951FE">
        <w:tc>
          <w:tcPr>
            <w:tcW w:w="675" w:type="dxa"/>
            <w:vMerge/>
          </w:tcPr>
          <w:p w:rsidR="00A951FE" w:rsidRDefault="00A951FE">
            <w:pPr>
              <w:spacing w:line="360" w:lineRule="auto"/>
              <w:rPr>
                <w:b/>
                <w:sz w:val="18"/>
                <w:szCs w:val="18"/>
              </w:rPr>
            </w:pPr>
          </w:p>
        </w:tc>
        <w:tc>
          <w:tcPr>
            <w:tcW w:w="851" w:type="dxa"/>
            <w:gridSpan w:val="2"/>
          </w:tcPr>
          <w:p w:rsidR="00A951FE" w:rsidRDefault="00B5351E">
            <w:pPr>
              <w:spacing w:line="360" w:lineRule="auto"/>
              <w:rPr>
                <w:b/>
                <w:sz w:val="18"/>
                <w:szCs w:val="18"/>
              </w:rPr>
            </w:pPr>
            <w:r>
              <w:rPr>
                <w:rFonts w:hint="eastAsia"/>
                <w:b/>
                <w:sz w:val="18"/>
                <w:szCs w:val="18"/>
              </w:rPr>
              <w:t>机构投资者适用</w:t>
            </w:r>
          </w:p>
        </w:tc>
        <w:tc>
          <w:tcPr>
            <w:tcW w:w="6998" w:type="dxa"/>
            <w:gridSpan w:val="2"/>
          </w:tcPr>
          <w:p w:rsidR="00A951FE" w:rsidRDefault="00B5351E">
            <w:pPr>
              <w:spacing w:line="360" w:lineRule="auto"/>
              <w:rPr>
                <w:rFonts w:cs="Arial"/>
                <w:sz w:val="18"/>
                <w:szCs w:val="18"/>
              </w:rPr>
            </w:pPr>
            <w:r>
              <w:rPr>
                <w:rFonts w:hint="eastAsia"/>
                <w:sz w:val="18"/>
                <w:szCs w:val="18"/>
              </w:rPr>
              <w:t>投资者</w:t>
            </w:r>
            <w:r>
              <w:rPr>
                <w:rFonts w:cs="Arial" w:hint="eastAsia"/>
                <w:sz w:val="18"/>
                <w:szCs w:val="18"/>
              </w:rPr>
              <w:t>（盖章）：</w:t>
            </w:r>
          </w:p>
          <w:p w:rsidR="00A951FE" w:rsidRDefault="00A951FE">
            <w:pPr>
              <w:spacing w:line="360" w:lineRule="auto"/>
              <w:rPr>
                <w:rFonts w:cs="Arial"/>
                <w:sz w:val="18"/>
                <w:szCs w:val="18"/>
              </w:rPr>
            </w:pPr>
          </w:p>
          <w:p w:rsidR="00A951FE" w:rsidRDefault="00B5351E">
            <w:pPr>
              <w:spacing w:line="360" w:lineRule="auto"/>
              <w:rPr>
                <w:rFonts w:cs="Arial"/>
                <w:sz w:val="18"/>
                <w:szCs w:val="18"/>
              </w:rPr>
            </w:pPr>
            <w:r>
              <w:rPr>
                <w:rFonts w:cs="Arial" w:hint="eastAsia"/>
                <w:sz w:val="18"/>
                <w:szCs w:val="18"/>
              </w:rPr>
              <w:t>投资者法定代表人或授权代理人（签字或盖章）：</w:t>
            </w:r>
          </w:p>
          <w:p w:rsidR="00A951FE" w:rsidRDefault="00A951FE">
            <w:pPr>
              <w:spacing w:line="360" w:lineRule="auto"/>
              <w:rPr>
                <w:b/>
                <w:sz w:val="18"/>
                <w:szCs w:val="18"/>
              </w:rPr>
            </w:pPr>
          </w:p>
          <w:p w:rsidR="00A951FE" w:rsidRDefault="00B5351E">
            <w:pPr>
              <w:spacing w:line="360" w:lineRule="auto"/>
              <w:rPr>
                <w:sz w:val="18"/>
                <w:szCs w:val="18"/>
              </w:rPr>
            </w:pPr>
            <w:r>
              <w:rPr>
                <w:rFonts w:hint="eastAsia"/>
                <w:sz w:val="18"/>
                <w:szCs w:val="18"/>
              </w:rPr>
              <w:t>日期：</w:t>
            </w:r>
          </w:p>
        </w:tc>
      </w:tr>
    </w:tbl>
    <w:p w:rsidR="00A951FE" w:rsidRDefault="00B5351E">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w:t>
      </w:r>
      <w:proofErr w:type="gramStart"/>
      <w:r>
        <w:rPr>
          <w:rFonts w:ascii="宋体" w:hAnsi="宋体" w:cs="Arial" w:hint="eastAsia"/>
          <w:b/>
          <w:sz w:val="18"/>
          <w:szCs w:val="18"/>
        </w:rPr>
        <w:t>联销售</w:t>
      </w:r>
      <w:proofErr w:type="gramEnd"/>
      <w:r>
        <w:rPr>
          <w:rFonts w:ascii="宋体" w:hAnsi="宋体" w:cs="Arial" w:hint="eastAsia"/>
          <w:b/>
          <w:sz w:val="18"/>
          <w:szCs w:val="18"/>
        </w:rPr>
        <w:t>机构留存，第二联投资者留存，第三联产品管理人留存</w:t>
      </w:r>
      <w:r>
        <w:rPr>
          <w:rFonts w:ascii="宋体" w:hAnsi="宋体" w:hint="eastAsia"/>
          <w:b/>
          <w:sz w:val="18"/>
          <w:szCs w:val="18"/>
        </w:rPr>
        <w:t>。）</w:t>
      </w:r>
    </w:p>
    <w:sectPr w:rsidR="00A951FE">
      <w:pgSz w:w="11906" w:h="16838"/>
      <w:pgMar w:top="1440" w:right="1800" w:bottom="1440" w:left="1800" w:header="567"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423" w:rsidRDefault="009E7423">
      <w:r>
        <w:separator/>
      </w:r>
    </w:p>
  </w:endnote>
  <w:endnote w:type="continuationSeparator" w:id="0">
    <w:p w:rsidR="009E7423" w:rsidRDefault="009E7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0000000000000000000"/>
    <w:charset w:val="86"/>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A951FE" w:rsidRDefault="00B5351E">
        <w:pPr>
          <w:pStyle w:val="aa"/>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EF109F">
          <w:rPr>
            <w:noProof/>
            <w:lang w:val="zh-CN"/>
          </w:rPr>
          <w:t>10</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423" w:rsidRDefault="009E7423">
      <w:r>
        <w:separator/>
      </w:r>
    </w:p>
  </w:footnote>
  <w:footnote w:type="continuationSeparator" w:id="0">
    <w:p w:rsidR="009E7423" w:rsidRDefault="009E7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1FE" w:rsidRDefault="00B5351E">
    <w:pPr>
      <w:pStyle w:val="ab"/>
      <w:pBdr>
        <w:bottom w:val="thickThinLargeGap" w:sz="24" w:space="10" w:color="auto"/>
      </w:pBdr>
      <w:tabs>
        <w:tab w:val="right" w:pos="8280"/>
      </w:tabs>
      <w:wordWrap w:val="0"/>
      <w:adjustRightInd w:val="0"/>
      <w:jc w:val="right"/>
      <w:rPr>
        <w:b/>
      </w:rPr>
    </w:pPr>
    <w:r>
      <w:rPr>
        <w:rFonts w:hint="eastAsia"/>
        <w:b/>
      </w:rPr>
      <w:t>投资协议书</w:t>
    </w:r>
  </w:p>
  <w:p w:rsidR="00A951FE" w:rsidRDefault="00B5351E">
    <w:pPr>
      <w:pStyle w:val="ab"/>
      <w:pBdr>
        <w:bottom w:val="thickThinLargeGap" w:sz="24" w:space="10" w:color="auto"/>
      </w:pBdr>
      <w:tabs>
        <w:tab w:val="right" w:pos="8280"/>
      </w:tabs>
      <w:wordWrap w:val="0"/>
      <w:adjustRightInd w:val="0"/>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6A1"/>
    <w:rsid w:val="00001E2E"/>
    <w:rsid w:val="00002088"/>
    <w:rsid w:val="000047F2"/>
    <w:rsid w:val="000052BD"/>
    <w:rsid w:val="00006526"/>
    <w:rsid w:val="000073F3"/>
    <w:rsid w:val="0001172D"/>
    <w:rsid w:val="00012205"/>
    <w:rsid w:val="0001389C"/>
    <w:rsid w:val="000141A7"/>
    <w:rsid w:val="000209B7"/>
    <w:rsid w:val="00021451"/>
    <w:rsid w:val="000215C7"/>
    <w:rsid w:val="00021BF7"/>
    <w:rsid w:val="00023F0A"/>
    <w:rsid w:val="0002724F"/>
    <w:rsid w:val="00030239"/>
    <w:rsid w:val="0003198D"/>
    <w:rsid w:val="00032F2C"/>
    <w:rsid w:val="000345D6"/>
    <w:rsid w:val="000365A1"/>
    <w:rsid w:val="0004166F"/>
    <w:rsid w:val="00042221"/>
    <w:rsid w:val="00042E95"/>
    <w:rsid w:val="00045C60"/>
    <w:rsid w:val="00045FF7"/>
    <w:rsid w:val="00055256"/>
    <w:rsid w:val="00055E1D"/>
    <w:rsid w:val="00060AA2"/>
    <w:rsid w:val="0006286C"/>
    <w:rsid w:val="00063E11"/>
    <w:rsid w:val="00065143"/>
    <w:rsid w:val="00067077"/>
    <w:rsid w:val="00067E29"/>
    <w:rsid w:val="0007676B"/>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5A7D"/>
    <w:rsid w:val="00116696"/>
    <w:rsid w:val="00117923"/>
    <w:rsid w:val="00123583"/>
    <w:rsid w:val="001249B1"/>
    <w:rsid w:val="00124ADF"/>
    <w:rsid w:val="001256B2"/>
    <w:rsid w:val="00125A39"/>
    <w:rsid w:val="00136F50"/>
    <w:rsid w:val="00145951"/>
    <w:rsid w:val="00145FB3"/>
    <w:rsid w:val="00150F88"/>
    <w:rsid w:val="00151C5F"/>
    <w:rsid w:val="00153821"/>
    <w:rsid w:val="00153A6A"/>
    <w:rsid w:val="0015605F"/>
    <w:rsid w:val="00156B9B"/>
    <w:rsid w:val="00166F3C"/>
    <w:rsid w:val="001676C5"/>
    <w:rsid w:val="001719A6"/>
    <w:rsid w:val="00172A27"/>
    <w:rsid w:val="001739F3"/>
    <w:rsid w:val="00174864"/>
    <w:rsid w:val="00176250"/>
    <w:rsid w:val="001767D5"/>
    <w:rsid w:val="00180944"/>
    <w:rsid w:val="00181F8E"/>
    <w:rsid w:val="00183919"/>
    <w:rsid w:val="00184F16"/>
    <w:rsid w:val="001913D5"/>
    <w:rsid w:val="0019368D"/>
    <w:rsid w:val="00196A1D"/>
    <w:rsid w:val="001A0DEE"/>
    <w:rsid w:val="001A331C"/>
    <w:rsid w:val="001A3B4F"/>
    <w:rsid w:val="001B3D1B"/>
    <w:rsid w:val="001C2E83"/>
    <w:rsid w:val="001C5549"/>
    <w:rsid w:val="001C5FB8"/>
    <w:rsid w:val="001C627B"/>
    <w:rsid w:val="001C680A"/>
    <w:rsid w:val="001C6A43"/>
    <w:rsid w:val="001D33CF"/>
    <w:rsid w:val="001D5339"/>
    <w:rsid w:val="001D5DA7"/>
    <w:rsid w:val="001D6D21"/>
    <w:rsid w:val="001E09D0"/>
    <w:rsid w:val="001E0B5B"/>
    <w:rsid w:val="001E22BC"/>
    <w:rsid w:val="001E4956"/>
    <w:rsid w:val="001E604C"/>
    <w:rsid w:val="001E7309"/>
    <w:rsid w:val="001F0442"/>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373D3"/>
    <w:rsid w:val="00241D65"/>
    <w:rsid w:val="00244658"/>
    <w:rsid w:val="00246158"/>
    <w:rsid w:val="002464CF"/>
    <w:rsid w:val="00246E81"/>
    <w:rsid w:val="002476E6"/>
    <w:rsid w:val="00252015"/>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DF5"/>
    <w:rsid w:val="002B659B"/>
    <w:rsid w:val="002B661B"/>
    <w:rsid w:val="002B66DC"/>
    <w:rsid w:val="002C13C1"/>
    <w:rsid w:val="002C27E7"/>
    <w:rsid w:val="002C3012"/>
    <w:rsid w:val="002C7D8E"/>
    <w:rsid w:val="002D121A"/>
    <w:rsid w:val="002D407E"/>
    <w:rsid w:val="002E0E0E"/>
    <w:rsid w:val="002E2C93"/>
    <w:rsid w:val="002E388A"/>
    <w:rsid w:val="002E4681"/>
    <w:rsid w:val="002E6E2C"/>
    <w:rsid w:val="002F1BB8"/>
    <w:rsid w:val="002F1C19"/>
    <w:rsid w:val="002F228E"/>
    <w:rsid w:val="002F3164"/>
    <w:rsid w:val="002F354F"/>
    <w:rsid w:val="002F467D"/>
    <w:rsid w:val="002F5D80"/>
    <w:rsid w:val="002F6D00"/>
    <w:rsid w:val="002F7889"/>
    <w:rsid w:val="003018A8"/>
    <w:rsid w:val="003052A7"/>
    <w:rsid w:val="00306441"/>
    <w:rsid w:val="003161C7"/>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071"/>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1B14"/>
    <w:rsid w:val="004132EA"/>
    <w:rsid w:val="004134A1"/>
    <w:rsid w:val="00414562"/>
    <w:rsid w:val="0042301D"/>
    <w:rsid w:val="00423612"/>
    <w:rsid w:val="00424866"/>
    <w:rsid w:val="00426FD8"/>
    <w:rsid w:val="00431E1F"/>
    <w:rsid w:val="00433900"/>
    <w:rsid w:val="00435E5C"/>
    <w:rsid w:val="00436CF2"/>
    <w:rsid w:val="00437361"/>
    <w:rsid w:val="00444664"/>
    <w:rsid w:val="00444AD5"/>
    <w:rsid w:val="00445CFA"/>
    <w:rsid w:val="00446E41"/>
    <w:rsid w:val="00446FBB"/>
    <w:rsid w:val="0045304A"/>
    <w:rsid w:val="004530E2"/>
    <w:rsid w:val="0045487E"/>
    <w:rsid w:val="0045508F"/>
    <w:rsid w:val="00460B00"/>
    <w:rsid w:val="00467615"/>
    <w:rsid w:val="004727C4"/>
    <w:rsid w:val="00477E43"/>
    <w:rsid w:val="00481A9B"/>
    <w:rsid w:val="00483EB5"/>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D117B"/>
    <w:rsid w:val="004E08AE"/>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82A"/>
    <w:rsid w:val="0056024C"/>
    <w:rsid w:val="005602FE"/>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C4BF6"/>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33F02"/>
    <w:rsid w:val="00640E2B"/>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769CF"/>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2B7"/>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35E0"/>
    <w:rsid w:val="006F4C91"/>
    <w:rsid w:val="006F6966"/>
    <w:rsid w:val="006F6C9E"/>
    <w:rsid w:val="007003CA"/>
    <w:rsid w:val="00705A9A"/>
    <w:rsid w:val="00705AB8"/>
    <w:rsid w:val="00716497"/>
    <w:rsid w:val="00720B3A"/>
    <w:rsid w:val="007216E0"/>
    <w:rsid w:val="007219F7"/>
    <w:rsid w:val="00726D7A"/>
    <w:rsid w:val="00731391"/>
    <w:rsid w:val="00731CC4"/>
    <w:rsid w:val="0073299F"/>
    <w:rsid w:val="00734BC4"/>
    <w:rsid w:val="007369E8"/>
    <w:rsid w:val="00737544"/>
    <w:rsid w:val="00737E91"/>
    <w:rsid w:val="00741156"/>
    <w:rsid w:val="0074401B"/>
    <w:rsid w:val="00744F5D"/>
    <w:rsid w:val="007512CC"/>
    <w:rsid w:val="007567D7"/>
    <w:rsid w:val="00757C87"/>
    <w:rsid w:val="0076256C"/>
    <w:rsid w:val="00764FE5"/>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E0F86"/>
    <w:rsid w:val="007E1220"/>
    <w:rsid w:val="007E3D32"/>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1572"/>
    <w:rsid w:val="00833DA0"/>
    <w:rsid w:val="00837439"/>
    <w:rsid w:val="0084117B"/>
    <w:rsid w:val="00842ECC"/>
    <w:rsid w:val="00844C52"/>
    <w:rsid w:val="00844FAC"/>
    <w:rsid w:val="00847D06"/>
    <w:rsid w:val="00851AD6"/>
    <w:rsid w:val="008526AD"/>
    <w:rsid w:val="00852A74"/>
    <w:rsid w:val="00853C9B"/>
    <w:rsid w:val="0085467A"/>
    <w:rsid w:val="00855E29"/>
    <w:rsid w:val="00856912"/>
    <w:rsid w:val="00862721"/>
    <w:rsid w:val="00863B57"/>
    <w:rsid w:val="00870710"/>
    <w:rsid w:val="00870D3C"/>
    <w:rsid w:val="00871266"/>
    <w:rsid w:val="00871450"/>
    <w:rsid w:val="008739A5"/>
    <w:rsid w:val="008840F3"/>
    <w:rsid w:val="00895DC9"/>
    <w:rsid w:val="008A3830"/>
    <w:rsid w:val="008A5426"/>
    <w:rsid w:val="008A6706"/>
    <w:rsid w:val="008B0B17"/>
    <w:rsid w:val="008B1FC9"/>
    <w:rsid w:val="008B20D2"/>
    <w:rsid w:val="008B3D15"/>
    <w:rsid w:val="008B4562"/>
    <w:rsid w:val="008B5D1E"/>
    <w:rsid w:val="008B60CD"/>
    <w:rsid w:val="008B64A4"/>
    <w:rsid w:val="008C1F51"/>
    <w:rsid w:val="008C41BB"/>
    <w:rsid w:val="008C4E5E"/>
    <w:rsid w:val="008C77FD"/>
    <w:rsid w:val="008D0202"/>
    <w:rsid w:val="008D0B1A"/>
    <w:rsid w:val="008D1177"/>
    <w:rsid w:val="008D43FD"/>
    <w:rsid w:val="008E5137"/>
    <w:rsid w:val="008E5682"/>
    <w:rsid w:val="008E67DB"/>
    <w:rsid w:val="008E6FBA"/>
    <w:rsid w:val="008F0E09"/>
    <w:rsid w:val="008F14E7"/>
    <w:rsid w:val="008F24C8"/>
    <w:rsid w:val="00905340"/>
    <w:rsid w:val="0090798A"/>
    <w:rsid w:val="00907AEC"/>
    <w:rsid w:val="00911B78"/>
    <w:rsid w:val="009122AA"/>
    <w:rsid w:val="00914791"/>
    <w:rsid w:val="0091725B"/>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820"/>
    <w:rsid w:val="00983DF9"/>
    <w:rsid w:val="00987518"/>
    <w:rsid w:val="009917A6"/>
    <w:rsid w:val="00993714"/>
    <w:rsid w:val="009969BB"/>
    <w:rsid w:val="009A14A5"/>
    <w:rsid w:val="009A42BC"/>
    <w:rsid w:val="009B0C9E"/>
    <w:rsid w:val="009B1C9C"/>
    <w:rsid w:val="009B2C85"/>
    <w:rsid w:val="009B5BC2"/>
    <w:rsid w:val="009C2069"/>
    <w:rsid w:val="009C521A"/>
    <w:rsid w:val="009C6F8E"/>
    <w:rsid w:val="009D63B0"/>
    <w:rsid w:val="009D7AA0"/>
    <w:rsid w:val="009E371D"/>
    <w:rsid w:val="009E4C02"/>
    <w:rsid w:val="009E5E1C"/>
    <w:rsid w:val="009E6DAE"/>
    <w:rsid w:val="009E7423"/>
    <w:rsid w:val="009F1537"/>
    <w:rsid w:val="009F29D8"/>
    <w:rsid w:val="009F4C90"/>
    <w:rsid w:val="009F759C"/>
    <w:rsid w:val="009F7CF8"/>
    <w:rsid w:val="00A1042C"/>
    <w:rsid w:val="00A11CB0"/>
    <w:rsid w:val="00A125BC"/>
    <w:rsid w:val="00A17171"/>
    <w:rsid w:val="00A205B4"/>
    <w:rsid w:val="00A20F62"/>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56AD3"/>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D98"/>
    <w:rsid w:val="00A951FE"/>
    <w:rsid w:val="00A9773F"/>
    <w:rsid w:val="00A97F9F"/>
    <w:rsid w:val="00AA0BFE"/>
    <w:rsid w:val="00AA2082"/>
    <w:rsid w:val="00AB009C"/>
    <w:rsid w:val="00AB633E"/>
    <w:rsid w:val="00AB7231"/>
    <w:rsid w:val="00AB7FE4"/>
    <w:rsid w:val="00AC18A8"/>
    <w:rsid w:val="00AC3CEC"/>
    <w:rsid w:val="00AC4A57"/>
    <w:rsid w:val="00AD4F90"/>
    <w:rsid w:val="00AD57C7"/>
    <w:rsid w:val="00AD74DA"/>
    <w:rsid w:val="00AD7F32"/>
    <w:rsid w:val="00AE3332"/>
    <w:rsid w:val="00AE4780"/>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431B"/>
    <w:rsid w:val="00B3762A"/>
    <w:rsid w:val="00B4101D"/>
    <w:rsid w:val="00B41509"/>
    <w:rsid w:val="00B43375"/>
    <w:rsid w:val="00B45C5E"/>
    <w:rsid w:val="00B52FAD"/>
    <w:rsid w:val="00B5351E"/>
    <w:rsid w:val="00B56276"/>
    <w:rsid w:val="00B606E5"/>
    <w:rsid w:val="00B606E6"/>
    <w:rsid w:val="00B61A35"/>
    <w:rsid w:val="00B65218"/>
    <w:rsid w:val="00B66F01"/>
    <w:rsid w:val="00B70428"/>
    <w:rsid w:val="00B70DB8"/>
    <w:rsid w:val="00B72632"/>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E98"/>
    <w:rsid w:val="00BC4611"/>
    <w:rsid w:val="00BC68AA"/>
    <w:rsid w:val="00BD020C"/>
    <w:rsid w:val="00BD0D17"/>
    <w:rsid w:val="00BD4663"/>
    <w:rsid w:val="00BD6425"/>
    <w:rsid w:val="00BE4092"/>
    <w:rsid w:val="00BF0849"/>
    <w:rsid w:val="00BF33D6"/>
    <w:rsid w:val="00BF3E98"/>
    <w:rsid w:val="00C00374"/>
    <w:rsid w:val="00C02553"/>
    <w:rsid w:val="00C02E9B"/>
    <w:rsid w:val="00C041E1"/>
    <w:rsid w:val="00C07640"/>
    <w:rsid w:val="00C07F32"/>
    <w:rsid w:val="00C10A0B"/>
    <w:rsid w:val="00C11510"/>
    <w:rsid w:val="00C12A4D"/>
    <w:rsid w:val="00C133AC"/>
    <w:rsid w:val="00C149B9"/>
    <w:rsid w:val="00C16ED4"/>
    <w:rsid w:val="00C17007"/>
    <w:rsid w:val="00C226AB"/>
    <w:rsid w:val="00C266C0"/>
    <w:rsid w:val="00C27CD2"/>
    <w:rsid w:val="00C320BC"/>
    <w:rsid w:val="00C32A5C"/>
    <w:rsid w:val="00C348DE"/>
    <w:rsid w:val="00C349B7"/>
    <w:rsid w:val="00C3641F"/>
    <w:rsid w:val="00C40580"/>
    <w:rsid w:val="00C4092B"/>
    <w:rsid w:val="00C4198D"/>
    <w:rsid w:val="00C41A12"/>
    <w:rsid w:val="00C41D76"/>
    <w:rsid w:val="00C46269"/>
    <w:rsid w:val="00C5061E"/>
    <w:rsid w:val="00C527BF"/>
    <w:rsid w:val="00C550E2"/>
    <w:rsid w:val="00C561B4"/>
    <w:rsid w:val="00C569F3"/>
    <w:rsid w:val="00C57F3A"/>
    <w:rsid w:val="00C6524D"/>
    <w:rsid w:val="00C6577D"/>
    <w:rsid w:val="00C66942"/>
    <w:rsid w:val="00C80014"/>
    <w:rsid w:val="00C90BFF"/>
    <w:rsid w:val="00C9379A"/>
    <w:rsid w:val="00C95DF3"/>
    <w:rsid w:val="00C97D8A"/>
    <w:rsid w:val="00C97F28"/>
    <w:rsid w:val="00CA42AB"/>
    <w:rsid w:val="00CA504C"/>
    <w:rsid w:val="00CA767B"/>
    <w:rsid w:val="00CB118D"/>
    <w:rsid w:val="00CB24A2"/>
    <w:rsid w:val="00CC153D"/>
    <w:rsid w:val="00CC5DA1"/>
    <w:rsid w:val="00CD1A38"/>
    <w:rsid w:val="00CD1ED6"/>
    <w:rsid w:val="00CD4530"/>
    <w:rsid w:val="00CE04EA"/>
    <w:rsid w:val="00CE21A3"/>
    <w:rsid w:val="00CE3D7D"/>
    <w:rsid w:val="00CE5271"/>
    <w:rsid w:val="00CF07E7"/>
    <w:rsid w:val="00CF20EC"/>
    <w:rsid w:val="00D044FA"/>
    <w:rsid w:val="00D06A40"/>
    <w:rsid w:val="00D07F3D"/>
    <w:rsid w:val="00D11889"/>
    <w:rsid w:val="00D143FA"/>
    <w:rsid w:val="00D14989"/>
    <w:rsid w:val="00D1696F"/>
    <w:rsid w:val="00D200E4"/>
    <w:rsid w:val="00D246C7"/>
    <w:rsid w:val="00D330E4"/>
    <w:rsid w:val="00D354C6"/>
    <w:rsid w:val="00D4074A"/>
    <w:rsid w:val="00D4395E"/>
    <w:rsid w:val="00D44376"/>
    <w:rsid w:val="00D4445B"/>
    <w:rsid w:val="00D501A2"/>
    <w:rsid w:val="00D50C49"/>
    <w:rsid w:val="00D51521"/>
    <w:rsid w:val="00D515DA"/>
    <w:rsid w:val="00D57FB6"/>
    <w:rsid w:val="00D62BAC"/>
    <w:rsid w:val="00D66F78"/>
    <w:rsid w:val="00D705DA"/>
    <w:rsid w:val="00D77ADC"/>
    <w:rsid w:val="00D77F0D"/>
    <w:rsid w:val="00D81FE7"/>
    <w:rsid w:val="00D82893"/>
    <w:rsid w:val="00D8308D"/>
    <w:rsid w:val="00D833EB"/>
    <w:rsid w:val="00D837CC"/>
    <w:rsid w:val="00D92526"/>
    <w:rsid w:val="00D9748A"/>
    <w:rsid w:val="00DA43E0"/>
    <w:rsid w:val="00DA5A27"/>
    <w:rsid w:val="00DA6E0E"/>
    <w:rsid w:val="00DA78A9"/>
    <w:rsid w:val="00DA7A2B"/>
    <w:rsid w:val="00DB201C"/>
    <w:rsid w:val="00DB2DB0"/>
    <w:rsid w:val="00DB3857"/>
    <w:rsid w:val="00DB44A2"/>
    <w:rsid w:val="00DC0F23"/>
    <w:rsid w:val="00DC18EE"/>
    <w:rsid w:val="00DC2771"/>
    <w:rsid w:val="00DC295F"/>
    <w:rsid w:val="00DC3C57"/>
    <w:rsid w:val="00DC40E4"/>
    <w:rsid w:val="00DC7C02"/>
    <w:rsid w:val="00DD2FE5"/>
    <w:rsid w:val="00DD6FE7"/>
    <w:rsid w:val="00DF3437"/>
    <w:rsid w:val="00DF3F05"/>
    <w:rsid w:val="00DF6B27"/>
    <w:rsid w:val="00DF749F"/>
    <w:rsid w:val="00DF7FC5"/>
    <w:rsid w:val="00E03447"/>
    <w:rsid w:val="00E03ECE"/>
    <w:rsid w:val="00E0477B"/>
    <w:rsid w:val="00E072D2"/>
    <w:rsid w:val="00E12287"/>
    <w:rsid w:val="00E1770C"/>
    <w:rsid w:val="00E22677"/>
    <w:rsid w:val="00E23CB4"/>
    <w:rsid w:val="00E23CE7"/>
    <w:rsid w:val="00E3045C"/>
    <w:rsid w:val="00E30CD1"/>
    <w:rsid w:val="00E323CD"/>
    <w:rsid w:val="00E34CBA"/>
    <w:rsid w:val="00E35DA5"/>
    <w:rsid w:val="00E36F2B"/>
    <w:rsid w:val="00E37E1A"/>
    <w:rsid w:val="00E4276E"/>
    <w:rsid w:val="00E44D44"/>
    <w:rsid w:val="00E44FFE"/>
    <w:rsid w:val="00E50662"/>
    <w:rsid w:val="00E51C4F"/>
    <w:rsid w:val="00E57E75"/>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5C7"/>
    <w:rsid w:val="00ED2BA5"/>
    <w:rsid w:val="00ED3882"/>
    <w:rsid w:val="00ED3E6B"/>
    <w:rsid w:val="00ED5759"/>
    <w:rsid w:val="00EE183A"/>
    <w:rsid w:val="00EE263C"/>
    <w:rsid w:val="00EE3D96"/>
    <w:rsid w:val="00EE7357"/>
    <w:rsid w:val="00EF109F"/>
    <w:rsid w:val="00EF191E"/>
    <w:rsid w:val="00EF4162"/>
    <w:rsid w:val="00EF6103"/>
    <w:rsid w:val="00F00C67"/>
    <w:rsid w:val="00F0469D"/>
    <w:rsid w:val="00F046EC"/>
    <w:rsid w:val="00F0558F"/>
    <w:rsid w:val="00F05739"/>
    <w:rsid w:val="00F0768A"/>
    <w:rsid w:val="00F07962"/>
    <w:rsid w:val="00F104F1"/>
    <w:rsid w:val="00F12096"/>
    <w:rsid w:val="00F12A59"/>
    <w:rsid w:val="00F12E33"/>
    <w:rsid w:val="00F1386E"/>
    <w:rsid w:val="00F14579"/>
    <w:rsid w:val="00F1470F"/>
    <w:rsid w:val="00F16B95"/>
    <w:rsid w:val="00F16D1C"/>
    <w:rsid w:val="00F2211E"/>
    <w:rsid w:val="00F23DF7"/>
    <w:rsid w:val="00F243AF"/>
    <w:rsid w:val="00F33834"/>
    <w:rsid w:val="00F34661"/>
    <w:rsid w:val="00F3550C"/>
    <w:rsid w:val="00F4075D"/>
    <w:rsid w:val="00F41743"/>
    <w:rsid w:val="00F43CC2"/>
    <w:rsid w:val="00F45279"/>
    <w:rsid w:val="00F45D4D"/>
    <w:rsid w:val="00F477AD"/>
    <w:rsid w:val="00F4787A"/>
    <w:rsid w:val="00F54677"/>
    <w:rsid w:val="00F55612"/>
    <w:rsid w:val="00F56998"/>
    <w:rsid w:val="00F611C6"/>
    <w:rsid w:val="00F640CB"/>
    <w:rsid w:val="00F652FF"/>
    <w:rsid w:val="00F6638A"/>
    <w:rsid w:val="00F6673D"/>
    <w:rsid w:val="00F6765C"/>
    <w:rsid w:val="00F7607C"/>
    <w:rsid w:val="00F845DD"/>
    <w:rsid w:val="00F84ACA"/>
    <w:rsid w:val="00F865A9"/>
    <w:rsid w:val="00F8733E"/>
    <w:rsid w:val="00F913B7"/>
    <w:rsid w:val="00F91EA4"/>
    <w:rsid w:val="00F92464"/>
    <w:rsid w:val="00FA07AA"/>
    <w:rsid w:val="00FA10AA"/>
    <w:rsid w:val="00FA2F7C"/>
    <w:rsid w:val="00FA3BF1"/>
    <w:rsid w:val="00FB0D3D"/>
    <w:rsid w:val="00FB166A"/>
    <w:rsid w:val="00FB7721"/>
    <w:rsid w:val="00FC5827"/>
    <w:rsid w:val="00FC64D6"/>
    <w:rsid w:val="00FC6768"/>
    <w:rsid w:val="00FD08DF"/>
    <w:rsid w:val="00FD4E32"/>
    <w:rsid w:val="00FD771E"/>
    <w:rsid w:val="00FD7F16"/>
    <w:rsid w:val="00FE1886"/>
    <w:rsid w:val="00FE2B6B"/>
    <w:rsid w:val="00FE441D"/>
    <w:rsid w:val="00FF0956"/>
    <w:rsid w:val="00FF46EE"/>
    <w:rsid w:val="0DE20B45"/>
    <w:rsid w:val="0EC469F2"/>
    <w:rsid w:val="149E474A"/>
    <w:rsid w:val="22096B58"/>
    <w:rsid w:val="2DD01BC7"/>
    <w:rsid w:val="314F5290"/>
    <w:rsid w:val="35C863A1"/>
    <w:rsid w:val="373B4A20"/>
    <w:rsid w:val="45F574B3"/>
    <w:rsid w:val="4F9B33E8"/>
    <w:rsid w:val="526821FA"/>
    <w:rsid w:val="5F2557D3"/>
    <w:rsid w:val="648448DA"/>
    <w:rsid w:val="6AAF1C3F"/>
    <w:rsid w:val="6E583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0F304D-4BAA-477E-9B13-627EF4C43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1"/>
    <w:uiPriority w:val="99"/>
    <w:qFormat/>
    <w:pPr>
      <w:jc w:val="left"/>
    </w:pPr>
  </w:style>
  <w:style w:type="paragraph" w:styleId="a5">
    <w:name w:val="Normal Indent"/>
    <w:basedOn w:val="a"/>
    <w:qFormat/>
    <w:pPr>
      <w:ind w:firstLineChars="200" w:firstLine="420"/>
    </w:pPr>
  </w:style>
  <w:style w:type="paragraph" w:styleId="a6">
    <w:name w:val="Document Map"/>
    <w:basedOn w:val="a"/>
    <w:qFormat/>
    <w:pPr>
      <w:shd w:val="clear" w:color="auto" w:fill="000080"/>
    </w:pPr>
  </w:style>
  <w:style w:type="paragraph" w:styleId="a7">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8">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9">
    <w:name w:val="Balloon Text"/>
    <w:basedOn w:val="a"/>
    <w:qFormat/>
    <w:rPr>
      <w:sz w:val="18"/>
    </w:rPr>
  </w:style>
  <w:style w:type="paragraph" w:styleId="aa">
    <w:name w:val="footer"/>
    <w:basedOn w:val="a"/>
    <w:link w:val="Char0"/>
    <w:uiPriority w:val="99"/>
    <w:qFormat/>
    <w:pPr>
      <w:tabs>
        <w:tab w:val="center" w:pos="4153"/>
        <w:tab w:val="right" w:pos="8306"/>
      </w:tabs>
      <w:snapToGrid w:val="0"/>
      <w:jc w:val="left"/>
    </w:pPr>
    <w:rPr>
      <w:sz w:val="18"/>
    </w:rPr>
  </w:style>
  <w:style w:type="paragraph" w:styleId="ab">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c">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d">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3"/>
    <w:qFormat/>
    <w:pPr>
      <w:spacing w:before="240" w:after="60"/>
      <w:jc w:val="center"/>
      <w:outlineLvl w:val="0"/>
    </w:pPr>
    <w:rPr>
      <w:rFonts w:ascii="Cambria" w:hAnsi="Cambria"/>
      <w:b/>
      <w:sz w:val="32"/>
    </w:rPr>
  </w:style>
  <w:style w:type="character" w:styleId="af">
    <w:name w:val="Strong"/>
    <w:uiPriority w:val="22"/>
    <w:qFormat/>
    <w:rPr>
      <w:b/>
      <w:bCs/>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uiPriority w:val="99"/>
    <w:qFormat/>
    <w:rPr>
      <w:sz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e"/>
    <w:qFormat/>
    <w:rPr>
      <w:rFonts w:ascii="Cambria" w:hAnsi="Cambria"/>
      <w:b/>
      <w:kern w:val="2"/>
      <w:sz w:val="32"/>
    </w:rPr>
  </w:style>
  <w:style w:type="character" w:customStyle="1" w:styleId="Char">
    <w:name w:val="正文文本 Char"/>
    <w:link w:val="a7"/>
    <w:qFormat/>
    <w:rPr>
      <w:rFonts w:ascii="宋体"/>
      <w:kern w:val="0"/>
    </w:rPr>
  </w:style>
  <w:style w:type="character" w:customStyle="1" w:styleId="Char2">
    <w:name w:val="页眉 Char"/>
    <w:link w:val="ab"/>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4"/>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a"/>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22">
    <w:name w:val="修订2"/>
    <w:hidden/>
    <w:uiPriority w:val="99"/>
    <w:semiHidden/>
    <w:qFormat/>
    <w:rPr>
      <w:kern w:val="2"/>
      <w:sz w:val="21"/>
    </w:rPr>
  </w:style>
  <w:style w:type="paragraph" w:customStyle="1" w:styleId="32">
    <w:name w:val="修订3"/>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hinawealth.com.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F3ABF-A04A-4D64-B762-7E99281C2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17</Pages>
  <Words>1525</Words>
  <Characters>8698</Characters>
  <Application>Microsoft Office Word</Application>
  <DocSecurity>0</DocSecurity>
  <Lines>72</Lines>
  <Paragraphs>20</Paragraphs>
  <ScaleCrop>false</ScaleCrop>
  <Company>Microsoft</Company>
  <LinksUpToDate>false</LinksUpToDate>
  <CharactersWithSpaces>10203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罗钦</cp:lastModifiedBy>
  <cp:revision>66</cp:revision>
  <cp:lastPrinted>2017-10-31T06:33:00Z</cp:lastPrinted>
  <dcterms:created xsi:type="dcterms:W3CDTF">2021-03-29T01:33:00Z</dcterms:created>
  <dcterms:modified xsi:type="dcterms:W3CDTF">2022-09-19T10:37:00Z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C166FDD168F74BAFB715BD6389AD620E</vt:lpwstr>
  </property>
</Properties>
</file>