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8255" b="13335"/>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r>
        <w:rPr>
          <w:rStyle w:val="12"/>
          <w:rFonts w:hint="eastAsia" w:ascii="黑体" w:hAnsi="黑体" w:eastAsia="黑体" w:cs="宋体"/>
          <w:sz w:val="44"/>
          <w:szCs w:val="44"/>
        </w:rPr>
        <w:t>天天万利宝稳利净值型</w:t>
      </w:r>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10"/>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84" w:type="dxa"/>
          </w:tcPr>
          <w:p>
            <w:pPr>
              <w:pStyle w:val="15"/>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84" w:type="dxa"/>
          </w:tcPr>
          <w:p>
            <w:pPr>
              <w:pStyle w:val="15"/>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5"/>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8255" b="13335"/>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兴银理财【天天万利宝稳利净值型】理财产品</w:t>
      </w: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2"/>
          <w:rFonts w:ascii="宋体" w:hAnsi="宋体"/>
          <w:sz w:val="28"/>
          <w:szCs w:val="28"/>
        </w:rPr>
      </w:pPr>
      <w:bookmarkStart w:id="0" w:name="_Toc139991726"/>
      <w:bookmarkStart w:id="1" w:name="_Toc123112263"/>
      <w:bookmarkStart w:id="2" w:name="_Toc123112224"/>
      <w:bookmarkStart w:id="3" w:name="_Toc139992301"/>
      <w:bookmarkStart w:id="4" w:name="_Toc123701383"/>
      <w:r>
        <w:rPr>
          <w:rStyle w:val="12"/>
          <w:rFonts w:hint="eastAsia" w:ascii="宋体" w:hAnsi="宋体"/>
          <w:sz w:val="28"/>
          <w:szCs w:val="28"/>
        </w:rPr>
        <w:t>理财产品管理人：</w:t>
      </w:r>
      <w:bookmarkEnd w:id="0"/>
      <w:bookmarkEnd w:id="1"/>
      <w:bookmarkEnd w:id="2"/>
      <w:bookmarkEnd w:id="3"/>
      <w:bookmarkEnd w:id="4"/>
      <w:r>
        <w:rPr>
          <w:rStyle w:val="12"/>
          <w:rFonts w:hint="eastAsia" w:ascii="宋体" w:hAnsi="宋体"/>
          <w:sz w:val="28"/>
          <w:szCs w:val="28"/>
        </w:rPr>
        <w:t>兴银理财有限责任公司</w:t>
      </w:r>
    </w:p>
    <w:p>
      <w:pPr>
        <w:adjustRightInd w:val="0"/>
        <w:spacing w:line="360" w:lineRule="auto"/>
        <w:jc w:val="center"/>
        <w:rPr>
          <w:rStyle w:val="12"/>
          <w:rFonts w:ascii="黑体" w:hAnsi="黑体" w:eastAsia="黑体" w:cs="宋体"/>
          <w:sz w:val="28"/>
          <w:szCs w:val="28"/>
        </w:rPr>
      </w:pPr>
      <w:bookmarkStart w:id="5" w:name="_Toc139992302"/>
      <w:bookmarkStart w:id="6" w:name="_Toc123701384"/>
      <w:bookmarkStart w:id="7" w:name="_Toc123112264"/>
      <w:bookmarkStart w:id="8" w:name="_Toc139991727"/>
      <w:bookmarkStart w:id="9" w:name="_Toc123112225"/>
    </w:p>
    <w:bookmarkEnd w:id="5"/>
    <w:bookmarkEnd w:id="6"/>
    <w:bookmarkEnd w:id="7"/>
    <w:bookmarkEnd w:id="8"/>
    <w:bookmarkEnd w:id="9"/>
    <w:p>
      <w:pPr>
        <w:adjustRightInd w:val="0"/>
        <w:spacing w:line="360" w:lineRule="auto"/>
        <w:jc w:val="center"/>
        <w:rPr>
          <w:rStyle w:val="12"/>
          <w:rFonts w:ascii="黑体" w:hAnsi="黑体" w:eastAsia="黑体" w:cs="宋体"/>
          <w:sz w:val="28"/>
          <w:szCs w:val="28"/>
        </w:rPr>
      </w:pPr>
    </w:p>
    <w:p>
      <w:pPr>
        <w:adjustRightInd w:val="0"/>
        <w:spacing w:line="360" w:lineRule="auto"/>
        <w:jc w:val="center"/>
        <w:rPr>
          <w:rStyle w:val="12"/>
          <w:rFonts w:ascii="宋体" w:hAnsi="宋体"/>
          <w:sz w:val="28"/>
          <w:szCs w:val="28"/>
        </w:rPr>
      </w:pPr>
      <w:r>
        <w:rPr>
          <w:rStyle w:val="12"/>
          <w:rFonts w:hint="eastAsia" w:ascii="宋体" w:hAnsi="宋体"/>
          <w:sz w:val="28"/>
          <w:szCs w:val="28"/>
        </w:rPr>
        <w:t>日期</w:t>
      </w:r>
      <w:r>
        <w:rPr>
          <w:rStyle w:val="12"/>
          <w:rFonts w:ascii="宋体" w:hAnsi="宋体"/>
          <w:sz w:val="28"/>
          <w:szCs w:val="28"/>
        </w:rPr>
        <w:t>：</w:t>
      </w:r>
      <w:r>
        <w:rPr>
          <w:rStyle w:val="12"/>
          <w:rFonts w:hint="eastAsia" w:ascii="宋体" w:hAnsi="宋体"/>
          <w:sz w:val="28"/>
          <w:szCs w:val="28"/>
        </w:rPr>
        <w:t>【</w:t>
      </w:r>
      <w:r>
        <w:rPr>
          <w:rStyle w:val="12"/>
          <w:rFonts w:ascii="宋体" w:hAnsi="宋体"/>
          <w:sz w:val="28"/>
          <w:szCs w:val="28"/>
        </w:rPr>
        <w:t>2023</w:t>
      </w:r>
      <w:r>
        <w:rPr>
          <w:rStyle w:val="12"/>
          <w:rFonts w:hint="eastAsia" w:ascii="宋体" w:hAnsi="宋体"/>
          <w:sz w:val="28"/>
          <w:szCs w:val="28"/>
        </w:rPr>
        <w:t>】年【</w:t>
      </w:r>
      <w:r>
        <w:rPr>
          <w:rStyle w:val="12"/>
          <w:rFonts w:ascii="宋体" w:hAnsi="宋体"/>
          <w:sz w:val="28"/>
          <w:szCs w:val="28"/>
        </w:rPr>
        <w:t>7</w:t>
      </w:r>
      <w:r>
        <w:rPr>
          <w:rStyle w:val="12"/>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基准等类似表述不代表投资者可能获得的实际收益，亦不构成产品管理人对本产品的任何收益承诺，仅供投资者进行投资决定时参考。</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8"/>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8"/>
              <w:snapToGrid w:val="0"/>
              <w:spacing w:before="0" w:beforeAutospacing="0" w:after="0" w:afterAutospacing="0"/>
              <w:jc w:val="both"/>
              <w:rPr>
                <w:rFonts w:ascii="黑体" w:hAnsi="黑体" w:eastAsia="黑体"/>
                <w:bCs/>
                <w:sz w:val="18"/>
                <w:szCs w:val="18"/>
              </w:rPr>
            </w:pPr>
          </w:p>
          <w:p>
            <w:pPr>
              <w:pStyle w:val="8"/>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9"/>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【兴业银行天天万利宝稳利2号净值型理财产品M款】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【稳利恒盈M 6个月】</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Z7002020000030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【91119992】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91119992</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6"/>
            <w:spacing w:line="360" w:lineRule="auto"/>
            <w:jc w:val="center"/>
          </w:pPr>
          <w:r>
            <w:rPr>
              <w:lang w:val="zh-CN"/>
            </w:rPr>
            <w:t>目录</w:t>
          </w:r>
        </w:p>
        <w:p>
          <w:pPr>
            <w:pStyle w:val="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701389"/>
      <w:bookmarkStart w:id="15" w:name="_Toc4867"/>
      <w:bookmarkStart w:id="16" w:name="_Toc32639"/>
      <w:bookmarkStart w:id="17" w:name="_Toc139991730"/>
      <w:bookmarkStart w:id="18" w:name="_Toc6306"/>
      <w:bookmarkStart w:id="19" w:name="_Toc141703880"/>
      <w:bookmarkStart w:id="20" w:name="_Toc4966"/>
      <w:bookmarkStart w:id="21" w:name="_Toc8727"/>
      <w:bookmarkStart w:id="22" w:name="_Toc23386"/>
      <w:bookmarkStart w:id="23" w:name="_Toc30935"/>
      <w:bookmarkStart w:id="24" w:name="_Toc26897"/>
      <w:bookmarkStart w:id="25" w:name="_Toc29629"/>
      <w:bookmarkStart w:id="26" w:name="_Toc123112229"/>
      <w:bookmarkStart w:id="27" w:name="_Toc15517"/>
      <w:bookmarkStart w:id="28" w:name="_Toc123112268"/>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15067"/>
      <w:bookmarkStart w:id="34" w:name="_Toc24860"/>
      <w:bookmarkStart w:id="35" w:name="_Toc3224"/>
      <w:bookmarkStart w:id="36" w:name="_Toc6617"/>
      <w:bookmarkStart w:id="37" w:name="_Toc2465"/>
      <w:bookmarkStart w:id="38" w:name="_Toc258829399"/>
      <w:bookmarkStart w:id="39" w:name="_Toc21301"/>
      <w:bookmarkStart w:id="40" w:name="_Toc819"/>
      <w:bookmarkStart w:id="41" w:name="_Toc13020"/>
      <w:bookmarkStart w:id="42" w:name="_Toc19592"/>
      <w:r>
        <w:rPr>
          <w:rFonts w:hint="eastAsia" w:ascii="Times New Roman"/>
          <w:color w:val="auto"/>
          <w:sz w:val="30"/>
        </w:rPr>
        <w:t>前言</w:t>
      </w:r>
      <w:bookmarkEnd w:id="29"/>
    </w:p>
    <w:p>
      <w:pPr>
        <w:pStyle w:val="17"/>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545"/>
      <w:bookmarkStart w:id="48" w:name="_Toc6683"/>
      <w:bookmarkStart w:id="49" w:name="_Toc20627"/>
      <w:bookmarkStart w:id="50" w:name="_Toc733"/>
      <w:bookmarkStart w:id="51" w:name="_Toc13288"/>
      <w:bookmarkStart w:id="52" w:name="_Toc6149"/>
      <w:bookmarkStart w:id="53" w:name="_Toc18631"/>
      <w:bookmarkStart w:id="54" w:name="_Toc24571"/>
      <w:bookmarkStart w:id="55" w:name="_Toc20318"/>
      <w:bookmarkStart w:id="56" w:name="_Toc74065740"/>
      <w:bookmarkStart w:id="57" w:name="_Toc22708"/>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【】类</w:t>
            </w:r>
            <w:r>
              <w:rPr>
                <w:rFonts w:ascii="宋体" w:hAnsi="宋体" w:cs="宋体"/>
                <w:b/>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黑体" w:hAnsi="黑体" w:eastAsia="黑体"/>
          <w:sz w:val="44"/>
          <w:szCs w:val="44"/>
        </w:rPr>
      </w:pPr>
      <w:r>
        <w:rPr>
          <w:rStyle w:val="12"/>
          <w:rFonts w:hint="eastAsia" w:ascii="黑体" w:hAnsi="黑体" w:eastAsia="黑体"/>
          <w:sz w:val="44"/>
          <w:szCs w:val="44"/>
        </w:rPr>
        <w:t>兴银理财【</w:t>
      </w:r>
      <w:r>
        <w:rPr>
          <w:rFonts w:hint="eastAsia" w:ascii="黑体" w:hAnsi="黑体" w:eastAsia="黑体"/>
          <w:b/>
          <w:sz w:val="44"/>
          <w:szCs w:val="44"/>
        </w:rPr>
        <w:t>天天万利宝稳利净值型</w:t>
      </w:r>
      <w:r>
        <w:rPr>
          <w:rStyle w:val="12"/>
          <w:rFonts w:hint="eastAsia" w:ascii="黑体" w:hAnsi="黑体" w:eastAsia="黑体"/>
          <w:sz w:val="44"/>
          <w:szCs w:val="44"/>
        </w:rPr>
        <w:t>】理财产品</w:t>
      </w:r>
    </w:p>
    <w:p>
      <w:pPr>
        <w:adjustRightInd w:val="0"/>
        <w:spacing w:line="360" w:lineRule="auto"/>
        <w:jc w:val="center"/>
        <w:rPr>
          <w:rStyle w:val="12"/>
          <w:rFonts w:ascii="黑体" w:hAnsi="黑体" w:eastAsia="黑体"/>
          <w:sz w:val="44"/>
          <w:szCs w:val="44"/>
        </w:rPr>
      </w:pPr>
      <w:r>
        <w:rPr>
          <w:rStyle w:val="12"/>
          <w:rFonts w:hint="eastAsia" w:ascii="黑体" w:hAnsi="黑体" w:eastAsia="黑体"/>
          <w:sz w:val="44"/>
          <w:szCs w:val="44"/>
        </w:rPr>
        <w:t>产品说明书</w:t>
      </w:r>
    </w:p>
    <w:p>
      <w:pPr>
        <w:adjustRightInd w:val="0"/>
        <w:spacing w:line="360" w:lineRule="auto"/>
        <w:jc w:val="center"/>
        <w:rPr>
          <w:rStyle w:val="12"/>
          <w:rFonts w:ascii="宋体" w:hAnsi="宋体"/>
          <w:sz w:val="32"/>
          <w:szCs w:val="32"/>
        </w:rPr>
      </w:pPr>
    </w:p>
    <w:p>
      <w:pPr>
        <w:adjustRightInd w:val="0"/>
        <w:spacing w:line="360" w:lineRule="auto"/>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理财产品管理人：兴银理财有限责任公司</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日期</w:t>
      </w:r>
      <w:r>
        <w:rPr>
          <w:rStyle w:val="12"/>
          <w:rFonts w:ascii="宋体" w:hAnsi="宋体" w:cs="Times New Roman"/>
          <w:sz w:val="32"/>
          <w:szCs w:val="32"/>
        </w:rPr>
        <w:t>：</w:t>
      </w:r>
      <w:r>
        <w:rPr>
          <w:rStyle w:val="12"/>
          <w:rFonts w:hint="eastAsia" w:ascii="宋体" w:hAnsi="宋体" w:cs="Times New Roman"/>
          <w:sz w:val="32"/>
          <w:szCs w:val="32"/>
        </w:rPr>
        <w:t>【2023】年【</w:t>
      </w:r>
      <w:r>
        <w:rPr>
          <w:rStyle w:val="12"/>
          <w:rFonts w:ascii="宋体" w:hAnsi="宋体" w:cs="Times New Roman"/>
          <w:sz w:val="32"/>
          <w:szCs w:val="32"/>
        </w:rPr>
        <w:t>7</w:t>
      </w:r>
      <w:r>
        <w:rPr>
          <w:rStyle w:val="12"/>
          <w:rFonts w:hint="eastAsia" w:ascii="宋体" w:hAnsi="宋体" w:cs="Times New Roman"/>
          <w:sz w:val="32"/>
          <w:szCs w:val="32"/>
        </w:rPr>
        <w:t>】月</w:t>
      </w:r>
    </w:p>
    <w:p>
      <w:pPr>
        <w:rPr>
          <w:rStyle w:val="12"/>
          <w:rFonts w:ascii="宋体" w:hAnsi="宋体"/>
          <w:sz w:val="32"/>
          <w:szCs w:val="32"/>
        </w:rPr>
      </w:pPr>
      <w:r>
        <w:rPr>
          <w:rStyle w:val="12"/>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8"/>
            <w:spacing w:line="360" w:lineRule="auto"/>
            <w:jc w:val="center"/>
          </w:pPr>
          <w:bookmarkStart w:id="66" w:name="_Toc78276587"/>
          <w:r>
            <w:rPr>
              <w:lang w:val="zh-CN"/>
            </w:rPr>
            <w:t>目录</w:t>
          </w:r>
        </w:p>
        <w:p>
          <w:pPr>
            <w:pStyle w:val="6"/>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"_Toc116984884" </w:instrText>
          </w:r>
          <w:r>
            <w:fldChar w:fldCharType="separate"/>
          </w:r>
          <w:r>
            <w:rPr>
              <w:rStyle w:val="13"/>
              <w:rFonts w:hint="eastAsia" w:ascii="Times New Roman"/>
            </w:rPr>
            <w:t>第一条</w:t>
          </w:r>
          <w:r>
            <w:rPr>
              <w:rStyle w:val="13"/>
              <w:rFonts w:ascii="Times New Roman"/>
            </w:rPr>
            <w:t xml:space="preserve">  </w:t>
          </w:r>
          <w:r>
            <w:rPr>
              <w:rStyle w:val="13"/>
              <w:rFonts w:hint="eastAsia" w:ascii="Times New Roman"/>
            </w:rPr>
            <w:t>释义</w:t>
          </w:r>
          <w:r>
            <w:tab/>
          </w:r>
          <w:r>
            <w:fldChar w:fldCharType="begin"/>
          </w:r>
          <w:r>
            <w:instrText xml:space="preserve"> PAGEREF _Toc116984884 \h </w:instrText>
          </w:r>
          <w:r>
            <w:fldChar w:fldCharType="separate"/>
          </w:r>
          <w:r>
            <w:t>3</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"_Toc116984885" </w:instrText>
          </w:r>
          <w:r>
            <w:fldChar w:fldCharType="separate"/>
          </w:r>
          <w:r>
            <w:rPr>
              <w:rStyle w:val="13"/>
              <w:rFonts w:hint="eastAsia" w:hAnsi="宋体"/>
            </w:rPr>
            <w:t>第二条</w:t>
          </w:r>
          <w:r>
            <w:rPr>
              <w:rStyle w:val="13"/>
              <w:rFonts w:hAnsi="宋体"/>
            </w:rPr>
            <w:t xml:space="preserve">  </w:t>
          </w:r>
          <w:r>
            <w:rPr>
              <w:rStyle w:val="13"/>
              <w:rFonts w:hint="eastAsia" w:hAnsi="宋体"/>
            </w:rPr>
            <w:t>理财产品基本情况</w:t>
          </w:r>
          <w:r>
            <w:rPr>
              <w:rStyle w:val="13"/>
              <w:rFonts w:hAnsi="宋体"/>
            </w:rPr>
            <w:t xml:space="preserve"> </w:t>
          </w:r>
          <w:r>
            <w:tab/>
          </w:r>
          <w:r>
            <w:fldChar w:fldCharType="begin"/>
          </w:r>
          <w:r>
            <w:instrText xml:space="preserve"> PAGEREF _Toc116984885 \h </w:instrText>
          </w:r>
          <w:r>
            <w:fldChar w:fldCharType="separate"/>
          </w:r>
          <w:r>
            <w:t>9</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"_Toc116984886" </w:instrText>
          </w:r>
          <w:r>
            <w:fldChar w:fldCharType="separate"/>
          </w:r>
          <w:r>
            <w:rPr>
              <w:rStyle w:val="13"/>
              <w:rFonts w:hint="eastAsia" w:ascii="Times New Roman"/>
            </w:rPr>
            <w:t>第三条</w:t>
          </w:r>
          <w:r>
            <w:rPr>
              <w:rStyle w:val="13"/>
              <w:rFonts w:ascii="Times New Roman"/>
            </w:rPr>
            <w:t xml:space="preserve">  </w:t>
          </w:r>
          <w:r>
            <w:rPr>
              <w:rStyle w:val="13"/>
              <w:rFonts w:hint="eastAsia" w:ascii="Times New Roman"/>
            </w:rPr>
            <w:t>理财产品的认购</w:t>
          </w:r>
          <w:r>
            <w:tab/>
          </w:r>
          <w:r>
            <w:fldChar w:fldCharType="begin"/>
          </w:r>
          <w:r>
            <w:instrText xml:space="preserve"> PAGEREF _Toc116984886 \h </w:instrText>
          </w:r>
          <w:r>
            <w:fldChar w:fldCharType="separate"/>
          </w:r>
          <w:r>
            <w:t>17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"_Toc116984887" </w:instrText>
          </w:r>
          <w:r>
            <w:fldChar w:fldCharType="separate"/>
          </w:r>
          <w:r>
            <w:rPr>
              <w:rStyle w:val="13"/>
              <w:rFonts w:hint="eastAsia" w:ascii="Times New Roman"/>
            </w:rPr>
            <w:t>第四条</w:t>
          </w:r>
          <w:r>
            <w:rPr>
              <w:rStyle w:val="13"/>
              <w:rFonts w:ascii="Times New Roman"/>
            </w:rPr>
            <w:t xml:space="preserve">  </w:t>
          </w:r>
          <w:r>
            <w:rPr>
              <w:rStyle w:val="13"/>
              <w:rFonts w:hint="eastAsia" w:ascii="Times New Roman"/>
            </w:rPr>
            <w:t>理财产品的申购与赎回</w:t>
          </w:r>
          <w:r>
            <w:tab/>
          </w:r>
          <w:r>
            <w:fldChar w:fldCharType="begin"/>
          </w:r>
          <w:r>
            <w:instrText xml:space="preserve"> PAGEREF _Toc116984887 \h </w:instrText>
          </w:r>
          <w:r>
            <w:fldChar w:fldCharType="separate"/>
          </w:r>
          <w:r>
            <w:t>19</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"_Toc116984888" </w:instrText>
          </w:r>
          <w:r>
            <w:fldChar w:fldCharType="separate"/>
          </w:r>
          <w:r>
            <w:rPr>
              <w:rStyle w:val="13"/>
              <w:rFonts w:hint="eastAsia" w:ascii="Times New Roman"/>
            </w:rPr>
            <w:t>第五条</w:t>
          </w:r>
          <w:r>
            <w:rPr>
              <w:rStyle w:val="13"/>
              <w:rFonts w:ascii="Times New Roman"/>
            </w:rPr>
            <w:t xml:space="preserve">  </w:t>
          </w:r>
          <w:r>
            <w:rPr>
              <w:rStyle w:val="13"/>
              <w:rFonts w:hint="eastAsia" w:ascii="Times New Roman"/>
            </w:rPr>
            <w:t>理财产品的投资</w:t>
          </w:r>
          <w:r>
            <w:tab/>
          </w:r>
          <w:r>
            <w:fldChar w:fldCharType="begin"/>
          </w:r>
          <w:r>
            <w:instrText xml:space="preserve"> PAGEREF _Toc116984888 \h </w:instrText>
          </w:r>
          <w:r>
            <w:fldChar w:fldCharType="separate"/>
          </w:r>
          <w:r>
            <w:t>23</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"_Toc116984889" </w:instrText>
          </w:r>
          <w:r>
            <w:fldChar w:fldCharType="separate"/>
          </w:r>
          <w:r>
            <w:rPr>
              <w:rStyle w:val="13"/>
              <w:rFonts w:hint="eastAsia" w:ascii="Times New Roman"/>
            </w:rPr>
            <w:t>第六条</w:t>
          </w:r>
          <w:r>
            <w:rPr>
              <w:rStyle w:val="13"/>
              <w:rFonts w:ascii="Times New Roman"/>
            </w:rPr>
            <w:t xml:space="preserve">  </w:t>
          </w:r>
          <w:r>
            <w:rPr>
              <w:rStyle w:val="13"/>
              <w:rFonts w:hint="eastAsia" w:ascii="Times New Roman"/>
            </w:rPr>
            <w:t>理财产品的资产</w:t>
          </w:r>
          <w:r>
            <w:tab/>
          </w:r>
          <w:r>
            <w:fldChar w:fldCharType="begin"/>
          </w:r>
          <w:r>
            <w:instrText xml:space="preserve"> PAGEREF _Toc116984889 \h </w:instrText>
          </w:r>
          <w:r>
            <w:fldChar w:fldCharType="separate"/>
          </w:r>
          <w:r>
            <w:t>26</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"_Toc116984890" </w:instrText>
          </w:r>
          <w:r>
            <w:fldChar w:fldCharType="separate"/>
          </w:r>
          <w:r>
            <w:rPr>
              <w:rStyle w:val="13"/>
              <w:rFonts w:hint="eastAsia" w:ascii="Times New Roman"/>
            </w:rPr>
            <w:t>第七条</w:t>
          </w:r>
          <w:r>
            <w:rPr>
              <w:rStyle w:val="13"/>
              <w:rFonts w:ascii="Times New Roman"/>
            </w:rPr>
            <w:t xml:space="preserve">  </w:t>
          </w:r>
          <w:r>
            <w:rPr>
              <w:rStyle w:val="13"/>
              <w:rFonts w:hint="eastAsia" w:ascii="Times New Roman"/>
            </w:rPr>
            <w:t>理财产品项下资产的估值</w:t>
          </w:r>
          <w:r>
            <w:tab/>
          </w:r>
          <w:r>
            <w:fldChar w:fldCharType="begin"/>
          </w:r>
          <w:r>
            <w:instrText xml:space="preserve"> PAGEREF _Toc116984890 \h </w:instrText>
          </w:r>
          <w:r>
            <w:fldChar w:fldCharType="separate"/>
          </w:r>
          <w:r>
            <w:t>27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"_Toc116984891" </w:instrText>
          </w:r>
          <w:r>
            <w:fldChar w:fldCharType="separate"/>
          </w:r>
          <w:r>
            <w:rPr>
              <w:rStyle w:val="13"/>
              <w:rFonts w:hint="eastAsia" w:ascii="Times New Roman"/>
            </w:rPr>
            <w:t>第八条</w:t>
          </w:r>
          <w:r>
            <w:rPr>
              <w:rStyle w:val="13"/>
              <w:rFonts w:ascii="Times New Roman"/>
            </w:rPr>
            <w:t xml:space="preserve">  </w:t>
          </w:r>
          <w:r>
            <w:rPr>
              <w:rStyle w:val="13"/>
              <w:rFonts w:hint="eastAsia" w:ascii="Times New Roman"/>
            </w:rPr>
            <w:t>理财产品的利益分配</w:t>
          </w:r>
          <w:r>
            <w:tab/>
          </w:r>
          <w:r>
            <w:fldChar w:fldCharType="begin"/>
          </w:r>
          <w:r>
            <w:instrText xml:space="preserve"> PAGEREF _Toc116984891 \h </w:instrText>
          </w:r>
          <w:r>
            <w:fldChar w:fldCharType="separate"/>
          </w:r>
          <w:r>
            <w:t>31</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"_Toc116984892" </w:instrText>
          </w:r>
          <w:r>
            <w:fldChar w:fldCharType="separate"/>
          </w:r>
          <w:r>
            <w:rPr>
              <w:rStyle w:val="13"/>
              <w:rFonts w:hint="eastAsia" w:ascii="Times New Roman"/>
            </w:rPr>
            <w:t>第九条</w:t>
          </w:r>
          <w:r>
            <w:rPr>
              <w:rStyle w:val="13"/>
              <w:rFonts w:ascii="Times New Roman"/>
            </w:rPr>
            <w:t xml:space="preserve">  </w:t>
          </w:r>
          <w:r>
            <w:rPr>
              <w:rStyle w:val="13"/>
              <w:rFonts w:hint="eastAsia" w:ascii="Times New Roman"/>
            </w:rPr>
            <w:t>理财产品的费用与税收</w:t>
          </w:r>
          <w:r>
            <w:tab/>
          </w:r>
          <w:r>
            <w:fldChar w:fldCharType="begin"/>
          </w:r>
          <w:r>
            <w:instrText xml:space="preserve"> PAGEREF _Toc116984892 \h </w:instrText>
          </w:r>
          <w:r>
            <w:fldChar w:fldCharType="separate"/>
          </w:r>
          <w:r>
            <w:t>32</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"_Toc116984893" </w:instrText>
          </w:r>
          <w:r>
            <w:fldChar w:fldCharType="separate"/>
          </w:r>
          <w:r>
            <w:rPr>
              <w:rStyle w:val="13"/>
              <w:rFonts w:hint="eastAsia"/>
            </w:rPr>
            <w:t>第十条</w:t>
          </w:r>
          <w:r>
            <w:rPr>
              <w:rStyle w:val="13"/>
            </w:rPr>
            <w:t xml:space="preserve">  </w:t>
          </w:r>
          <w:r>
            <w:rPr>
              <w:rStyle w:val="13"/>
              <w:rFonts w:hint="eastAsia"/>
            </w:rPr>
            <w:t>理财产品的终止与清算</w:t>
          </w:r>
          <w:r>
            <w:tab/>
          </w:r>
          <w:r>
            <w:fldChar w:fldCharType="begin"/>
          </w:r>
          <w:r>
            <w:instrText xml:space="preserve"> PAGEREF _Toc116984893 \h </w:instrText>
          </w:r>
          <w:r>
            <w:fldChar w:fldCharType="separate"/>
          </w:r>
          <w:r>
            <w:t>35</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"_Toc116984894" </w:instrText>
          </w:r>
          <w:r>
            <w:fldChar w:fldCharType="separate"/>
          </w:r>
          <w:r>
            <w:rPr>
              <w:rStyle w:val="13"/>
              <w:rFonts w:hint="eastAsia" w:ascii="Times New Roman"/>
            </w:rPr>
            <w:t>第十一条</w:t>
          </w:r>
          <w:r>
            <w:rPr>
              <w:rStyle w:val="13"/>
              <w:rFonts w:ascii="Times New Roman"/>
            </w:rPr>
            <w:t xml:space="preserve">  </w:t>
          </w:r>
          <w:r>
            <w:rPr>
              <w:rStyle w:val="13"/>
              <w:rFonts w:hint="eastAsia" w:ascii="Times New Roman"/>
            </w:rPr>
            <w:t>理财产品的信息披露</w:t>
          </w:r>
          <w:r>
            <w:tab/>
          </w:r>
          <w:r>
            <w:fldChar w:fldCharType="begin"/>
          </w:r>
          <w:r>
            <w:instrText xml:space="preserve"> PAGEREF _Toc116984894 \h </w:instrText>
          </w:r>
          <w:r>
            <w:fldChar w:fldCharType="separate"/>
          </w:r>
          <w:r>
            <w:t>37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"_Toc116984895" </w:instrText>
          </w:r>
          <w:r>
            <w:fldChar w:fldCharType="separate"/>
          </w:r>
          <w:r>
            <w:rPr>
              <w:rStyle w:val="13"/>
              <w:rFonts w:hint="eastAsia" w:ascii="Times New Roman"/>
            </w:rPr>
            <w:t>第十二条</w:t>
          </w:r>
          <w:r>
            <w:rPr>
              <w:rStyle w:val="13"/>
              <w:rFonts w:ascii="Times New Roman"/>
            </w:rPr>
            <w:t xml:space="preserve">  </w:t>
          </w:r>
          <w:r>
            <w:rPr>
              <w:rStyle w:val="13"/>
              <w:rFonts w:hint="eastAsia" w:ascii="Times New Roman"/>
            </w:rPr>
            <w:t>理财产品的风险揭示</w:t>
          </w:r>
          <w:r>
            <w:tab/>
          </w:r>
          <w:r>
            <w:fldChar w:fldCharType="begin"/>
          </w:r>
          <w:r>
            <w:instrText xml:space="preserve"> PAGEREF _Toc116984895 \h </w:instrText>
          </w:r>
          <w:r>
            <w:fldChar w:fldCharType="separate"/>
          </w:r>
          <w:r>
            <w:t>40</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widowControl/>
        <w:spacing w:line="360" w:lineRule="auto"/>
        <w:jc w:val="left"/>
        <w:rPr>
          <w:rFonts w:ascii="Times New Roman"/>
          <w:sz w:val="30"/>
        </w:rPr>
      </w:pPr>
    </w:p>
    <w:p>
      <w:pPr>
        <w:pStyle w:val="2"/>
        <w:spacing w:before="0" w:after="0" w:line="360" w:lineRule="auto"/>
        <w:jc w:val="center"/>
        <w:rPr>
          <w:rFonts w:ascii="Times New Roman"/>
          <w:sz w:val="30"/>
        </w:rPr>
      </w:pPr>
      <w:bookmarkStart w:id="67" w:name="_Toc92377130"/>
      <w:bookmarkStart w:id="68" w:name="_Toc116984884"/>
      <w:r>
        <w:rPr>
          <w:rFonts w:ascii="Times New Roman"/>
          <w:sz w:val="30"/>
        </w:rPr>
        <w:t>第</w:t>
      </w:r>
      <w:r>
        <w:rPr>
          <w:rFonts w:hint="eastAsia" w:ascii="Times New Roman"/>
          <w:sz w:val="30"/>
        </w:rPr>
        <w:t xml:space="preserve">一条 </w:t>
      </w:r>
      <w:r>
        <w:rPr>
          <w:rFonts w:ascii="Times New Roman"/>
          <w:sz w:val="30"/>
        </w:rPr>
        <w:t xml:space="preserve"> 释义</w:t>
      </w:r>
      <w:bookmarkEnd w:id="66"/>
      <w:bookmarkEnd w:id="67"/>
      <w:bookmarkEnd w:id="68"/>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7"/>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7"/>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17"/>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17"/>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17"/>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7"/>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7"/>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7"/>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7"/>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7"/>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7"/>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7"/>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7"/>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69" w:name="_Toc92377131"/>
      <w:bookmarkStart w:id="70" w:name="_Toc79154665"/>
      <w:bookmarkStart w:id="71" w:name="_Toc116984885"/>
      <w:r>
        <w:rPr>
          <w:rFonts w:hint="eastAsia" w:hAnsi="宋体"/>
          <w:sz w:val="28"/>
          <w:szCs w:val="28"/>
        </w:rPr>
        <w:t>第二条  理财产品基本情况</w:t>
      </w:r>
      <w:bookmarkEnd w:id="69"/>
      <w:bookmarkEnd w:id="70"/>
      <w:r>
        <w:rPr>
          <w:rFonts w:hint="eastAsia" w:hAnsi="宋体"/>
          <w:sz w:val="28"/>
          <w:szCs w:val="28"/>
        </w:rPr>
        <w:t xml:space="preserve"> </w:t>
      </w:r>
      <w:bookmarkEnd w:id="71"/>
    </w:p>
    <w:tbl>
      <w:tblPr>
        <w:tblStyle w:val="9"/>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【兴业银行天天万利宝稳利2号净值型理财产品M款】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【稳利恒盈M 6个月】</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Z7002020000030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【91119992】</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91119992</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sz w:val="18"/>
                <w:szCs w:val="18"/>
              </w:rPr>
              <w:t>特别提示：当销售机构销售产品风险评级为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【2019</w:t>
            </w:r>
            <w:r>
              <w:rPr>
                <w:rFonts w:cs="Times New Roman" w:asciiTheme="minorEastAsia" w:hAnsiTheme="minorEastAsia"/>
                <w:sz w:val="18"/>
                <w:szCs w:val="18"/>
              </w:rPr>
              <w:t>】年【7</w:t>
            </w:r>
            <w:r>
              <w:rPr>
                <w:rFonts w:hint="eastAsia" w:cs="Times New Roman" w:asciiTheme="minorEastAsia" w:hAnsiTheme="minorEastAsia"/>
                <w:sz w:val="18"/>
                <w:szCs w:val="18"/>
              </w:rPr>
              <w:t>】月【</w:t>
            </w:r>
            <w:r>
              <w:rPr>
                <w:rFonts w:cs="Times New Roman" w:asciiTheme="minorEastAsia" w:hAnsiTheme="minorEastAsia"/>
                <w:sz w:val="18"/>
                <w:szCs w:val="18"/>
              </w:rPr>
              <w:t>18</w:t>
            </w:r>
            <w:r>
              <w:rPr>
                <w:rFonts w:hint="eastAsia" w:cs="Times New Roman" w:asciiTheme="minorEastAsia" w:hAnsiTheme="minorEastAsia"/>
                <w:sz w:val="18"/>
                <w:szCs w:val="18"/>
              </w:rPr>
              <w:t>】日【11：00】</w:t>
            </w:r>
            <w:r>
              <w:rPr>
                <w:rFonts w:hint="eastAsia" w:cs="仿宋_GB2312" w:asciiTheme="minorEastAsia" w:hAnsiTheme="minorEastAsia"/>
                <w:sz w:val="18"/>
                <w:szCs w:val="18"/>
              </w:rPr>
              <w:t>至</w:t>
            </w:r>
            <w:r>
              <w:rPr>
                <w:rFonts w:hint="eastAsia" w:cs="Times New Roman" w:asciiTheme="minorEastAsia" w:hAnsiTheme="minorEastAsia"/>
                <w:sz w:val="18"/>
                <w:szCs w:val="18"/>
              </w:rPr>
              <w:t>【2019</w:t>
            </w:r>
            <w:r>
              <w:rPr>
                <w:rFonts w:cs="Times New Roman" w:asciiTheme="minorEastAsia" w:hAnsiTheme="minorEastAsia"/>
                <w:sz w:val="18"/>
                <w:szCs w:val="18"/>
              </w:rPr>
              <w:t>】年【7</w:t>
            </w:r>
            <w:r>
              <w:rPr>
                <w:rFonts w:hint="eastAsia" w:cs="Times New Roman" w:asciiTheme="minorEastAsia" w:hAnsiTheme="minorEastAsia"/>
                <w:sz w:val="18"/>
                <w:szCs w:val="18"/>
              </w:rPr>
              <w:t>】月【2</w:t>
            </w:r>
            <w:r>
              <w:rPr>
                <w:rFonts w:cs="Times New Roman" w:asciiTheme="minorEastAsia" w:hAnsiTheme="minorEastAsia"/>
                <w:sz w:val="18"/>
                <w:szCs w:val="18"/>
              </w:rPr>
              <w:t>2</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【2019</w:t>
            </w:r>
            <w:r>
              <w:rPr>
                <w:rFonts w:cs="Times New Roman" w:asciiTheme="minorEastAsia" w:hAnsiTheme="minorEastAsia"/>
                <w:sz w:val="18"/>
                <w:szCs w:val="18"/>
              </w:rPr>
              <w:t>】年【7</w:t>
            </w:r>
            <w:r>
              <w:rPr>
                <w:rFonts w:hint="eastAsia" w:cs="Times New Roman" w:asciiTheme="minorEastAsia" w:hAnsiTheme="minorEastAsia"/>
                <w:sz w:val="18"/>
                <w:szCs w:val="18"/>
              </w:rPr>
              <w:t>】月【</w:t>
            </w:r>
            <w:r>
              <w:rPr>
                <w:rFonts w:cs="Times New Roman" w:asciiTheme="minorEastAsia" w:hAnsiTheme="minorEastAsia"/>
                <w:sz w:val="18"/>
                <w:szCs w:val="18"/>
              </w:rPr>
              <w:t>23</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（2）每一个投资周期：包含投资者持有理财产品份额的认购确认日或申购确认日至该产品份额的最近一个赎回确认日或产品终止日的期间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□预约申购期：【2023】年【07】月【11】日11:00至【2023】年【07】月【17】日15:45；投资周期【182】天；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□预约申购期：【2023】年【07】月【18】日11:00至【2023】年【07】月【24】日15:45；投资周期【175】天；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17"/>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17"/>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17"/>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17"/>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1760"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本产品在一个完整投资周期结束前，设置一个预约申购期；在一个完整投资周期结束后，可以再设置多个预约申购期。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预约赎回期：【2024】年【01】月【02】日00:00至【2024】年【01】月【15】日15:45。</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17"/>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17"/>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17"/>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17"/>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1618"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日后【5】个工作日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asciiTheme="majorEastAsia" w:hAnsiTheme="majorEastAsia" w:eastAsiaTheme="majorEastAsia"/>
                <w:bCs/>
                <w:sz w:val="18"/>
                <w:szCs w:val="18"/>
              </w:rPr>
              <w:t>1.00</w:t>
            </w:r>
            <w:r>
              <w:rPr>
                <w:rFonts w:hint="eastAsia" w:asciiTheme="majorEastAsia" w:hAnsiTheme="majorEastAsia" w:eastAsiaTheme="majorEastAsia"/>
                <w:bCs/>
                <w:sz w:val="18"/>
                <w:szCs w:val="18"/>
              </w:rPr>
              <w:t>】元；超出起点金额的部分以【0.01】元的整数倍递增。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17"/>
              <w:spacing w:line="360" w:lineRule="auto"/>
              <w:rPr>
                <w:rFonts w:asciiTheme="minorEastAsia" w:hAnsiTheme="minorEastAsia" w:eastAsiaTheme="minorEastAsia"/>
                <w:color w:val="auto"/>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7"/>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17"/>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7"/>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17"/>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17"/>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17"/>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hint="eastAsia" w:ascii="宋体" w:hAnsi="宋体"/>
                <w:b/>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sz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Theme="majorEastAsia" w:hAnsiTheme="majorEastAsia" w:eastAsiaTheme="majorEastAsia"/>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2.50-3.50%】</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w:t>
            </w:r>
            <w:r>
              <w:rPr>
                <w:rFonts w:hint="eastAsia" w:asciiTheme="majorEastAsia" w:hAnsiTheme="majorEastAsia" w:eastAsiaTheme="majorEastAsia"/>
                <w:b/>
                <w:bCs/>
                <w:sz w:val="18"/>
                <w:szCs w:val="18"/>
              </w:rPr>
              <w:t>.业绩比较基准的提示：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w:t>
            </w:r>
            <w:r>
              <w:rPr>
                <w:rFonts w:hint="eastAsia"/>
                <w:sz w:val="18"/>
                <w:szCs w:val="18"/>
              </w:rPr>
              <w:t>★</w:t>
            </w:r>
            <w:r>
              <w:rPr>
                <w:rFonts w:hint="eastAsia" w:asciiTheme="majorEastAsia" w:hAnsiTheme="majorEastAsia" w:eastAsiaTheme="majorEastAsia"/>
                <w:b/>
                <w:bCs/>
                <w:sz w:val="18"/>
                <w:szCs w:val="18"/>
              </w:rPr>
              <w:t>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ascii="宋体"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b/>
                <w:kern w:val="0"/>
                <w:sz w:val="18"/>
                <w:szCs w:val="18"/>
              </w:rPr>
              <w:t>□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spacing w:line="360" w:lineRule="auto"/>
              <w:jc w:val="left"/>
              <w:rPr>
                <w:rFonts w:ascii="宋体" w:hAnsi="宋体"/>
                <w:b/>
                <w:bCs/>
                <w:sz w:val="18"/>
                <w:szCs w:val="18"/>
              </w:rPr>
            </w:pPr>
            <w:r>
              <w:rPr>
                <w:rFonts w:hint="eastAsia" w:ascii="宋体" w:hAnsi="宋体"/>
                <w:b/>
                <w:bCs/>
                <w:sz w:val="18"/>
                <w:szCs w:val="18"/>
              </w:rPr>
              <w:t>（1）</w:t>
            </w:r>
            <w:r>
              <w:rPr>
                <w:rFonts w:hint="eastAsia"/>
                <w:sz w:val="18"/>
                <w:szCs w:val="18"/>
              </w:rPr>
              <w:t>★</w:t>
            </w:r>
            <w:r>
              <w:rPr>
                <w:rFonts w:hint="eastAsia" w:ascii="宋体" w:hAnsi="宋体"/>
                <w:b/>
                <w:bCs/>
                <w:sz w:val="18"/>
                <w:szCs w:val="18"/>
              </w:rPr>
              <w:t>业绩报酬计提基准仅作为管理人计算超额业绩报酬的参照标准，不代表理财产品未来表现，不等于理财产品实际收益，不作为产品收益的业绩保证，投资须谨慎。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（适用【/】类份额）</w:t>
            </w:r>
          </w:p>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（2）</w:t>
            </w:r>
            <w:r>
              <w:rPr>
                <w:rFonts w:ascii="宋体" w:hAnsi="宋体"/>
                <w:b/>
                <w:bCs/>
                <w:color w:val="000000" w:themeColor="text1"/>
                <w:sz w:val="18"/>
                <w:szCs w:val="18"/>
                <w14:textFill>
                  <w14:solidFill>
                    <w14:schemeClr w14:val="tx1"/>
                  </w14:solidFill>
                </w14:textFill>
              </w:rPr>
              <w:t>申购费：</w:t>
            </w: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（3）赎回费：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（4）</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（6）产品托管费：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7"/>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2" w:name="_Toc116984886"/>
      <w:bookmarkStart w:id="73" w:name="_Toc92377132"/>
      <w:bookmarkStart w:id="74" w:name="_Toc79154666"/>
      <w:r>
        <w:rPr>
          <w:rFonts w:ascii="Times New Roman"/>
          <w:sz w:val="30"/>
        </w:rPr>
        <w:t>第</w:t>
      </w:r>
      <w:r>
        <w:rPr>
          <w:rFonts w:hint="eastAsia" w:ascii="Times New Roman"/>
          <w:sz w:val="30"/>
        </w:rPr>
        <w:t>三条</w:t>
      </w:r>
      <w:r>
        <w:rPr>
          <w:rFonts w:ascii="Times New Roman"/>
          <w:sz w:val="30"/>
        </w:rPr>
        <w:t xml:space="preserve">  </w:t>
      </w:r>
      <w:bookmarkStart w:id="75" w:name="_Toc79392573"/>
      <w:r>
        <w:rPr>
          <w:rFonts w:hint="eastAsia" w:ascii="Times New Roman"/>
          <w:sz w:val="30"/>
        </w:rPr>
        <w:t>理财产品的认购</w:t>
      </w:r>
      <w:bookmarkEnd w:id="72"/>
      <w:bookmarkEnd w:id="73"/>
      <w:bookmarkEnd w:id="74"/>
    </w:p>
    <w:p>
      <w:pPr>
        <w:spacing w:line="360" w:lineRule="auto"/>
        <w:ind w:firstLine="361" w:firstLineChars="200"/>
        <w:rPr>
          <w:rFonts w:asciiTheme="minorEastAsia" w:hAnsiTheme="minorEastAsia"/>
          <w:b/>
          <w:bCs/>
          <w:sz w:val="18"/>
          <w:szCs w:val="18"/>
        </w:rPr>
      </w:pPr>
      <w:bookmarkStart w:id="76" w:name="_Hlt88031774"/>
      <w:bookmarkEnd w:id="76"/>
      <w:bookmarkStart w:id="77"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10"/>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7"/>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7"/>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78" w:name="_Toc116984887"/>
      <w:bookmarkStart w:id="79" w:name="_Toc92377133"/>
      <w:bookmarkStart w:id="80"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78"/>
      <w:bookmarkEnd w:id="79"/>
      <w:bookmarkEnd w:id="80"/>
    </w:p>
    <w:bookmarkEnd w:id="77"/>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7"/>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预约申购期内投资者可提交预约申购申请</w:t>
      </w:r>
      <w:r>
        <w:rPr>
          <w:rFonts w:hint="eastAsia" w:cs="Times New Roman" w:asciiTheme="minorEastAsia" w:hAnsiTheme="minorEastAsia" w:eastAsiaTheme="minorEastAsia"/>
          <w:color w:val="auto"/>
          <w:sz w:val="18"/>
          <w:szCs w:val="18"/>
        </w:rPr>
        <w:t>。</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7"/>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7"/>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7"/>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预约赎回期内投资者可提交预约赎回申请</w:t>
      </w:r>
      <w:r>
        <w:rPr>
          <w:rFonts w:hint="eastAsia" w:cs="Times New Roman" w:asciiTheme="minorEastAsia" w:hAnsiTheme="minorEastAsia" w:eastAsiaTheme="minorEastAsia"/>
          <w:sz w:val="18"/>
          <w:szCs w:val="18"/>
        </w:rPr>
        <w:t>。</w:t>
      </w:r>
      <w:r>
        <w:rPr>
          <w:rFonts w:hint="eastAsia" w:asciiTheme="majorEastAsia" w:hAnsiTheme="majorEastAsia" w:eastAsiaTheme="majorEastAsia"/>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7"/>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17"/>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75"/>
    <w:p>
      <w:pPr>
        <w:pStyle w:val="2"/>
        <w:spacing w:before="0" w:after="0" w:line="360" w:lineRule="auto"/>
        <w:jc w:val="center"/>
        <w:rPr>
          <w:rFonts w:ascii="Times New Roman"/>
          <w:sz w:val="30"/>
        </w:rPr>
      </w:pPr>
      <w:bookmarkStart w:id="81" w:name="_Toc116984888"/>
      <w:bookmarkStart w:id="82" w:name="_Toc90742688"/>
      <w:bookmarkStart w:id="83" w:name="_Toc16265"/>
      <w:bookmarkStart w:id="84" w:name="_Toc74065741"/>
      <w:bookmarkStart w:id="85" w:name="_Toc29948"/>
      <w:bookmarkStart w:id="86" w:name="_Toc22074"/>
      <w:bookmarkStart w:id="87" w:name="_Toc7151"/>
      <w:bookmarkStart w:id="88" w:name="_Toc90742390"/>
      <w:bookmarkStart w:id="89" w:name="_Toc27226"/>
      <w:bookmarkStart w:id="90" w:name="_Toc27189"/>
      <w:bookmarkStart w:id="91" w:name="_Toc3266"/>
      <w:bookmarkStart w:id="92" w:name="_Toc90742321"/>
      <w:bookmarkStart w:id="93" w:name="_Toc79154668"/>
      <w:bookmarkStart w:id="94" w:name="_Toc92377134"/>
      <w:bookmarkStart w:id="95" w:name="_Toc6714"/>
      <w:bookmarkStart w:id="96" w:name="_Toc15203"/>
      <w:bookmarkStart w:id="97" w:name="_Toc2978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
      <w:pPr>
        <w:pStyle w:val="17"/>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（1）本产品投资于债权类资产的比例不低于产品总资产的80%。 </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（3）国债期货、利率互换、信用风险缓释工具等衍生品占产品总资产比例低于20%。</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7"/>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7"/>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7"/>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98" w:name="_Toc18526"/>
      <w:bookmarkStart w:id="99" w:name="_Toc74065742"/>
      <w:bookmarkStart w:id="100" w:name="_Toc4741"/>
      <w:bookmarkStart w:id="101" w:name="_Toc92377135"/>
      <w:bookmarkStart w:id="102" w:name="_Toc17912"/>
      <w:bookmarkStart w:id="103" w:name="_Toc79154669"/>
      <w:bookmarkStart w:id="104" w:name="_Toc139991735"/>
      <w:bookmarkStart w:id="105" w:name="_Toc21988"/>
      <w:bookmarkStart w:id="106" w:name="_Toc1823"/>
      <w:bookmarkStart w:id="107" w:name="_Toc18329"/>
      <w:bookmarkStart w:id="108" w:name="_Toc116984889"/>
      <w:bookmarkStart w:id="109" w:name="_Toc26986"/>
      <w:bookmarkStart w:id="110" w:name="_Toc141703885"/>
      <w:bookmarkStart w:id="111" w:name="_Toc14893"/>
      <w:bookmarkStart w:id="112" w:name="_Toc18797"/>
      <w:bookmarkStart w:id="113" w:name="_Toc784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17"/>
        <w:spacing w:line="360" w:lineRule="auto"/>
        <w:ind w:firstLine="361" w:firstLineChars="200"/>
        <w:rPr>
          <w:rFonts w:asciiTheme="majorEastAsia" w:hAnsiTheme="majorEastAsia" w:eastAsiaTheme="majorEastAsia"/>
          <w:b/>
          <w:color w:val="auto"/>
          <w:sz w:val="18"/>
          <w:szCs w:val="18"/>
        </w:rPr>
      </w:pPr>
      <w:bookmarkStart w:id="114" w:name="_Hlk490214295"/>
      <w:r>
        <w:rPr>
          <w:rFonts w:hint="eastAsia" w:asciiTheme="majorEastAsia" w:hAnsiTheme="majorEastAsia" w:eastAsiaTheme="majorEastAsia"/>
          <w:b/>
          <w:color w:val="auto"/>
          <w:sz w:val="18"/>
          <w:szCs w:val="18"/>
        </w:rPr>
        <w:t>（一）理财产品的资产的保管和处分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14"/>
    <w:p>
      <w:pPr>
        <w:pStyle w:val="2"/>
        <w:spacing w:before="0" w:after="0" w:line="360" w:lineRule="auto"/>
        <w:jc w:val="center"/>
        <w:rPr>
          <w:rFonts w:ascii="Times New Roman"/>
          <w:sz w:val="28"/>
          <w:szCs w:val="28"/>
        </w:rPr>
      </w:pPr>
      <w:bookmarkStart w:id="115" w:name="_Toc83391971"/>
      <w:bookmarkStart w:id="116" w:name="_Toc92377136"/>
      <w:bookmarkStart w:id="117" w:name="_Toc116984890"/>
      <w:bookmarkStart w:id="118" w:name="_Toc98560352"/>
      <w:bookmarkStart w:id="119" w:name="_Toc79392606"/>
      <w:bookmarkStart w:id="120" w:name="_Toc123112234"/>
      <w:bookmarkStart w:id="121" w:name="_Toc4003"/>
      <w:bookmarkStart w:id="122" w:name="_Toc23261"/>
      <w:bookmarkStart w:id="123" w:name="_Toc48649707"/>
      <w:bookmarkStart w:id="124" w:name="_Toc141703886"/>
      <w:bookmarkStart w:id="125" w:name="_Toc123051452"/>
      <w:bookmarkStart w:id="126" w:name="_Toc139991736"/>
      <w:bookmarkStart w:id="127" w:name="_Toc20733"/>
      <w:bookmarkStart w:id="128" w:name="_Toc74065743"/>
      <w:bookmarkStart w:id="129" w:name="_Toc10463"/>
      <w:bookmarkStart w:id="130" w:name="_Toc610"/>
      <w:bookmarkStart w:id="131" w:name="_Toc1427"/>
      <w:bookmarkStart w:id="132" w:name="_Toc1270"/>
      <w:bookmarkStart w:id="133" w:name="_Toc17244"/>
      <w:bookmarkStart w:id="134" w:name="_Toc7920"/>
      <w:bookmarkStart w:id="135" w:name="_Toc79154670"/>
      <w:bookmarkStart w:id="136" w:name="_Toc23822"/>
      <w:bookmarkStart w:id="137" w:name="_Toc12310245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15"/>
      <w:bookmarkEnd w:id="116"/>
      <w:bookmarkEnd w:id="117"/>
    </w:p>
    <w:p>
      <w:pPr>
        <w:pStyle w:val="17"/>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7"/>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17"/>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17"/>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17"/>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17"/>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17"/>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7"/>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Pr>
        <w:pStyle w:val="2"/>
        <w:spacing w:before="0" w:after="0" w:line="360" w:lineRule="auto"/>
        <w:ind w:left="60" w:firstLine="10"/>
        <w:jc w:val="center"/>
        <w:rPr>
          <w:rFonts w:ascii="Times New Roman"/>
          <w:sz w:val="30"/>
        </w:rPr>
      </w:pPr>
      <w:bookmarkStart w:id="138" w:name="_Hlt70481650"/>
      <w:bookmarkEnd w:id="138"/>
      <w:bookmarkStart w:id="139" w:name="_Toc26207"/>
      <w:bookmarkStart w:id="140" w:name="_Toc74065744"/>
      <w:bookmarkStart w:id="141" w:name="_Toc139991737"/>
      <w:bookmarkStart w:id="142" w:name="_Toc98560353"/>
      <w:bookmarkStart w:id="143" w:name="_Toc141703887"/>
      <w:bookmarkStart w:id="144" w:name="_Toc116984891"/>
      <w:bookmarkStart w:id="145" w:name="_Toc31235"/>
      <w:bookmarkStart w:id="146" w:name="_Toc29251"/>
      <w:bookmarkStart w:id="147" w:name="_Toc123112235"/>
      <w:bookmarkStart w:id="148" w:name="_Toc123051453"/>
      <w:bookmarkStart w:id="149" w:name="_Toc31644"/>
      <w:bookmarkStart w:id="150" w:name="_Toc12245"/>
      <w:bookmarkStart w:id="151" w:name="_Toc15143"/>
      <w:bookmarkStart w:id="152" w:name="_Toc3601"/>
      <w:bookmarkStart w:id="153" w:name="_Toc92377137"/>
      <w:bookmarkStart w:id="154" w:name="_Toc31653"/>
      <w:bookmarkStart w:id="155" w:name="_Toc14835"/>
      <w:bookmarkStart w:id="156" w:name="_Toc123102454"/>
      <w:bookmarkStart w:id="157" w:name="_Toc79154671"/>
      <w:bookmarkStart w:id="158" w:name="_Toc640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Hlt55355235"/>
      <w:bookmarkEnd w:id="159"/>
      <w:bookmarkStart w:id="160" w:name="_Toc15118234"/>
      <w:bookmarkStart w:id="161" w:name="_Toc523711668"/>
      <w:bookmarkStart w:id="162" w:name="_Toc79392580"/>
      <w:bookmarkStart w:id="163" w:name="_Toc57530239"/>
    </w:p>
    <w:p>
      <w:pPr>
        <w:pStyle w:val="17"/>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7"/>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17"/>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17"/>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7"/>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17"/>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17"/>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17"/>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7"/>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17"/>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17"/>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17"/>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7"/>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7"/>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17"/>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17"/>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17"/>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
      <w:pPr>
        <w:widowControl/>
        <w:spacing w:line="360" w:lineRule="auto"/>
        <w:jc w:val="left"/>
        <w:rPr>
          <w:rFonts w:ascii="宋体" w:hAnsi="宋体"/>
          <w:kern w:val="0"/>
          <w:sz w:val="18"/>
          <w:szCs w:val="18"/>
        </w:rPr>
      </w:pPr>
      <w:r>
        <w:rPr>
          <w:rFonts w:hAnsi="宋体"/>
          <w:sz w:val="18"/>
          <w:szCs w:val="18"/>
        </w:rPr>
        <w:br w:type="page"/>
      </w:r>
    </w:p>
    <w:bookmarkEnd w:id="160"/>
    <w:bookmarkEnd w:id="161"/>
    <w:bookmarkEnd w:id="162"/>
    <w:bookmarkEnd w:id="163"/>
    <w:p>
      <w:pPr>
        <w:pStyle w:val="2"/>
        <w:spacing w:before="0" w:after="0" w:line="360" w:lineRule="auto"/>
        <w:jc w:val="center"/>
        <w:rPr>
          <w:rFonts w:ascii="Times New Roman"/>
          <w:sz w:val="30"/>
        </w:rPr>
      </w:pPr>
      <w:bookmarkStart w:id="164" w:name="_Hlt88825574"/>
      <w:bookmarkEnd w:id="164"/>
      <w:bookmarkStart w:id="165" w:name="_Hlt88897298"/>
      <w:bookmarkEnd w:id="165"/>
      <w:bookmarkStart w:id="166" w:name="_Toc9706"/>
      <w:bookmarkStart w:id="167" w:name="_Toc141703888"/>
      <w:bookmarkStart w:id="168" w:name="_Toc3321"/>
      <w:bookmarkStart w:id="169" w:name="_Toc4559"/>
      <w:bookmarkStart w:id="170" w:name="_Toc123112236"/>
      <w:bookmarkStart w:id="171" w:name="_Toc123051454"/>
      <w:bookmarkStart w:id="172" w:name="_Toc25783"/>
      <w:bookmarkStart w:id="173" w:name="_Toc18567"/>
      <w:bookmarkStart w:id="174" w:name="_Toc74065745"/>
      <w:bookmarkStart w:id="175" w:name="_Toc92377138"/>
      <w:bookmarkStart w:id="176" w:name="_Toc79392583"/>
      <w:bookmarkStart w:id="177" w:name="_Toc3771"/>
      <w:bookmarkStart w:id="178" w:name="_Toc7058"/>
      <w:bookmarkStart w:id="179" w:name="_Toc79154672"/>
      <w:bookmarkStart w:id="180" w:name="_Toc6447"/>
      <w:bookmarkStart w:id="181" w:name="_Toc11030"/>
      <w:bookmarkStart w:id="182" w:name="_Toc10650"/>
      <w:bookmarkStart w:id="183" w:name="_Toc116984892"/>
      <w:bookmarkStart w:id="184" w:name="_Toc139991738"/>
      <w:bookmarkStart w:id="185" w:name="_Toc98560354"/>
      <w:bookmarkStart w:id="186" w:name="_Toc123102455"/>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14"/>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17"/>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7"/>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7"/>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7"/>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87" w:name="_Toc1745"/>
      <w:bookmarkStart w:id="188" w:name="_Toc3963"/>
      <w:r>
        <w:br w:type="page"/>
      </w:r>
      <w:bookmarkStart w:id="189" w:name="_Toc16164"/>
      <w:bookmarkStart w:id="190" w:name="_Toc74065746"/>
      <w:bookmarkStart w:id="191" w:name="_Toc725"/>
      <w:bookmarkStart w:id="192" w:name="_Toc31821"/>
      <w:bookmarkStart w:id="193" w:name="_Toc18206"/>
      <w:bookmarkStart w:id="194" w:name="_Toc123051455"/>
      <w:bookmarkStart w:id="195" w:name="_Toc141703889"/>
      <w:bookmarkStart w:id="196" w:name="_Toc3080"/>
      <w:bookmarkStart w:id="197" w:name="_Toc3572"/>
      <w:bookmarkStart w:id="198" w:name="_Toc116984893"/>
      <w:bookmarkStart w:id="199" w:name="_Toc10398"/>
      <w:bookmarkStart w:id="200" w:name="_Toc139991739"/>
      <w:bookmarkStart w:id="201" w:name="_Toc79154673"/>
      <w:bookmarkStart w:id="202" w:name="_Toc21735"/>
      <w:bookmarkStart w:id="203" w:name="_Toc123102456"/>
      <w:bookmarkStart w:id="204" w:name="_Toc92377139"/>
      <w:bookmarkStart w:id="205" w:name="_Toc123112237"/>
      <w:bookmarkStart w:id="206" w:name="_Toc98560355"/>
      <w:r>
        <w:rPr>
          <w:rFonts w:hint="eastAsia"/>
          <w:sz w:val="30"/>
        </w:rPr>
        <w:t>第十条</w:t>
      </w:r>
      <w:r>
        <w:rPr>
          <w:sz w:val="30"/>
        </w:rPr>
        <w:t xml:space="preserve">  </w:t>
      </w:r>
      <w:r>
        <w:rPr>
          <w:rFonts w:hint="eastAsia"/>
          <w:sz w:val="30"/>
        </w:rPr>
        <w:t>理财产品的终止与清算</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spacing w:line="360" w:lineRule="auto"/>
        <w:ind w:firstLine="361" w:firstLineChars="200"/>
        <w:rPr>
          <w:rFonts w:asciiTheme="majorEastAsia" w:hAnsiTheme="majorEastAsia" w:eastAsiaTheme="majorEastAsia"/>
          <w:b/>
          <w:bCs/>
          <w:sz w:val="18"/>
          <w:szCs w:val="18"/>
        </w:rPr>
      </w:pPr>
      <w:bookmarkStart w:id="207" w:name="_Toc79392593"/>
      <w:bookmarkStart w:id="208" w:name="_Toc15118245"/>
      <w:bookmarkStart w:id="209"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207"/>
    <w:bookmarkEnd w:id="208"/>
    <w:bookmarkEnd w:id="209"/>
    <w:p>
      <w:pPr>
        <w:pStyle w:val="2"/>
        <w:spacing w:before="0" w:after="0" w:line="360" w:lineRule="auto"/>
        <w:jc w:val="center"/>
        <w:rPr>
          <w:rFonts w:ascii="Times New Roman"/>
          <w:sz w:val="18"/>
          <w:szCs w:val="18"/>
        </w:rPr>
      </w:pPr>
      <w:r>
        <w:rPr>
          <w:rFonts w:ascii="Times New Roman"/>
          <w:b w:val="0"/>
          <w:bCs w:val="0"/>
          <w:kern w:val="2"/>
        </w:rPr>
        <w:br w:type="page"/>
      </w:r>
      <w:bookmarkStart w:id="210" w:name="_Toc116984894"/>
      <w:bookmarkStart w:id="211" w:name="_Toc92377140"/>
      <w:bookmarkStart w:id="212" w:name="_Toc3329"/>
      <w:bookmarkStart w:id="213" w:name="_Toc123102457"/>
      <w:bookmarkStart w:id="214" w:name="_Toc79392622"/>
      <w:bookmarkStart w:id="215" w:name="_Toc123112238"/>
      <w:bookmarkStart w:id="216" w:name="_Toc123051456"/>
      <w:bookmarkStart w:id="217" w:name="_Toc32584"/>
      <w:bookmarkStart w:id="218" w:name="_Toc32092"/>
      <w:bookmarkStart w:id="219" w:name="_Toc139991740"/>
      <w:bookmarkStart w:id="220" w:name="_Toc79154674"/>
      <w:bookmarkStart w:id="221" w:name="_Toc29408"/>
      <w:bookmarkStart w:id="222" w:name="_Toc74065747"/>
      <w:bookmarkStart w:id="223" w:name="_Toc98560356"/>
      <w:bookmarkStart w:id="224" w:name="_Toc739"/>
      <w:bookmarkStart w:id="225" w:name="_Toc83391975"/>
      <w:bookmarkStart w:id="226" w:name="_Toc48649708"/>
      <w:bookmarkStart w:id="227" w:name="_Toc17920"/>
      <w:bookmarkStart w:id="228" w:name="_Toc8791"/>
      <w:bookmarkStart w:id="229" w:name="_Toc21237"/>
      <w:bookmarkStart w:id="230" w:name="_Toc17198"/>
      <w:bookmarkStart w:id="231" w:name="_Toc5170"/>
      <w:bookmarkStart w:id="232" w:name="_Toc14170389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0"/>
      <w:bookmarkEnd w:id="211"/>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cs="Times New Roman" w:asciiTheme="minorEastAsia" w:hAnsiTheme="minorEastAsia" w:eastAsiaTheme="minorEastAsia"/>
          <w:sz w:val="18"/>
          <w:szCs w:val="18"/>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233" w:name="_Toc79154675"/>
      <w:bookmarkStart w:id="234" w:name="_Toc92377141"/>
      <w:bookmarkStart w:id="235" w:name="_Toc11698489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33"/>
      <w:bookmarkEnd w:id="234"/>
      <w:bookmarkEnd w:id="23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2）投资股权类资产的风险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5"/>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分配</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早偿风险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ascii="黑体" w:hAnsi="黑体" w:eastAsia="黑体"/>
          <w:sz w:val="18"/>
          <w:szCs w:val="18"/>
        </w:rPr>
        <w:sectPr>
          <w:headerReference r:id="rId5" w:type="default"/>
          <w:footerReference r:id="rId6" w:type="default"/>
          <w:pgSz w:w="11906" w:h="16838"/>
          <w:pgMar w:top="1276" w:right="1800" w:bottom="1418" w:left="1800" w:header="567" w:footer="850" w:gutter="0"/>
          <w:pgNumType w:start="1"/>
          <w:cols w:space="425" w:num="1"/>
          <w:docGrid w:type="lines" w:linePitch="312" w:charSpace="0"/>
        </w:sect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9"/>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7"/>
              <w:jc w:val="both"/>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7"/>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hint="eastAsia" w:ascii="宋体" w:hAnsi="宋体"/>
          <w:b/>
          <w:sz w:val="18"/>
          <w:szCs w:val="18"/>
        </w:rPr>
        <w:sectPr>
          <w:headerReference r:id="rId7" w:type="default"/>
          <w:footerReference r:id="rId8" w:type="default"/>
          <w:pgSz w:w="11906" w:h="16838"/>
          <w:pgMar w:top="1440" w:right="1800" w:bottom="1440" w:left="1800" w:header="567" w:footer="964" w:gutter="0"/>
          <w:cols w:space="425" w:num="1"/>
          <w:docGrid w:type="lines" w:linePitch="312" w:charSpace="0"/>
        </w:sect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w:t>
      </w:r>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兴业银行天天万利宝稳利2号净值型理财产品M款</w:t>
      </w:r>
      <w:r>
        <w:rPr>
          <w:rFonts w:hint="eastAsia" w:ascii="宋体" w:hAnsi="宋体" w:cs="仿宋_GB2312"/>
          <w:kern w:val="0"/>
          <w:sz w:val="18"/>
          <w:szCs w:val="18"/>
        </w:rPr>
        <w:t>】</w:t>
      </w:r>
    </w:p>
    <w:p>
      <w:pPr>
        <w:ind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
    <w:p>
      <w:pPr>
        <w:ind w:firstLine="448" w:firstLineChars="249"/>
        <w:rPr>
          <w:rFonts w:ascii="宋体" w:hAnsi="宋体" w:cs="仿宋_GB2312"/>
          <w:kern w:val="0"/>
          <w:sz w:val="18"/>
          <w:szCs w:val="18"/>
        </w:rPr>
      </w:pPr>
      <w:r>
        <w:rPr>
          <w:rFonts w:hint="eastAsia" w:ascii="宋体" w:hAnsi="宋体"/>
          <w:bCs/>
          <w:sz w:val="18"/>
          <w:szCs w:val="18"/>
        </w:rPr>
        <w:t>【稳利恒盈M 6个月】</w:t>
      </w:r>
      <w:r>
        <w:rPr>
          <w:rFonts w:hint="eastAsia" w:ascii="宋体" w:hAnsi="宋体"/>
          <w:bCs/>
          <w:color w:val="000000" w:themeColor="text1"/>
          <w:sz w:val="18"/>
          <w:szCs w:val="18"/>
          <w14:textFill>
            <w14:solidFill>
              <w14:schemeClr w14:val="tx1"/>
            </w14:solidFill>
          </w14:textFill>
        </w:rPr>
        <w:t>（适用【A】类份额</w:t>
      </w:r>
      <w:r>
        <w:rPr>
          <w:rFonts w:hint="eastAsia" w:asciiTheme="majorEastAsia" w:hAnsiTheme="majorEastAsia" w:eastAsiaTheme="majorEastAsia"/>
          <w:bCs/>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Z7002020000030</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有固定期限：【】</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本理财产品风险评级最终定义为【R</w:t>
      </w:r>
      <w:r>
        <w:rPr>
          <w:rFonts w:ascii="宋体" w:hAnsi="宋体" w:cs="仿宋_GB2312"/>
          <w:kern w:val="0"/>
          <w:sz w:val="18"/>
          <w:szCs w:val="18"/>
        </w:rPr>
        <w:t>2】</w:t>
      </w:r>
      <w:r>
        <w:rPr>
          <w:rFonts w:hint="eastAsia" w:ascii="宋体" w:hAnsi="宋体" w:cs="仿宋_GB2312"/>
          <w:kern w:val="0"/>
          <w:sz w:val="18"/>
          <w:szCs w:val="18"/>
        </w:rPr>
        <w:t>（产品管理人定义的产品风险评级为【R</w:t>
      </w:r>
      <w:r>
        <w:rPr>
          <w:rFonts w:ascii="宋体" w:hAnsi="宋体" w:cs="仿宋_GB2312"/>
          <w:kern w:val="0"/>
          <w:sz w:val="18"/>
          <w:szCs w:val="18"/>
        </w:rPr>
        <w:t>2】</w:t>
      </w:r>
      <w:r>
        <w:rPr>
          <w:rFonts w:hint="eastAsia" w:ascii="宋体" w:hAnsi="宋体" w:cs="仿宋_GB2312"/>
          <w:kern w:val="0"/>
          <w:sz w:val="18"/>
          <w:szCs w:val="18"/>
        </w:rPr>
        <w:t>；代理销售机构定义的产品风险评级为【R</w:t>
      </w:r>
      <w:r>
        <w:rPr>
          <w:rFonts w:ascii="宋体" w:hAnsi="宋体" w:cs="仿宋_GB2312"/>
          <w:kern w:val="0"/>
          <w:sz w:val="18"/>
          <w:szCs w:val="18"/>
        </w:rPr>
        <w:t>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5"/>
        <w:ind w:firstLine="360"/>
        <w:rPr>
          <w:rFonts w:ascii="宋体" w:hAnsi="宋体"/>
          <w:sz w:val="18"/>
          <w:szCs w:val="18"/>
        </w:rPr>
      </w:pPr>
      <w:r>
        <w:rPr>
          <w:rFonts w:hint="eastAsia" w:ascii="宋体" w:hAnsi="宋体"/>
          <w:sz w:val="18"/>
          <w:szCs w:val="18"/>
        </w:rPr>
        <w:t>1.拟投资市场和资产的风险：</w:t>
      </w:r>
    </w:p>
    <w:p>
      <w:pPr>
        <w:pStyle w:val="15"/>
        <w:ind w:firstLine="360"/>
        <w:rPr>
          <w:rFonts w:ascii="宋体" w:hAnsi="宋体"/>
          <w:sz w:val="18"/>
          <w:szCs w:val="18"/>
        </w:rPr>
      </w:pPr>
      <w:r>
        <w:rPr>
          <w:rFonts w:hint="eastAsia" w:ascii="宋体" w:hAnsi="宋体"/>
          <w:sz w:val="18"/>
          <w:szCs w:val="18"/>
        </w:rPr>
        <w:t>（1）投资债权类资产的风险</w:t>
      </w:r>
    </w:p>
    <w:p>
      <w:pPr>
        <w:pStyle w:val="15"/>
        <w:ind w:firstLine="360"/>
        <w:rPr>
          <w:rFonts w:ascii="宋体" w:hAnsi="宋体"/>
          <w:sz w:val="18"/>
          <w:szCs w:val="18"/>
        </w:rPr>
      </w:pPr>
      <w:r>
        <w:rPr>
          <w:rFonts w:hint="eastAsia" w:ascii="宋体" w:hAnsi="宋体"/>
          <w:sz w:val="18"/>
          <w:szCs w:val="18"/>
        </w:rPr>
        <w:t>1）投资标准化债权类资产的风险</w:t>
      </w:r>
    </w:p>
    <w:p>
      <w:pPr>
        <w:pStyle w:val="15"/>
        <w:ind w:firstLine="36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5"/>
        <w:ind w:firstLine="360"/>
        <w:rPr>
          <w:rFonts w:ascii="宋体" w:hAnsi="宋体"/>
          <w:sz w:val="18"/>
          <w:szCs w:val="18"/>
        </w:rPr>
      </w:pPr>
      <w:r>
        <w:rPr>
          <w:rFonts w:hint="eastAsia" w:ascii="宋体" w:hAnsi="宋体"/>
          <w:sz w:val="18"/>
          <w:szCs w:val="18"/>
        </w:rPr>
        <w:t>2）投资非标准化债权类资产的风险</w:t>
      </w:r>
    </w:p>
    <w:p>
      <w:pPr>
        <w:pStyle w:val="15"/>
        <w:ind w:firstLine="36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5"/>
        <w:ind w:firstLine="360"/>
        <w:rPr>
          <w:rFonts w:ascii="宋体" w:hAnsi="宋体"/>
          <w:sz w:val="18"/>
          <w:szCs w:val="18"/>
        </w:rPr>
      </w:pPr>
      <w:r>
        <w:rPr>
          <w:rFonts w:hint="eastAsia" w:ascii="宋体" w:hAnsi="宋体"/>
          <w:sz w:val="18"/>
          <w:szCs w:val="18"/>
        </w:rPr>
        <w:t xml:space="preserve">（2）投资权益类资产的风险 </w:t>
      </w:r>
    </w:p>
    <w:p>
      <w:pPr>
        <w:pStyle w:val="15"/>
        <w:ind w:firstLine="360"/>
        <w:rPr>
          <w:rFonts w:ascii="宋体" w:hAnsi="宋体"/>
          <w:sz w:val="18"/>
          <w:szCs w:val="18"/>
        </w:rPr>
      </w:pPr>
      <w:r>
        <w:rPr>
          <w:rFonts w:hint="eastAsia" w:ascii="宋体" w:hAnsi="宋体"/>
          <w:sz w:val="18"/>
          <w:szCs w:val="18"/>
        </w:rPr>
        <w:t>1）投资股票类资产的风险</w:t>
      </w:r>
    </w:p>
    <w:p>
      <w:pPr>
        <w:pStyle w:val="15"/>
        <w:ind w:firstLine="360"/>
        <w:rPr>
          <w:rFonts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5"/>
        <w:ind w:firstLine="360"/>
        <w:rPr>
          <w:rFonts w:ascii="宋体" w:hAnsi="宋体"/>
          <w:sz w:val="18"/>
          <w:szCs w:val="18"/>
        </w:rPr>
      </w:pPr>
      <w:r>
        <w:rPr>
          <w:rFonts w:hint="eastAsia" w:ascii="宋体" w:hAnsi="宋体"/>
          <w:sz w:val="18"/>
          <w:szCs w:val="18"/>
        </w:rPr>
        <w:t>2）投资股权类资产的风险</w:t>
      </w:r>
    </w:p>
    <w:p>
      <w:pPr>
        <w:pStyle w:val="15"/>
        <w:ind w:firstLine="360"/>
        <w:rPr>
          <w:rFonts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pStyle w:val="15"/>
        <w:ind w:firstLine="360"/>
        <w:rPr>
          <w:rFonts w:ascii="宋体" w:hAnsi="宋体"/>
          <w:sz w:val="18"/>
          <w:szCs w:val="18"/>
        </w:rPr>
      </w:pPr>
      <w:r>
        <w:rPr>
          <w:rFonts w:hint="eastAsia" w:ascii="宋体" w:hAnsi="宋体"/>
          <w:sz w:val="18"/>
          <w:szCs w:val="18"/>
        </w:rPr>
        <w:t xml:space="preserve">（3）投资商品和金融衍生品类资产的风险 </w:t>
      </w:r>
    </w:p>
    <w:p>
      <w:pPr>
        <w:pStyle w:val="15"/>
        <w:ind w:firstLine="360"/>
        <w:rPr>
          <w:rFonts w:ascii="宋体" w:hAnsi="宋体"/>
          <w:bCs/>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bCs/>
          <w:sz w:val="18"/>
          <w:szCs w:val="18"/>
        </w:rPr>
        <w:t>。</w:t>
      </w:r>
    </w:p>
    <w:p>
      <w:pPr>
        <w:pStyle w:val="15"/>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5"/>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5"/>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5"/>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5"/>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5"/>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5"/>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5"/>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5"/>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5"/>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5"/>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5"/>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5"/>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5"/>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5"/>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5"/>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5"/>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5"/>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5"/>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5"/>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5"/>
        <w:ind w:firstLineChars="0"/>
        <w:rPr>
          <w:rFonts w:ascii="宋体" w:hAnsi="宋体"/>
          <w:b/>
          <w:bCs/>
          <w:sz w:val="18"/>
          <w:szCs w:val="18"/>
        </w:rPr>
      </w:pPr>
      <w:r>
        <w:rPr>
          <w:rFonts w:hint="eastAsia" w:ascii="宋体" w:hAnsi="宋体"/>
          <w:b/>
          <w:bCs/>
          <w:sz w:val="18"/>
          <w:szCs w:val="18"/>
        </w:rPr>
        <w:t>17.关联交易风险</w:t>
      </w:r>
    </w:p>
    <w:p>
      <w:pPr>
        <w:pStyle w:val="15"/>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10"/>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10"/>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pacing w:line="360" w:lineRule="auto"/>
        <w:jc w:val="left"/>
        <w:rPr>
          <w:rFonts w:hint="eastAsia" w:ascii="宋体" w:hAnsi="宋体"/>
          <w:b/>
          <w:sz w:val="18"/>
          <w:szCs w:val="18"/>
        </w:r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 xml:space="preserve">     </w:t>
      </w:r>
      <w:r>
        <w:rPr>
          <w:rFonts w:hint="eastAsia" w:ascii="宋体" w:hAnsi="宋体"/>
          <w:sz w:val="18"/>
          <w:szCs w:val="18"/>
        </w:rPr>
        <w:t>】以(□ 直销：产品管理人销售/</w:t>
      </w:r>
      <w:r>
        <w:rPr>
          <w:rFonts w:hint="eastAsia" w:asciiTheme="majorEastAsia" w:hAnsiTheme="majorEastAsia" w:eastAsiaTheme="majorEastAsia"/>
          <w:bCs/>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ascii="宋体" w:hAnsi="宋体"/>
          <w:sz w:val="18"/>
          <w:szCs w:val="18"/>
        </w:rPr>
        <w:t>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激进型（R6）</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w:t>
      </w:r>
      <w:r>
        <w:fldChar w:fldCharType="begin"/>
      </w:r>
      <w:r>
        <w:instrText xml:space="preserve"> HYPERLINK "mailto:95561@cib.com.cn】" </w:instrText>
      </w:r>
      <w:r>
        <w:fldChar w:fldCharType="separate"/>
      </w:r>
      <w:r>
        <w:rPr>
          <w:rStyle w:val="13"/>
          <w:rFonts w:hint="eastAsia" w:ascii="宋体" w:hAnsi="宋体"/>
          <w:sz w:val="18"/>
          <w:szCs w:val="18"/>
        </w:rPr>
        <w:t>9</w:t>
      </w:r>
      <w:r>
        <w:rPr>
          <w:rStyle w:val="13"/>
          <w:rFonts w:ascii="宋体" w:hAnsi="宋体"/>
          <w:sz w:val="18"/>
          <w:szCs w:val="18"/>
        </w:rPr>
        <w:t>5561</w:t>
      </w:r>
      <w:r>
        <w:rPr>
          <w:rStyle w:val="13"/>
          <w:rFonts w:hint="eastAsia" w:ascii="宋体" w:hAnsi="宋体"/>
          <w:sz w:val="18"/>
          <w:szCs w:val="18"/>
        </w:rPr>
        <w:t>@</w:t>
      </w:r>
      <w:r>
        <w:rPr>
          <w:rStyle w:val="13"/>
          <w:rFonts w:asciiTheme="minorEastAsia" w:hAnsiTheme="minorEastAsia"/>
          <w:sz w:val="18"/>
          <w:szCs w:val="18"/>
        </w:rPr>
        <w:t>cib.com.cn</w:t>
      </w:r>
      <w:r>
        <w:rPr>
          <w:rStyle w:val="13"/>
          <w:rFonts w:hint="eastAsia" w:ascii="宋体" w:hAnsi="宋体"/>
          <w:sz w:val="18"/>
          <w:szCs w:val="18"/>
        </w:rPr>
        <w:t>】</w:t>
      </w:r>
      <w:r>
        <w:rPr>
          <w:rStyle w:val="13"/>
          <w:rFonts w:hint="eastAsia" w:ascii="宋体" w:hAnsi="宋体"/>
          <w:sz w:val="18"/>
          <w:szCs w:val="18"/>
        </w:rPr>
        <w:fldChar w:fldCharType="end"/>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autoSpaceDE w:val="0"/>
        <w:autoSpaceDN w:val="0"/>
        <w:adjustRightInd w:val="0"/>
        <w:jc w:val="left"/>
        <w:rPr>
          <w:rFonts w:ascii="仿宋_GB2312" w:eastAsia="仿宋_GB2312" w:cs="仿宋_GB2312"/>
          <w:color w:val="000000"/>
          <w:kern w:val="0"/>
          <w:sz w:val="24"/>
          <w:szCs w:val="24"/>
        </w:rPr>
      </w:pPr>
      <w:r>
        <w:rPr>
          <w:rFonts w:hint="eastAsia" w:ascii="宋体" w:hAnsi="宋体"/>
          <w:sz w:val="18"/>
          <w:szCs w:val="18"/>
        </w:rPr>
        <w:t>【/】</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w:t>
      </w:r>
      <w:bookmarkStart w:id="236" w:name="_GoBack"/>
      <w:bookmarkEnd w:id="236"/>
      <w:r>
        <w:rPr>
          <w:rStyle w:val="12"/>
          <w:rFonts w:hint="eastAsia" w:ascii="黑体" w:hAnsi="黑体" w:eastAsia="黑体"/>
          <w:sz w:val="28"/>
          <w:szCs w:val="28"/>
        </w:rPr>
        <w:t>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spacing w:line="360" w:lineRule="auto"/>
        <w:jc w:val="left"/>
        <w:rPr>
          <w:rFonts w:hint="eastAsia" w:ascii="宋体" w:hAnsi="宋体"/>
          <w:b/>
          <w:sz w:val="18"/>
          <w:szCs w:val="18"/>
        </w:rPr>
      </w:pPr>
    </w:p>
    <w:sectPr>
      <w:headerReference r:id="rId11" w:type="default"/>
      <w:footerReference r:id="rId12"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5</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4"/>
          <w:jc w:val="center"/>
        </w:pPr>
        <w:r>
          <w:fldChar w:fldCharType="begin"/>
        </w:r>
        <w:r>
          <w:instrText xml:space="preserve"> PAGE   \* MERGEFORMAT </w:instrText>
        </w:r>
        <w:r>
          <w:fldChar w:fldCharType="separate"/>
        </w:r>
        <w:r>
          <w:rPr>
            <w:lang w:val="zh-CN"/>
          </w:rPr>
          <w:t>42</w:t>
        </w:r>
        <w:r>
          <w:fldChar w:fldCharType="end"/>
        </w:r>
      </w:p>
    </w:sdtContent>
  </w:sdt>
  <w:p>
    <w:pPr>
      <w:pStyle w:val="3"/>
      <w:jc w:val="both"/>
      <w:rPr>
        <w:rFonts w:ascii="黑体" w:hAnsi="黑体" w:eastAsia="黑体"/>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b/>
      </w:rPr>
    </w:pPr>
    <w:r>
      <w:rPr>
        <w:rFonts w:hint="eastAsia"/>
        <w:b/>
      </w:rPr>
      <w:t>投资协议书</w:t>
    </w:r>
  </w:p>
  <w:p>
    <w:pPr>
      <w:pStyle w:val="5"/>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104420"/>
    <w:rsid w:val="3E106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annotation text"/>
    <w:basedOn w:val="1"/>
    <w:qFormat/>
    <w:uiPriority w:val="99"/>
    <w:pPr>
      <w:widowControl/>
      <w:jc w:val="left"/>
    </w:pPr>
    <w:rPr>
      <w:rFonts w:ascii="宋体" w:hAnsi="宋体"/>
      <w:kern w:val="0"/>
      <w:sz w:val="24"/>
      <w:szCs w:val="24"/>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 w:type="paragraph" w:styleId="6">
    <w:name w:val="toc 1"/>
    <w:basedOn w:val="1"/>
    <w:next w:val="1"/>
    <w:qFormat/>
    <w:uiPriority w:val="39"/>
    <w:pPr>
      <w:tabs>
        <w:tab w:val="right" w:leader="dot" w:pos="8296"/>
      </w:tabs>
      <w:spacing w:line="360" w:lineRule="auto"/>
    </w:pPr>
  </w:style>
  <w:style w:type="paragraph" w:styleId="7">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8">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styleId="14">
    <w:name w:val="annotation reference"/>
    <w:qFormat/>
    <w:uiPriority w:val="99"/>
    <w:rPr>
      <w:sz w:val="21"/>
      <w:szCs w:val="21"/>
    </w:rPr>
  </w:style>
  <w:style w:type="paragraph" w:styleId="15">
    <w:name w:val="List Paragraph"/>
    <w:basedOn w:val="1"/>
    <w:qFormat/>
    <w:uiPriority w:val="0"/>
    <w:pPr>
      <w:ind w:firstLine="420" w:firstLineChars="200"/>
    </w:pPr>
  </w:style>
  <w:style w:type="paragraph" w:customStyle="1" w:styleId="1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2023-07-10T03:25:24Z</dcterms:created>
  <dc:creator>admin</dc:creator>
  <cp:lastModifiedBy>admin</cp:lastModifiedBy>
  <dcterms:modified xsi:type="dcterms:W3CDTF">2023-07-10T03:39:13Z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