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【稳利恒盈】封闭式</w:t>
      </w:r>
      <w:permEnd w:id="0"/>
      <w:r>
        <w:rPr>
          <w:rFonts w:hint="eastAsia" w:ascii="黑体" w:hAnsi="黑体" w:eastAsia="黑体"/>
          <w:b/>
          <w:bCs/>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6" w:edGrp="everyone" w:colFirst="2" w:colLast="2"/>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7" w:edGrp="everyone" w:colFirst="2" w:colLast="2"/>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val="en-US" w:eastAsia="zh-Hans"/>
              </w:rPr>
              <w:t>浙江桐庐农村商业银行股份有限公司</w:t>
            </w:r>
            <w:r>
              <w:rPr>
                <w:rFonts w:hint="eastAsia" w:ascii="宋体" w:hAnsi="宋体"/>
                <w:bCs/>
                <w:sz w:val="18"/>
                <w:szCs w:val="18"/>
              </w:rPr>
              <w:t>】</w:t>
            </w:r>
          </w:p>
        </w:tc>
      </w:tr>
      <w:permEnd w:id="1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8" w:edGrp="everyone" w:colFirst="2" w:colLast="2"/>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15"/>
              <w:jc w:val="both"/>
              <w:rPr>
                <w:rFonts w:hAnsi="宋体"/>
                <w:bCs/>
                <w:sz w:val="18"/>
                <w:szCs w:val="18"/>
              </w:rPr>
            </w:pPr>
            <w:r>
              <w:rPr>
                <w:rFonts w:hint="eastAsia" w:asciiTheme="majorEastAsia" w:hAnsiTheme="majorEastAsia" w:eastAsiaTheme="majorEastAsia"/>
                <w:bCs/>
                <w:sz w:val="18"/>
                <w:szCs w:val="18"/>
              </w:rPr>
              <w:t>【】</w:t>
            </w:r>
          </w:p>
        </w:tc>
      </w:tr>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permStart w:id="20" w:edGrp="everyone"/>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ermEnd w:id="20"/>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宋体" w:hAnsi="宋体" w:cs="仿宋_GB2312"/>
          <w:kern w:val="0"/>
          <w:sz w:val="18"/>
          <w:szCs w:val="18"/>
        </w:rPr>
      </w:pPr>
      <w:permStart w:id="21" w:edGrp="everyone"/>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ermEnd w:id="21"/>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default" w:ascii="宋体" w:hAnsi="宋体" w:cs="仿宋_GB2312"/>
          <w:kern w:val="0"/>
          <w:sz w:val="18"/>
          <w:szCs w:val="18"/>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R1</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R2</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R3</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R4</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R5</w:t>
      </w:r>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bookmarkStart w:id="0" w:name="_GoBack"/>
      <w:bookmarkEnd w:id="0"/>
      <w:r>
        <w:rPr>
          <w:rFonts w:hint="eastAsia" w:ascii="宋体" w:hAnsi="宋体" w:cs="仿宋_GB2312"/>
          <w:kern w:val="0"/>
          <w:sz w:val="18"/>
          <w:szCs w:val="18"/>
        </w:rPr>
        <w:t>，</w:t>
      </w:r>
      <w:r>
        <w:rPr>
          <w:rFonts w:ascii="宋体" w:hAnsi="宋体" w:cs="仿宋_GB2312"/>
          <w:kern w:val="0"/>
          <w:sz w:val="18"/>
          <w:szCs w:val="18"/>
        </w:rPr>
        <w:t>乙方将投资者风险承受能力分为</w:t>
      </w:r>
      <w:r>
        <w:rPr>
          <w:rFonts w:hint="eastAsia" w:ascii="宋体" w:hAnsi="宋体" w:cs="仿宋_GB2312"/>
          <w:kern w:val="0"/>
          <w:sz w:val="18"/>
          <w:szCs w:val="18"/>
        </w:rPr>
        <w:t>若干等级。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0"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roman"/>
    <w:pitch w:val="default"/>
    <w:sig w:usb0="00000000" w:usb1="00000000" w:usb2="00000000" w:usb3="00000000" w:csb0="00000000" w:csb1="00000000"/>
  </w:font>
  <w:font w:name="方正仿宋_GBK">
    <w:panose1 w:val="02000000000000000000"/>
    <w:charset w:val="86"/>
    <w:family w:val="auto"/>
    <w:pitch w:val="default"/>
    <w:sig w:usb0="00000000" w:usb1="00000000" w:usb2="00000000" w:usb3="00000000" w:csb0="00160000" w:csb1="00000000"/>
  </w:font>
  <w:font w:name="Wingdings 2">
    <w:panose1 w:val="05020102010507070707"/>
    <w:charset w:val="02"/>
    <w:family w:val="roman"/>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 w:val="DFDCD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644</Words>
  <Characters>3674</Characters>
  <Lines>30</Lines>
  <Paragraphs>8</Paragraphs>
  <TotalTime>0</TotalTime>
  <ScaleCrop>false</ScaleCrop>
  <LinksUpToDate>false</LinksUpToDate>
  <CharactersWithSpaces>4310</CharactersWithSpaces>
  <Application>WPS Office_5.5.1.7991_F1E327BC-269C-435d-A152-05C5408002CA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2022-10-18T15:40:00Z</dcterms:created>
  <dc:creator>胡骁潇</dc:creator>
  <cp:lastModifiedBy>叫我三米三</cp:lastModifiedBy>
  <dcterms:modified xsi:type="dcterms:W3CDTF">2023-07-18T16:17:41Z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F241800B1FAE42C5A83223FCDFFC1B71</vt:lpwstr>
  </property>
</Properties>
</file>