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0377C2" w14:textId="77777777" w:rsidR="00564950" w:rsidRDefault="00D15677">
      <w:pPr>
        <w:adjustRightInd w:val="0"/>
        <w:spacing w:line="276" w:lineRule="auto"/>
        <w:ind w:firstLine="422"/>
        <w:jc w:val="center"/>
        <w:rPr>
          <w:rFonts w:ascii="黑体" w:eastAsia="黑体" w:hAnsi="黑体"/>
          <w:b/>
          <w:bCs/>
          <w:sz w:val="28"/>
          <w:szCs w:val="28"/>
        </w:rPr>
      </w:pPr>
      <w:r>
        <w:rPr>
          <w:rFonts w:ascii="黑体" w:eastAsia="黑体" w:hAnsi="黑体" w:hint="eastAsia"/>
          <w:b/>
          <w:bCs/>
          <w:sz w:val="28"/>
          <w:szCs w:val="28"/>
        </w:rPr>
        <w:t>兴银理财</w:t>
      </w:r>
      <w:permStart w:id="1960600198" w:edGrp="everyone"/>
      <w:r w:rsidR="0079557E">
        <w:rPr>
          <w:rFonts w:ascii="黑体" w:eastAsia="黑体" w:hAnsi="黑体" w:hint="eastAsia"/>
          <w:b/>
          <w:bCs/>
          <w:sz w:val="28"/>
          <w:szCs w:val="28"/>
        </w:rPr>
        <w:t>稳利安盈</w:t>
      </w:r>
      <w:r w:rsidR="003A51E6" w:rsidRPr="003A51E6">
        <w:rPr>
          <w:rFonts w:ascii="黑体" w:eastAsia="黑体" w:hAnsi="黑体" w:hint="eastAsia"/>
          <w:b/>
          <w:bCs/>
          <w:sz w:val="28"/>
          <w:szCs w:val="28"/>
        </w:rPr>
        <w:t>封闭式</w:t>
      </w:r>
      <w:permEnd w:id="1960600198"/>
      <w:r>
        <w:rPr>
          <w:rFonts w:ascii="黑体" w:eastAsia="黑体" w:hAnsi="黑体"/>
          <w:b/>
          <w:bCs/>
          <w:sz w:val="28"/>
          <w:szCs w:val="28"/>
        </w:rPr>
        <w:t>理财产品</w:t>
      </w:r>
    </w:p>
    <w:p w14:paraId="74163D31" w14:textId="77777777" w:rsidR="00564950" w:rsidRDefault="00D15677">
      <w:pPr>
        <w:adjustRightInd w:val="0"/>
        <w:spacing w:line="276" w:lineRule="auto"/>
        <w:ind w:firstLine="422"/>
        <w:jc w:val="center"/>
        <w:rPr>
          <w:rFonts w:ascii="黑体" w:eastAsia="黑体" w:hAnsi="黑体"/>
          <w:b/>
          <w:bCs/>
          <w:sz w:val="28"/>
          <w:szCs w:val="28"/>
        </w:rPr>
      </w:pPr>
      <w:r>
        <w:rPr>
          <w:rFonts w:ascii="黑体" w:eastAsia="黑体" w:hAnsi="黑体"/>
          <w:b/>
          <w:bCs/>
          <w:sz w:val="28"/>
          <w:szCs w:val="28"/>
        </w:rPr>
        <w:t>风险揭示书</w:t>
      </w:r>
    </w:p>
    <w:p w14:paraId="14367A56" w14:textId="77777777" w:rsidR="00564950" w:rsidRDefault="00D15677">
      <w:pPr>
        <w:autoSpaceDE w:val="0"/>
        <w:autoSpaceDN w:val="0"/>
        <w:adjustRightInd w:val="0"/>
        <w:snapToGrid w:val="0"/>
        <w:spacing w:beforeLines="50" w:before="156" w:line="320" w:lineRule="exact"/>
        <w:jc w:val="center"/>
        <w:rPr>
          <w:rFonts w:ascii="宋体" w:hAnsi="宋体"/>
          <w:b/>
          <w:sz w:val="24"/>
        </w:rPr>
      </w:pPr>
      <w:r>
        <w:rPr>
          <w:rFonts w:ascii="宋体" w:hAnsi="宋体" w:hint="eastAsia"/>
          <w:b/>
          <w:sz w:val="24"/>
        </w:rPr>
        <w:t>理财非存款、产品有风险、投资须谨慎</w:t>
      </w:r>
    </w:p>
    <w:p w14:paraId="090000B3" w14:textId="77777777" w:rsidR="00564950" w:rsidRDefault="00D15677">
      <w:pPr>
        <w:rPr>
          <w:rFonts w:ascii="宋体" w:hAnsi="宋体" w:cs="仿宋_GB2312"/>
          <w:b/>
          <w:kern w:val="0"/>
          <w:sz w:val="18"/>
          <w:szCs w:val="18"/>
        </w:rPr>
      </w:pPr>
      <w:r>
        <w:rPr>
          <w:rFonts w:ascii="宋体" w:hAnsi="宋体" w:cs="仿宋_GB2312" w:hint="eastAsia"/>
          <w:b/>
          <w:kern w:val="0"/>
          <w:sz w:val="18"/>
          <w:szCs w:val="18"/>
        </w:rPr>
        <w:t>尊敬的投资者：</w:t>
      </w:r>
    </w:p>
    <w:p w14:paraId="60278321" w14:textId="77777777" w:rsidR="00564950" w:rsidRDefault="00D15677">
      <w:pPr>
        <w:ind w:firstLineChars="249" w:firstLine="448"/>
        <w:rPr>
          <w:rFonts w:ascii="宋体" w:hAnsi="宋体" w:cs="仿宋_GB2312"/>
          <w:kern w:val="0"/>
          <w:sz w:val="18"/>
          <w:szCs w:val="18"/>
        </w:rPr>
      </w:pPr>
      <w:r>
        <w:rPr>
          <w:rFonts w:ascii="宋体" w:hAnsi="宋体" w:cs="仿宋_GB2312" w:hint="eastAsia"/>
          <w:kern w:val="0"/>
          <w:sz w:val="18"/>
          <w:szCs w:val="18"/>
        </w:rPr>
        <w:t>本理财产品不保证理财本金的安全及理财收益。在您选择购买本产品前，请仔细阅读以下内容：</w:t>
      </w:r>
    </w:p>
    <w:p w14:paraId="66DE7A5A" w14:textId="77777777" w:rsidR="00564950" w:rsidRDefault="00D15677">
      <w:pPr>
        <w:autoSpaceDE w:val="0"/>
        <w:autoSpaceDN w:val="0"/>
        <w:adjustRightInd w:val="0"/>
        <w:ind w:firstLine="420"/>
        <w:jc w:val="left"/>
        <w:rPr>
          <w:rFonts w:ascii="宋体" w:hAnsi="宋体"/>
          <w:sz w:val="18"/>
          <w:szCs w:val="18"/>
        </w:rPr>
      </w:pPr>
      <w:r>
        <w:rPr>
          <w:rFonts w:ascii="宋体" w:hAnsi="宋体" w:hint="eastAsia"/>
          <w:b/>
          <w:sz w:val="18"/>
          <w:szCs w:val="18"/>
        </w:rPr>
        <w:t>一</w:t>
      </w:r>
      <w:r>
        <w:rPr>
          <w:rFonts w:ascii="宋体" w:hAnsi="宋体" w:hint="eastAsia"/>
          <w:sz w:val="18"/>
          <w:szCs w:val="18"/>
        </w:rPr>
        <w:t>、</w:t>
      </w:r>
      <w:r>
        <w:rPr>
          <w:rFonts w:ascii="黑体" w:eastAsia="黑体" w:hAnsi="黑体" w:cs="仿宋_GB2312" w:hint="eastAsia"/>
          <w:bCs/>
          <w:kern w:val="0"/>
          <w:sz w:val="18"/>
          <w:szCs w:val="18"/>
        </w:rPr>
        <w:t>★</w:t>
      </w:r>
      <w:r>
        <w:rPr>
          <w:rFonts w:ascii="黑体" w:eastAsia="黑体" w:hAnsi="黑体" w:hint="eastAsia"/>
          <w:sz w:val="18"/>
          <w:szCs w:val="18"/>
        </w:rPr>
        <w:t>《投资协议书》、《产品说明书》、《（代理）销售协议书》、</w:t>
      </w:r>
      <w:r>
        <w:rPr>
          <w:rFonts w:ascii="黑体" w:eastAsia="黑体" w:hAnsi="黑体" w:hint="eastAsia"/>
          <w:sz w:val="18"/>
        </w:rPr>
        <w:t>《风险揭示书》、《投资者权益须知》</w:t>
      </w:r>
      <w:r>
        <w:rPr>
          <w:rFonts w:ascii="黑体" w:eastAsia="黑体" w:hAnsi="黑体" w:hint="eastAsia"/>
          <w:sz w:val="18"/>
          <w:szCs w:val="18"/>
        </w:rPr>
        <w:t>等有关文件共同构成一份完整且</w:t>
      </w:r>
      <w:r>
        <w:rPr>
          <w:rFonts w:ascii="黑体" w:eastAsia="黑体" w:hAnsi="黑体" w:hint="eastAsia"/>
          <w:sz w:val="18"/>
        </w:rPr>
        <w:t>不可分割的</w:t>
      </w:r>
      <w:r>
        <w:rPr>
          <w:rFonts w:ascii="黑体" w:eastAsia="黑体" w:hAnsi="黑体" w:hint="eastAsia"/>
          <w:sz w:val="18"/>
          <w:szCs w:val="18"/>
        </w:rPr>
        <w:t>理财产品销售文件</w:t>
      </w:r>
      <w:r>
        <w:rPr>
          <w:rFonts w:ascii="宋体" w:hAnsi="宋体" w:hint="eastAsia"/>
          <w:sz w:val="18"/>
          <w:szCs w:val="18"/>
        </w:rPr>
        <w:t>，在购买理财产品前，请您仔细阅读理财产品销售文件，确保自己完全理解该项投资的性质和面临的风险，详细了解和审慎评估该理财产品的资金投资方向、风险类型等情况，在慎重考虑后自行决定购买与自身风险承受能力和资产管理需求匹配的理财产品。</w:t>
      </w:r>
    </w:p>
    <w:p w14:paraId="0008C815" w14:textId="77777777" w:rsidR="00564950" w:rsidRDefault="00D15677">
      <w:pPr>
        <w:ind w:firstLineChars="249" w:firstLine="448"/>
        <w:rPr>
          <w:rFonts w:ascii="宋体" w:hAnsi="宋体" w:cs="仿宋_GB2312"/>
          <w:kern w:val="0"/>
          <w:sz w:val="18"/>
          <w:szCs w:val="18"/>
        </w:rPr>
      </w:pPr>
      <w:r>
        <w:rPr>
          <w:rFonts w:ascii="黑体" w:eastAsia="黑体" w:hAnsi="黑体" w:cs="仿宋_GB2312" w:hint="eastAsia"/>
          <w:kern w:val="0"/>
          <w:sz w:val="18"/>
          <w:szCs w:val="18"/>
        </w:rPr>
        <w:t>二、</w:t>
      </w:r>
      <w:r>
        <w:rPr>
          <w:rFonts w:ascii="黑体" w:eastAsia="黑体" w:hAnsi="黑体" w:cs="仿宋_GB2312" w:hint="eastAsia"/>
          <w:bCs/>
          <w:kern w:val="0"/>
          <w:sz w:val="18"/>
          <w:szCs w:val="18"/>
        </w:rPr>
        <w:t>★</w:t>
      </w:r>
      <w:r>
        <w:rPr>
          <w:rFonts w:ascii="宋体" w:hAnsi="宋体" w:cs="仿宋_GB2312" w:hint="eastAsia"/>
          <w:kern w:val="0"/>
          <w:sz w:val="18"/>
          <w:szCs w:val="18"/>
        </w:rPr>
        <w:t>本产品基本信息</w:t>
      </w:r>
    </w:p>
    <w:p w14:paraId="6BF08AFE" w14:textId="77777777" w:rsidR="00564950" w:rsidRDefault="00D15677">
      <w:pPr>
        <w:ind w:firstLineChars="249" w:firstLine="448"/>
        <w:rPr>
          <w:rFonts w:ascii="宋体" w:hAnsi="宋体" w:cs="仿宋_GB2312"/>
          <w:kern w:val="0"/>
          <w:sz w:val="18"/>
          <w:szCs w:val="18"/>
        </w:rPr>
      </w:pPr>
      <w:r>
        <w:rPr>
          <w:rFonts w:ascii="宋体" w:hAnsi="宋体" w:cs="仿宋_GB2312" w:hint="eastAsia"/>
          <w:kern w:val="0"/>
          <w:sz w:val="18"/>
          <w:szCs w:val="18"/>
        </w:rPr>
        <w:t>（一）产品名称、</w:t>
      </w:r>
      <w:r>
        <w:rPr>
          <w:rFonts w:ascii="宋体" w:hAnsi="宋体" w:cs="仿宋_GB2312"/>
          <w:kern w:val="0"/>
          <w:sz w:val="18"/>
          <w:szCs w:val="18"/>
        </w:rPr>
        <w:t>销售名称及产品登记编码</w:t>
      </w:r>
    </w:p>
    <w:p w14:paraId="0611296A" w14:textId="08D1A27C" w:rsidR="00564950" w:rsidRDefault="00D15677">
      <w:pPr>
        <w:ind w:firstLineChars="249" w:firstLine="448"/>
        <w:rPr>
          <w:rFonts w:ascii="宋体" w:hAnsi="宋体" w:cs="仿宋_GB2312"/>
          <w:kern w:val="0"/>
          <w:sz w:val="18"/>
          <w:szCs w:val="18"/>
        </w:rPr>
      </w:pPr>
      <w:r>
        <w:rPr>
          <w:rFonts w:ascii="宋体" w:hAnsi="宋体" w:cs="仿宋_GB2312" w:hint="eastAsia"/>
          <w:kern w:val="0"/>
          <w:sz w:val="18"/>
          <w:szCs w:val="18"/>
        </w:rPr>
        <w:t>产品名称</w:t>
      </w:r>
      <w:r>
        <w:rPr>
          <w:rFonts w:ascii="宋体" w:hAnsi="宋体" w:cs="仿宋_GB2312"/>
          <w:kern w:val="0"/>
          <w:sz w:val="18"/>
          <w:szCs w:val="18"/>
        </w:rPr>
        <w:t>：</w:t>
      </w:r>
      <w:permStart w:id="1392795142" w:edGrp="everyone"/>
      <w:r>
        <w:rPr>
          <w:rFonts w:ascii="宋体" w:hAnsi="宋体" w:cs="仿宋_GB2312" w:hint="eastAsia"/>
          <w:kern w:val="0"/>
          <w:sz w:val="18"/>
          <w:szCs w:val="18"/>
        </w:rPr>
        <w:t>【</w:t>
      </w:r>
      <w:r w:rsidR="004E698A" w:rsidRPr="004E698A">
        <w:rPr>
          <w:rFonts w:ascii="宋体" w:hAnsi="宋体" w:hint="eastAsia"/>
          <w:bCs/>
          <w:sz w:val="18"/>
          <w:szCs w:val="18"/>
        </w:rPr>
        <w:t>兴银理财稳利安盈封闭式2023年58期固收类理财产品</w:t>
      </w:r>
      <w:r>
        <w:rPr>
          <w:rFonts w:ascii="宋体" w:hAnsi="宋体" w:cs="仿宋_GB2312" w:hint="eastAsia"/>
          <w:kern w:val="0"/>
          <w:sz w:val="18"/>
          <w:szCs w:val="18"/>
        </w:rPr>
        <w:t>】</w:t>
      </w:r>
      <w:permEnd w:id="1392795142"/>
    </w:p>
    <w:p w14:paraId="5B6E816D" w14:textId="77777777" w:rsidR="00D56D0A" w:rsidRDefault="00D15677" w:rsidP="00D56D0A">
      <w:pPr>
        <w:ind w:firstLineChars="249" w:firstLine="448"/>
        <w:rPr>
          <w:rFonts w:asciiTheme="majorEastAsia" w:eastAsiaTheme="majorEastAsia" w:hAnsiTheme="majorEastAsia"/>
          <w:bCs/>
          <w:kern w:val="0"/>
          <w:sz w:val="18"/>
          <w:szCs w:val="18"/>
        </w:rPr>
      </w:pPr>
      <w:r>
        <w:rPr>
          <w:rFonts w:ascii="宋体" w:hAnsi="宋体" w:cs="仿宋_GB2312" w:hint="eastAsia"/>
          <w:kern w:val="0"/>
          <w:sz w:val="18"/>
          <w:szCs w:val="18"/>
        </w:rPr>
        <w:t>销售</w:t>
      </w:r>
      <w:r>
        <w:rPr>
          <w:rFonts w:ascii="宋体" w:hAnsi="宋体" w:cs="仿宋_GB2312"/>
          <w:kern w:val="0"/>
          <w:sz w:val="18"/>
          <w:szCs w:val="18"/>
        </w:rPr>
        <w:t>名称：</w:t>
      </w:r>
      <w:permStart w:id="2021266632" w:edGrp="everyone"/>
    </w:p>
    <w:p w14:paraId="0CAEB6A8" w14:textId="77777777" w:rsidR="004E698A" w:rsidRPr="004E698A" w:rsidRDefault="004E698A" w:rsidP="004E698A">
      <w:pPr>
        <w:ind w:firstLineChars="249" w:firstLine="448"/>
        <w:rPr>
          <w:rFonts w:asciiTheme="majorEastAsia" w:eastAsiaTheme="majorEastAsia" w:hAnsiTheme="majorEastAsia"/>
          <w:bCs/>
          <w:kern w:val="0"/>
          <w:sz w:val="18"/>
          <w:szCs w:val="18"/>
        </w:rPr>
      </w:pPr>
      <w:r w:rsidRPr="004E698A">
        <w:rPr>
          <w:rFonts w:asciiTheme="majorEastAsia" w:eastAsiaTheme="majorEastAsia" w:hAnsiTheme="majorEastAsia" w:hint="eastAsia"/>
          <w:bCs/>
          <w:kern w:val="0"/>
          <w:sz w:val="18"/>
          <w:szCs w:val="18"/>
        </w:rPr>
        <w:t>【稳利安盈封闭式2023年58期A】（适用【A】类份额）</w:t>
      </w:r>
    </w:p>
    <w:p w14:paraId="25A20D7F" w14:textId="77777777" w:rsidR="004E698A" w:rsidRPr="004E698A" w:rsidRDefault="004E698A" w:rsidP="004E698A">
      <w:pPr>
        <w:ind w:firstLineChars="249" w:firstLine="448"/>
        <w:rPr>
          <w:rFonts w:asciiTheme="majorEastAsia" w:eastAsiaTheme="majorEastAsia" w:hAnsiTheme="majorEastAsia"/>
          <w:bCs/>
          <w:kern w:val="0"/>
          <w:sz w:val="18"/>
          <w:szCs w:val="18"/>
        </w:rPr>
      </w:pPr>
      <w:r w:rsidRPr="004E698A">
        <w:rPr>
          <w:rFonts w:asciiTheme="majorEastAsia" w:eastAsiaTheme="majorEastAsia" w:hAnsiTheme="majorEastAsia" w:hint="eastAsia"/>
          <w:bCs/>
          <w:kern w:val="0"/>
          <w:sz w:val="18"/>
          <w:szCs w:val="18"/>
        </w:rPr>
        <w:t>【稳利安盈封闭式2023年58期B】（适用【B】类份额）</w:t>
      </w:r>
    </w:p>
    <w:p w14:paraId="54EC7908" w14:textId="77777777" w:rsidR="004E698A" w:rsidRPr="004E698A" w:rsidRDefault="004E698A" w:rsidP="004E698A">
      <w:pPr>
        <w:ind w:firstLineChars="249" w:firstLine="448"/>
        <w:rPr>
          <w:rFonts w:asciiTheme="majorEastAsia" w:eastAsiaTheme="majorEastAsia" w:hAnsiTheme="majorEastAsia"/>
          <w:bCs/>
          <w:kern w:val="0"/>
          <w:sz w:val="18"/>
          <w:szCs w:val="18"/>
        </w:rPr>
      </w:pPr>
      <w:r w:rsidRPr="004E698A">
        <w:rPr>
          <w:rFonts w:asciiTheme="majorEastAsia" w:eastAsiaTheme="majorEastAsia" w:hAnsiTheme="majorEastAsia" w:hint="eastAsia"/>
          <w:bCs/>
          <w:kern w:val="0"/>
          <w:sz w:val="18"/>
          <w:szCs w:val="18"/>
        </w:rPr>
        <w:t>【稳利安盈封闭式2023年58期C】（适用【C】类份额）</w:t>
      </w:r>
    </w:p>
    <w:p w14:paraId="38C173F6" w14:textId="75E3A6A0" w:rsidR="00564950" w:rsidRDefault="004E698A">
      <w:pPr>
        <w:ind w:firstLineChars="249" w:firstLine="448"/>
        <w:rPr>
          <w:rFonts w:ascii="宋体" w:hAnsi="宋体" w:cs="仿宋_GB2312"/>
          <w:kern w:val="0"/>
          <w:sz w:val="18"/>
          <w:szCs w:val="18"/>
        </w:rPr>
      </w:pPr>
      <w:r w:rsidRPr="004E698A">
        <w:rPr>
          <w:rFonts w:asciiTheme="majorEastAsia" w:eastAsiaTheme="majorEastAsia" w:hAnsiTheme="majorEastAsia" w:hint="eastAsia"/>
          <w:bCs/>
          <w:kern w:val="0"/>
          <w:sz w:val="18"/>
          <w:szCs w:val="18"/>
        </w:rPr>
        <w:t>【稳利安盈封闭式2023年58期D】（适用【D</w:t>
      </w:r>
      <w:r>
        <w:rPr>
          <w:rFonts w:asciiTheme="majorEastAsia" w:eastAsiaTheme="majorEastAsia" w:hAnsiTheme="majorEastAsia" w:hint="eastAsia"/>
          <w:bCs/>
          <w:kern w:val="0"/>
          <w:sz w:val="18"/>
          <w:szCs w:val="18"/>
        </w:rPr>
        <w:t>】类份额</w:t>
      </w:r>
      <w:r w:rsidR="00884F80">
        <w:rPr>
          <w:rFonts w:asciiTheme="majorEastAsia" w:eastAsiaTheme="majorEastAsia" w:hAnsiTheme="majorEastAsia" w:hint="eastAsia"/>
          <w:bCs/>
          <w:kern w:val="0"/>
          <w:sz w:val="18"/>
          <w:szCs w:val="18"/>
        </w:rPr>
        <w:t>）</w:t>
      </w:r>
      <w:permEnd w:id="2021266632"/>
    </w:p>
    <w:p w14:paraId="708A742A" w14:textId="65FBDFAD" w:rsidR="00564950" w:rsidRDefault="00D15677">
      <w:pPr>
        <w:ind w:firstLineChars="249" w:firstLine="448"/>
        <w:rPr>
          <w:rFonts w:ascii="宋体" w:hAnsi="宋体" w:cs="仿宋_GB2312"/>
          <w:kern w:val="0"/>
          <w:sz w:val="18"/>
          <w:szCs w:val="18"/>
        </w:rPr>
      </w:pPr>
      <w:r>
        <w:rPr>
          <w:rFonts w:ascii="宋体" w:hAnsi="宋体" w:cs="仿宋_GB2312"/>
          <w:kern w:val="0"/>
          <w:sz w:val="18"/>
          <w:szCs w:val="18"/>
        </w:rPr>
        <w:t>产品登记编码</w:t>
      </w:r>
      <w:r>
        <w:rPr>
          <w:rFonts w:ascii="宋体" w:hAnsi="宋体" w:cs="仿宋_GB2312" w:hint="eastAsia"/>
          <w:kern w:val="0"/>
          <w:sz w:val="18"/>
          <w:szCs w:val="18"/>
        </w:rPr>
        <w:t>：</w:t>
      </w:r>
      <w:permStart w:id="176890241" w:edGrp="everyone"/>
      <w:r>
        <w:rPr>
          <w:rFonts w:ascii="宋体" w:hAnsi="宋体" w:cs="仿宋_GB2312" w:hint="eastAsia"/>
          <w:kern w:val="0"/>
          <w:sz w:val="18"/>
          <w:szCs w:val="18"/>
        </w:rPr>
        <w:t>【</w:t>
      </w:r>
      <w:r w:rsidR="004E698A" w:rsidRPr="004E698A">
        <w:rPr>
          <w:rFonts w:ascii="宋体" w:hAnsi="宋体"/>
          <w:bCs/>
          <w:sz w:val="18"/>
          <w:szCs w:val="18"/>
        </w:rPr>
        <w:t>Z7002023001119</w:t>
      </w:r>
      <w:r>
        <w:rPr>
          <w:rFonts w:ascii="宋体" w:hAnsi="宋体" w:cs="仿宋_GB2312" w:hint="eastAsia"/>
          <w:kern w:val="0"/>
          <w:sz w:val="18"/>
          <w:szCs w:val="18"/>
        </w:rPr>
        <w:t>】</w:t>
      </w:r>
      <w:permEnd w:id="176890241"/>
    </w:p>
    <w:p w14:paraId="0A975A42" w14:textId="77777777" w:rsidR="00564950" w:rsidRDefault="00D15677">
      <w:pPr>
        <w:ind w:firstLineChars="249" w:firstLine="448"/>
        <w:rPr>
          <w:rFonts w:ascii="宋体" w:hAnsi="宋体" w:cs="仿宋_GB2312"/>
          <w:kern w:val="0"/>
          <w:sz w:val="18"/>
          <w:szCs w:val="18"/>
        </w:rPr>
      </w:pPr>
      <w:r>
        <w:rPr>
          <w:rFonts w:ascii="宋体" w:hAnsi="宋体" w:cs="仿宋_GB2312" w:hint="eastAsia"/>
          <w:kern w:val="0"/>
          <w:sz w:val="18"/>
          <w:szCs w:val="18"/>
        </w:rPr>
        <w:t>（二）产品</w:t>
      </w:r>
      <w:r>
        <w:rPr>
          <w:rFonts w:ascii="宋体" w:hAnsi="宋体" w:cs="仿宋_GB2312"/>
          <w:kern w:val="0"/>
          <w:sz w:val="18"/>
          <w:szCs w:val="18"/>
        </w:rPr>
        <w:t>类型</w:t>
      </w:r>
    </w:p>
    <w:p w14:paraId="6B6E5823" w14:textId="77777777" w:rsidR="00564950" w:rsidRDefault="00D15677">
      <w:pPr>
        <w:ind w:firstLineChars="299" w:firstLine="538"/>
        <w:rPr>
          <w:rFonts w:ascii="宋体" w:hAnsi="宋体" w:cs="仿宋_GB2312"/>
          <w:kern w:val="0"/>
          <w:sz w:val="18"/>
          <w:szCs w:val="18"/>
        </w:rPr>
      </w:pPr>
      <w:permStart w:id="1949382518" w:edGrp="everyone"/>
      <w:r>
        <w:rPr>
          <w:rFonts w:ascii="宋体" w:hAnsi="宋体" w:cs="仿宋_GB2312" w:hint="eastAsia"/>
          <w:kern w:val="0"/>
          <w:sz w:val="18"/>
          <w:szCs w:val="18"/>
        </w:rPr>
        <w:t>【公募、</w:t>
      </w:r>
      <w:r w:rsidR="00884F80">
        <w:rPr>
          <w:rFonts w:ascii="宋体" w:hAnsi="宋体" w:cs="仿宋_GB2312" w:hint="eastAsia"/>
          <w:kern w:val="0"/>
          <w:sz w:val="18"/>
          <w:szCs w:val="18"/>
        </w:rPr>
        <w:t>封闭</w:t>
      </w:r>
      <w:r>
        <w:rPr>
          <w:rFonts w:ascii="宋体" w:hAnsi="宋体" w:cs="仿宋_GB2312" w:hint="eastAsia"/>
          <w:kern w:val="0"/>
          <w:sz w:val="18"/>
          <w:szCs w:val="18"/>
        </w:rPr>
        <w:t>式、固定收益类、非保本浮动</w:t>
      </w:r>
      <w:r>
        <w:rPr>
          <w:rFonts w:ascii="宋体" w:hAnsi="宋体" w:cs="仿宋_GB2312"/>
          <w:kern w:val="0"/>
          <w:sz w:val="18"/>
          <w:szCs w:val="18"/>
        </w:rPr>
        <w:t>收益</w:t>
      </w:r>
      <w:r>
        <w:rPr>
          <w:rFonts w:ascii="宋体" w:hAnsi="宋体" w:cs="仿宋_GB2312" w:hint="eastAsia"/>
          <w:kern w:val="0"/>
          <w:sz w:val="18"/>
          <w:szCs w:val="18"/>
        </w:rPr>
        <w:t>、净值型】</w:t>
      </w:r>
      <w:permEnd w:id="1949382518"/>
      <w:r>
        <w:rPr>
          <w:rFonts w:ascii="宋体" w:hAnsi="宋体" w:cs="仿宋_GB2312" w:hint="eastAsia"/>
          <w:kern w:val="0"/>
          <w:sz w:val="18"/>
          <w:szCs w:val="18"/>
        </w:rPr>
        <w:t>理财产品。</w:t>
      </w:r>
    </w:p>
    <w:p w14:paraId="03381F78" w14:textId="77777777" w:rsidR="00564950" w:rsidRDefault="00D15677">
      <w:pPr>
        <w:ind w:firstLineChars="249" w:firstLine="448"/>
        <w:rPr>
          <w:rFonts w:ascii="宋体" w:hAnsi="宋体" w:cs="仿宋_GB2312"/>
          <w:kern w:val="0"/>
          <w:sz w:val="18"/>
          <w:szCs w:val="18"/>
        </w:rPr>
      </w:pPr>
      <w:r>
        <w:rPr>
          <w:rFonts w:ascii="宋体" w:hAnsi="宋体" w:cs="仿宋_GB2312" w:hint="eastAsia"/>
          <w:kern w:val="0"/>
          <w:sz w:val="18"/>
          <w:szCs w:val="18"/>
        </w:rPr>
        <w:t>（三）产品</w:t>
      </w:r>
      <w:r>
        <w:rPr>
          <w:rFonts w:ascii="宋体" w:hAnsi="宋体" w:cs="仿宋_GB2312"/>
          <w:kern w:val="0"/>
          <w:sz w:val="18"/>
          <w:szCs w:val="18"/>
        </w:rPr>
        <w:t>期限</w:t>
      </w:r>
    </w:p>
    <w:p w14:paraId="1B1BEFAD" w14:textId="18AB31D0" w:rsidR="00E20096" w:rsidRPr="00E20096" w:rsidRDefault="00E20096" w:rsidP="00E20096">
      <w:pPr>
        <w:ind w:firstLineChars="249" w:firstLine="448"/>
        <w:rPr>
          <w:rFonts w:asciiTheme="majorEastAsia" w:eastAsiaTheme="majorEastAsia" w:hAnsiTheme="majorEastAsia"/>
          <w:bCs/>
          <w:sz w:val="18"/>
          <w:szCs w:val="18"/>
        </w:rPr>
      </w:pPr>
      <w:permStart w:id="1517376572" w:edGrp="everyone"/>
      <w:r w:rsidRPr="00E20096">
        <w:rPr>
          <w:rFonts w:asciiTheme="majorEastAsia" w:eastAsiaTheme="majorEastAsia" w:hAnsiTheme="majorEastAsia" w:hint="eastAsia"/>
          <w:bCs/>
          <w:sz w:val="18"/>
          <w:szCs w:val="18"/>
        </w:rPr>
        <w:t>■有固定期限：【</w:t>
      </w:r>
      <w:r w:rsidR="004E698A">
        <w:rPr>
          <w:rFonts w:asciiTheme="majorEastAsia" w:eastAsiaTheme="majorEastAsia" w:hAnsiTheme="majorEastAsia"/>
          <w:bCs/>
          <w:sz w:val="18"/>
          <w:szCs w:val="18"/>
        </w:rPr>
        <w:t>140</w:t>
      </w:r>
      <w:r w:rsidRPr="00E20096">
        <w:rPr>
          <w:rFonts w:asciiTheme="majorEastAsia" w:eastAsiaTheme="majorEastAsia" w:hAnsiTheme="majorEastAsia" w:hint="eastAsia"/>
          <w:bCs/>
          <w:sz w:val="18"/>
          <w:szCs w:val="18"/>
        </w:rPr>
        <w:t>天】</w:t>
      </w:r>
    </w:p>
    <w:p w14:paraId="19C6725B" w14:textId="77777777" w:rsidR="00564950" w:rsidRDefault="00E20096">
      <w:pPr>
        <w:ind w:firstLineChars="249" w:firstLine="448"/>
        <w:rPr>
          <w:rFonts w:ascii="宋体" w:hAnsi="宋体" w:cs="仿宋_GB2312"/>
          <w:kern w:val="0"/>
          <w:sz w:val="18"/>
          <w:szCs w:val="18"/>
        </w:rPr>
      </w:pPr>
      <w:r w:rsidRPr="00E20096">
        <w:rPr>
          <w:rFonts w:asciiTheme="majorEastAsia" w:eastAsiaTheme="majorEastAsia" w:hAnsiTheme="majorEastAsia" w:hint="eastAsia"/>
          <w:bCs/>
          <w:sz w:val="18"/>
          <w:szCs w:val="18"/>
        </w:rPr>
        <w:t>□无固定期</w:t>
      </w:r>
      <w:r>
        <w:rPr>
          <w:rFonts w:asciiTheme="majorEastAsia" w:eastAsiaTheme="majorEastAsia" w:hAnsiTheme="majorEastAsia" w:hint="eastAsia"/>
          <w:bCs/>
          <w:sz w:val="18"/>
          <w:szCs w:val="18"/>
        </w:rPr>
        <w:t>限</w:t>
      </w:r>
      <w:permEnd w:id="1517376572"/>
      <w:r w:rsidR="00D15677">
        <w:rPr>
          <w:rFonts w:ascii="宋体" w:hAnsi="宋体" w:cs="仿宋_GB2312"/>
          <w:kern w:val="0"/>
          <w:sz w:val="18"/>
          <w:szCs w:val="18"/>
        </w:rPr>
        <w:t>。</w:t>
      </w:r>
    </w:p>
    <w:p w14:paraId="6D1DC182" w14:textId="77777777" w:rsidR="00564950" w:rsidRDefault="00D15677">
      <w:pPr>
        <w:ind w:firstLineChars="249" w:firstLine="498"/>
        <w:rPr>
          <w:rFonts w:ascii="宋体" w:hAnsi="宋体" w:cs="仿宋_GB2312"/>
          <w:kern w:val="0"/>
          <w:sz w:val="18"/>
          <w:szCs w:val="18"/>
        </w:rPr>
      </w:pPr>
      <w:r>
        <w:rPr>
          <w:rFonts w:ascii="宋体" w:hAnsiTheme="minorHAnsi" w:hint="eastAsia"/>
          <w:color w:val="000000"/>
          <w:kern w:val="0"/>
          <w:sz w:val="20"/>
          <w:szCs w:val="20"/>
        </w:rPr>
        <w:t>本产品其他信息详见《产品说明书》。</w:t>
      </w:r>
    </w:p>
    <w:p w14:paraId="299577C3" w14:textId="77777777" w:rsidR="00564950" w:rsidRDefault="00D15677">
      <w:pPr>
        <w:ind w:firstLineChars="249" w:firstLine="448"/>
        <w:rPr>
          <w:rFonts w:ascii="黑体" w:eastAsia="黑体" w:hAnsi="黑体"/>
          <w:sz w:val="18"/>
          <w:szCs w:val="18"/>
        </w:rPr>
      </w:pPr>
      <w:r>
        <w:rPr>
          <w:rFonts w:ascii="黑体" w:eastAsia="黑体" w:hAnsi="黑体" w:hint="eastAsia"/>
          <w:sz w:val="18"/>
          <w:szCs w:val="18"/>
        </w:rPr>
        <w:t>产品管理人对本产品的理财本金和收益不提供保证承诺</w:t>
      </w:r>
      <w:r>
        <w:rPr>
          <w:rFonts w:ascii="黑体" w:eastAsia="黑体" w:hAnsi="黑体" w:hint="eastAsia"/>
          <w:bCs/>
          <w:sz w:val="18"/>
          <w:szCs w:val="18"/>
        </w:rPr>
        <w:t>，</w:t>
      </w:r>
      <w:r>
        <w:rPr>
          <w:rFonts w:ascii="黑体" w:eastAsia="黑体" w:hAnsi="黑体" w:hint="eastAsia"/>
          <w:sz w:val="18"/>
          <w:szCs w:val="18"/>
        </w:rPr>
        <w:t>在发生最不利的情况下（可能但不一定发生），投资者可能无法取得理财收益，并可能面临损失理财本金的风险。</w:t>
      </w:r>
    </w:p>
    <w:p w14:paraId="66203E17" w14:textId="77777777" w:rsidR="00564950" w:rsidRDefault="00D15677">
      <w:pPr>
        <w:ind w:firstLineChars="249" w:firstLine="448"/>
        <w:rPr>
          <w:rFonts w:ascii="宋体" w:hAnsi="宋体" w:cs="仿宋_GB2312"/>
          <w:kern w:val="0"/>
          <w:sz w:val="18"/>
          <w:szCs w:val="18"/>
        </w:rPr>
      </w:pPr>
      <w:r>
        <w:rPr>
          <w:rFonts w:ascii="黑体" w:eastAsia="黑体" w:hAnsi="黑体" w:cs="仿宋_GB2312" w:hint="eastAsia"/>
          <w:bCs/>
          <w:kern w:val="0"/>
          <w:sz w:val="18"/>
          <w:szCs w:val="18"/>
        </w:rPr>
        <w:t>三、</w:t>
      </w:r>
      <w:r>
        <w:rPr>
          <w:rFonts w:ascii="宋体" w:hAnsi="宋体" w:cs="仿宋_GB2312" w:hint="eastAsia"/>
          <w:kern w:val="0"/>
          <w:sz w:val="18"/>
          <w:szCs w:val="18"/>
        </w:rPr>
        <w:t>本产品的风险评级及适合投资者风险承受能力</w:t>
      </w:r>
    </w:p>
    <w:p w14:paraId="7DFAF8C7" w14:textId="77777777" w:rsidR="00564950" w:rsidRDefault="00D15677">
      <w:pPr>
        <w:ind w:firstLineChars="249" w:firstLine="448"/>
        <w:rPr>
          <w:rFonts w:ascii="宋体" w:hAnsi="宋体" w:cs="仿宋_GB2312"/>
          <w:kern w:val="0"/>
          <w:sz w:val="18"/>
          <w:szCs w:val="18"/>
        </w:rPr>
      </w:pPr>
      <w:r>
        <w:rPr>
          <w:rFonts w:ascii="宋体" w:hAnsi="宋体" w:cs="仿宋_GB2312" w:hint="eastAsia"/>
          <w:kern w:val="0"/>
          <w:sz w:val="18"/>
          <w:szCs w:val="18"/>
        </w:rPr>
        <w:t>（一）产品风险评级</w:t>
      </w:r>
    </w:p>
    <w:p w14:paraId="2026F73C" w14:textId="77777777" w:rsidR="00564950" w:rsidRDefault="00D15677">
      <w:pPr>
        <w:ind w:firstLineChars="249" w:firstLine="448"/>
        <w:rPr>
          <w:rFonts w:ascii="宋体" w:hAnsi="宋体" w:cs="仿宋_GB2312"/>
          <w:kern w:val="0"/>
          <w:sz w:val="18"/>
          <w:szCs w:val="18"/>
        </w:rPr>
      </w:pPr>
      <w:r>
        <w:rPr>
          <w:rFonts w:ascii="宋体" w:hAnsi="宋体" w:cs="仿宋_GB2312" w:hint="eastAsia"/>
          <w:kern w:val="0"/>
          <w:sz w:val="18"/>
          <w:szCs w:val="18"/>
        </w:rPr>
        <w:t>本理财产品风险评级最终定义为</w:t>
      </w:r>
      <w:permStart w:id="1705795489" w:edGrp="everyone"/>
      <w:r>
        <w:rPr>
          <w:rFonts w:ascii="宋体" w:hAnsi="宋体" w:cs="仿宋_GB2312" w:hint="eastAsia"/>
          <w:kern w:val="0"/>
          <w:sz w:val="18"/>
          <w:szCs w:val="18"/>
        </w:rPr>
        <w:t>【</w:t>
      </w:r>
      <w:r w:rsidR="00D56D0A">
        <w:rPr>
          <w:rFonts w:ascii="宋体" w:hAnsi="宋体" w:cs="仿宋_GB2312" w:hint="eastAsia"/>
          <w:kern w:val="0"/>
          <w:sz w:val="18"/>
          <w:szCs w:val="18"/>
        </w:rPr>
        <w:t>R</w:t>
      </w:r>
      <w:r w:rsidR="00E965E1">
        <w:rPr>
          <w:rFonts w:ascii="宋体" w:hAnsi="宋体" w:cs="仿宋_GB2312"/>
          <w:kern w:val="0"/>
          <w:sz w:val="18"/>
          <w:szCs w:val="18"/>
        </w:rPr>
        <w:t>1</w:t>
      </w:r>
      <w:r>
        <w:rPr>
          <w:rFonts w:ascii="宋体" w:hAnsi="宋体" w:cs="仿宋_GB2312"/>
          <w:kern w:val="0"/>
          <w:sz w:val="18"/>
          <w:szCs w:val="18"/>
        </w:rPr>
        <w:t>】</w:t>
      </w:r>
      <w:permEnd w:id="1705795489"/>
      <w:r>
        <w:rPr>
          <w:rFonts w:ascii="宋体" w:hAnsi="宋体" w:cs="仿宋_GB2312" w:hint="eastAsia"/>
          <w:kern w:val="0"/>
          <w:sz w:val="18"/>
          <w:szCs w:val="18"/>
        </w:rPr>
        <w:t>（产品管理人定义的产品风险评级为</w:t>
      </w:r>
      <w:permStart w:id="218774221" w:edGrp="everyone"/>
      <w:r>
        <w:rPr>
          <w:rFonts w:ascii="宋体" w:hAnsi="宋体" w:cs="仿宋_GB2312" w:hint="eastAsia"/>
          <w:kern w:val="0"/>
          <w:sz w:val="18"/>
          <w:szCs w:val="18"/>
        </w:rPr>
        <w:t>【</w:t>
      </w:r>
      <w:r w:rsidR="00D56D0A">
        <w:rPr>
          <w:rFonts w:ascii="宋体" w:hAnsi="宋体" w:cs="仿宋_GB2312" w:hint="eastAsia"/>
          <w:kern w:val="0"/>
          <w:sz w:val="18"/>
          <w:szCs w:val="18"/>
        </w:rPr>
        <w:t>R</w:t>
      </w:r>
      <w:r w:rsidR="00E965E1">
        <w:rPr>
          <w:rFonts w:ascii="宋体" w:hAnsi="宋体" w:cs="仿宋_GB2312"/>
          <w:kern w:val="0"/>
          <w:sz w:val="18"/>
          <w:szCs w:val="18"/>
        </w:rPr>
        <w:t>1</w:t>
      </w:r>
      <w:r>
        <w:rPr>
          <w:rFonts w:ascii="宋体" w:hAnsi="宋体" w:cs="仿宋_GB2312"/>
          <w:kern w:val="0"/>
          <w:sz w:val="18"/>
          <w:szCs w:val="18"/>
        </w:rPr>
        <w:t>】</w:t>
      </w:r>
      <w:permEnd w:id="218774221"/>
      <w:r>
        <w:rPr>
          <w:rFonts w:ascii="宋体" w:hAnsi="宋体" w:cs="仿宋_GB2312" w:hint="eastAsia"/>
          <w:kern w:val="0"/>
          <w:sz w:val="18"/>
          <w:szCs w:val="18"/>
        </w:rPr>
        <w:t>；代理销售机构定义的产品风险评级为</w:t>
      </w:r>
      <w:permStart w:id="854219122" w:edGrp="everyone"/>
      <w:r>
        <w:rPr>
          <w:rFonts w:ascii="宋体" w:hAnsi="宋体" w:cs="仿宋_GB2312" w:hint="eastAsia"/>
          <w:kern w:val="0"/>
          <w:sz w:val="18"/>
          <w:szCs w:val="18"/>
        </w:rPr>
        <w:t>【</w:t>
      </w:r>
      <w:r w:rsidR="00D56D0A">
        <w:rPr>
          <w:rFonts w:ascii="宋体" w:hAnsi="宋体" w:cs="仿宋_GB2312" w:hint="eastAsia"/>
          <w:kern w:val="0"/>
          <w:sz w:val="18"/>
          <w:szCs w:val="18"/>
        </w:rPr>
        <w:t>R</w:t>
      </w:r>
      <w:r w:rsidR="00E965E1">
        <w:rPr>
          <w:rFonts w:ascii="宋体" w:hAnsi="宋体" w:cs="仿宋_GB2312"/>
          <w:kern w:val="0"/>
          <w:sz w:val="18"/>
          <w:szCs w:val="18"/>
        </w:rPr>
        <w:t>1</w:t>
      </w:r>
      <w:r>
        <w:rPr>
          <w:rFonts w:ascii="宋体" w:hAnsi="宋体" w:cs="仿宋_GB2312" w:hint="eastAsia"/>
          <w:kern w:val="0"/>
          <w:sz w:val="18"/>
          <w:szCs w:val="18"/>
        </w:rPr>
        <w:t>】</w:t>
      </w:r>
      <w:permEnd w:id="854219122"/>
      <w:r>
        <w:rPr>
          <w:rFonts w:ascii="宋体" w:hAnsi="宋体" w:cs="仿宋_GB2312" w:hint="eastAsia"/>
          <w:kern w:val="0"/>
          <w:sz w:val="18"/>
          <w:szCs w:val="18"/>
        </w:rPr>
        <w:t>）。</w:t>
      </w:r>
      <w:r>
        <w:rPr>
          <w:rFonts w:asciiTheme="majorEastAsia" w:eastAsiaTheme="majorEastAsia" w:hAnsiTheme="majorEastAsia" w:hint="eastAsia"/>
          <w:bCs/>
          <w:kern w:val="0"/>
          <w:sz w:val="18"/>
          <w:szCs w:val="18"/>
        </w:rPr>
        <w:t>若本产品通过代理销售机构销售的，理财产品评级以代理销售机构最终披露的评级结果为准。产品管理人和代理销售机构对理财产品的风险等级评估结果不一致时，代理销售机构应采用对应较高风险的评级结果。</w:t>
      </w:r>
    </w:p>
    <w:p w14:paraId="11E785E7" w14:textId="77777777" w:rsidR="00564950" w:rsidRDefault="00D15677">
      <w:pPr>
        <w:ind w:firstLineChars="249" w:firstLine="448"/>
        <w:rPr>
          <w:rFonts w:ascii="宋体" w:hAnsi="宋体" w:cs="仿宋_GB2312"/>
          <w:kern w:val="0"/>
          <w:sz w:val="18"/>
          <w:szCs w:val="18"/>
        </w:rPr>
      </w:pPr>
      <w:r>
        <w:rPr>
          <w:rFonts w:ascii="宋体" w:hAnsi="宋体" w:cs="仿宋_GB2312" w:hint="eastAsia"/>
          <w:kern w:val="0"/>
          <w:sz w:val="18"/>
          <w:szCs w:val="18"/>
        </w:rPr>
        <w:t>（二）适合投资者类型</w:t>
      </w:r>
    </w:p>
    <w:p w14:paraId="7A089EDE" w14:textId="77777777" w:rsidR="00564950" w:rsidRDefault="00D15677">
      <w:pPr>
        <w:ind w:firstLineChars="200" w:firstLine="360"/>
        <w:rPr>
          <w:rFonts w:asciiTheme="majorEastAsia" w:eastAsiaTheme="majorEastAsia" w:hAnsiTheme="majorEastAsia"/>
          <w:bCs/>
          <w:color w:val="000000" w:themeColor="text1"/>
          <w:sz w:val="18"/>
          <w:szCs w:val="18"/>
        </w:rPr>
      </w:pPr>
      <w:r>
        <w:rPr>
          <w:rFonts w:ascii="宋体" w:hAnsi="宋体" w:cs="仿宋_GB2312" w:hint="eastAsia"/>
          <w:kern w:val="0"/>
          <w:sz w:val="18"/>
          <w:szCs w:val="18"/>
        </w:rPr>
        <w:t>1、</w:t>
      </w:r>
      <w:r>
        <w:rPr>
          <w:rFonts w:asciiTheme="majorEastAsia" w:eastAsiaTheme="majorEastAsia" w:hAnsiTheme="majorEastAsia" w:hint="eastAsia"/>
          <w:bCs/>
          <w:color w:val="000000" w:themeColor="text1"/>
          <w:sz w:val="18"/>
          <w:szCs w:val="18"/>
        </w:rPr>
        <w:t>销售机构认为本产品适合以下投资者类型：</w:t>
      </w:r>
    </w:p>
    <w:p w14:paraId="37C3B471" w14:textId="77777777" w:rsidR="00564950" w:rsidRDefault="00D56D0A">
      <w:pPr>
        <w:ind w:firstLineChars="200" w:firstLine="360"/>
        <w:rPr>
          <w:rFonts w:asciiTheme="majorEastAsia" w:eastAsiaTheme="majorEastAsia" w:hAnsiTheme="majorEastAsia"/>
          <w:bCs/>
          <w:color w:val="000000" w:themeColor="text1"/>
          <w:sz w:val="18"/>
          <w:szCs w:val="18"/>
        </w:rPr>
      </w:pPr>
      <w:permStart w:id="455215575" w:edGrp="everyone"/>
      <w:r>
        <w:rPr>
          <w:rFonts w:asciiTheme="majorEastAsia" w:eastAsiaTheme="majorEastAsia" w:hAnsiTheme="majorEastAsia" w:hint="eastAsia"/>
          <w:bCs/>
          <w:sz w:val="18"/>
          <w:szCs w:val="18"/>
        </w:rPr>
        <w:t>■</w:t>
      </w:r>
      <w:r w:rsidR="00D15677">
        <w:rPr>
          <w:rFonts w:asciiTheme="majorEastAsia" w:eastAsiaTheme="majorEastAsia" w:hAnsiTheme="majorEastAsia" w:hint="eastAsia"/>
          <w:bCs/>
          <w:color w:val="000000" w:themeColor="text1"/>
          <w:sz w:val="18"/>
          <w:szCs w:val="18"/>
        </w:rPr>
        <w:t>个人投资者</w:t>
      </w:r>
      <w:r w:rsidR="00D15677">
        <w:rPr>
          <w:rFonts w:asciiTheme="majorEastAsia" w:eastAsiaTheme="majorEastAsia" w:hAnsiTheme="majorEastAsia"/>
          <w:bCs/>
          <w:color w:val="000000" w:themeColor="text1"/>
          <w:sz w:val="18"/>
          <w:szCs w:val="18"/>
        </w:rPr>
        <w:t>：</w:t>
      </w:r>
      <w:r w:rsidR="00D15677">
        <w:rPr>
          <w:rFonts w:asciiTheme="majorEastAsia" w:eastAsiaTheme="majorEastAsia" w:hAnsiTheme="majorEastAsia" w:hint="eastAsia"/>
          <w:bCs/>
          <w:color w:val="000000" w:themeColor="text1"/>
          <w:sz w:val="18"/>
          <w:szCs w:val="18"/>
        </w:rPr>
        <w:t>【</w:t>
      </w:r>
      <w:r w:rsidR="00E965E1">
        <w:rPr>
          <w:rFonts w:asciiTheme="majorEastAsia" w:eastAsiaTheme="majorEastAsia" w:hAnsiTheme="majorEastAsia" w:hint="eastAsia"/>
          <w:bCs/>
          <w:sz w:val="18"/>
          <w:szCs w:val="18"/>
        </w:rPr>
        <w:t>■</w:t>
      </w:r>
      <w:r w:rsidR="00D15677">
        <w:rPr>
          <w:rFonts w:asciiTheme="majorEastAsia" w:eastAsiaTheme="majorEastAsia" w:hAnsiTheme="majorEastAsia"/>
          <w:bCs/>
          <w:color w:val="000000" w:themeColor="text1"/>
          <w:sz w:val="18"/>
          <w:szCs w:val="18"/>
        </w:rPr>
        <w:t xml:space="preserve"> C1、</w:t>
      </w:r>
      <w:r w:rsidR="003318A7">
        <w:rPr>
          <w:rFonts w:asciiTheme="majorEastAsia" w:eastAsiaTheme="majorEastAsia" w:hAnsiTheme="majorEastAsia" w:hint="eastAsia"/>
          <w:bCs/>
          <w:sz w:val="18"/>
          <w:szCs w:val="18"/>
        </w:rPr>
        <w:t>■</w:t>
      </w:r>
      <w:r w:rsidR="00D15677">
        <w:rPr>
          <w:rFonts w:asciiTheme="majorEastAsia" w:eastAsiaTheme="majorEastAsia" w:hAnsiTheme="majorEastAsia" w:hint="eastAsia"/>
          <w:bCs/>
          <w:color w:val="000000" w:themeColor="text1"/>
          <w:sz w:val="18"/>
          <w:szCs w:val="18"/>
        </w:rPr>
        <w:t xml:space="preserve"> </w:t>
      </w:r>
      <w:r w:rsidR="00D15677">
        <w:rPr>
          <w:rFonts w:asciiTheme="majorEastAsia" w:eastAsiaTheme="majorEastAsia" w:hAnsiTheme="majorEastAsia"/>
          <w:bCs/>
          <w:color w:val="000000" w:themeColor="text1"/>
          <w:sz w:val="18"/>
          <w:szCs w:val="18"/>
        </w:rPr>
        <w:t>C2、</w:t>
      </w:r>
      <w:r>
        <w:rPr>
          <w:rFonts w:asciiTheme="majorEastAsia" w:eastAsiaTheme="majorEastAsia" w:hAnsiTheme="majorEastAsia" w:hint="eastAsia"/>
          <w:bCs/>
          <w:sz w:val="18"/>
          <w:szCs w:val="18"/>
        </w:rPr>
        <w:t>■</w:t>
      </w:r>
      <w:r w:rsidR="00D15677">
        <w:rPr>
          <w:rFonts w:asciiTheme="majorEastAsia" w:eastAsiaTheme="majorEastAsia" w:hAnsiTheme="majorEastAsia" w:hint="eastAsia"/>
          <w:bCs/>
          <w:color w:val="000000" w:themeColor="text1"/>
          <w:sz w:val="18"/>
          <w:szCs w:val="18"/>
        </w:rPr>
        <w:t xml:space="preserve"> </w:t>
      </w:r>
      <w:r w:rsidR="00D15677">
        <w:rPr>
          <w:rFonts w:asciiTheme="majorEastAsia" w:eastAsiaTheme="majorEastAsia" w:hAnsiTheme="majorEastAsia"/>
          <w:bCs/>
          <w:color w:val="000000" w:themeColor="text1"/>
          <w:sz w:val="18"/>
          <w:szCs w:val="18"/>
        </w:rPr>
        <w:t>C3、</w:t>
      </w:r>
      <w:r>
        <w:rPr>
          <w:rFonts w:asciiTheme="majorEastAsia" w:eastAsiaTheme="majorEastAsia" w:hAnsiTheme="majorEastAsia" w:hint="eastAsia"/>
          <w:bCs/>
          <w:sz w:val="18"/>
          <w:szCs w:val="18"/>
        </w:rPr>
        <w:t>■</w:t>
      </w:r>
      <w:r w:rsidR="00D15677">
        <w:rPr>
          <w:rFonts w:asciiTheme="majorEastAsia" w:eastAsiaTheme="majorEastAsia" w:hAnsiTheme="majorEastAsia" w:hint="eastAsia"/>
          <w:bCs/>
          <w:color w:val="000000" w:themeColor="text1"/>
          <w:sz w:val="18"/>
          <w:szCs w:val="18"/>
        </w:rPr>
        <w:t xml:space="preserve"> </w:t>
      </w:r>
      <w:r w:rsidR="00D15677">
        <w:rPr>
          <w:rFonts w:asciiTheme="majorEastAsia" w:eastAsiaTheme="majorEastAsia" w:hAnsiTheme="majorEastAsia"/>
          <w:bCs/>
          <w:color w:val="000000" w:themeColor="text1"/>
          <w:sz w:val="18"/>
          <w:szCs w:val="18"/>
        </w:rPr>
        <w:t>C4、</w:t>
      </w:r>
      <w:r>
        <w:rPr>
          <w:rFonts w:asciiTheme="majorEastAsia" w:eastAsiaTheme="majorEastAsia" w:hAnsiTheme="majorEastAsia" w:hint="eastAsia"/>
          <w:bCs/>
          <w:sz w:val="18"/>
          <w:szCs w:val="18"/>
        </w:rPr>
        <w:t>■</w:t>
      </w:r>
      <w:r w:rsidR="00D15677">
        <w:rPr>
          <w:rFonts w:asciiTheme="majorEastAsia" w:eastAsiaTheme="majorEastAsia" w:hAnsiTheme="majorEastAsia" w:hint="eastAsia"/>
          <w:bCs/>
          <w:color w:val="000000" w:themeColor="text1"/>
          <w:sz w:val="18"/>
          <w:szCs w:val="18"/>
        </w:rPr>
        <w:t xml:space="preserve"> </w:t>
      </w:r>
      <w:r w:rsidR="00D15677">
        <w:rPr>
          <w:rFonts w:asciiTheme="majorEastAsia" w:eastAsiaTheme="majorEastAsia" w:hAnsiTheme="majorEastAsia"/>
          <w:bCs/>
          <w:color w:val="000000" w:themeColor="text1"/>
          <w:sz w:val="18"/>
          <w:szCs w:val="18"/>
        </w:rPr>
        <w:t>C5</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C6</w:t>
      </w:r>
      <w:r w:rsidR="00D15677">
        <w:rPr>
          <w:rFonts w:asciiTheme="majorEastAsia" w:eastAsiaTheme="majorEastAsia" w:hAnsiTheme="majorEastAsia"/>
          <w:bCs/>
          <w:color w:val="000000" w:themeColor="text1"/>
          <w:sz w:val="18"/>
          <w:szCs w:val="18"/>
        </w:rPr>
        <w:t>】</w:t>
      </w:r>
      <w:r w:rsidR="00D15677">
        <w:rPr>
          <w:rFonts w:asciiTheme="majorEastAsia" w:eastAsiaTheme="majorEastAsia" w:hAnsiTheme="majorEastAsia" w:hint="eastAsia"/>
          <w:bCs/>
          <w:color w:val="000000" w:themeColor="text1"/>
          <w:sz w:val="18"/>
          <w:szCs w:val="18"/>
        </w:rPr>
        <w:t>。</w:t>
      </w:r>
    </w:p>
    <w:p w14:paraId="69EE2E63" w14:textId="77777777" w:rsidR="00564950" w:rsidRDefault="00D15677">
      <w:pPr>
        <w:ind w:firstLineChars="200" w:firstLine="360"/>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color w:val="000000" w:themeColor="text1"/>
          <w:sz w:val="18"/>
          <w:szCs w:val="18"/>
        </w:rPr>
        <w:t>□机构投资者：□一般</w:t>
      </w:r>
      <w:r>
        <w:rPr>
          <w:rFonts w:asciiTheme="majorEastAsia" w:eastAsiaTheme="majorEastAsia" w:hAnsiTheme="majorEastAsia"/>
          <w:bCs/>
          <w:color w:val="000000" w:themeColor="text1"/>
          <w:sz w:val="18"/>
          <w:szCs w:val="18"/>
        </w:rPr>
        <w:t>机构</w:t>
      </w:r>
      <w:r>
        <w:rPr>
          <w:rFonts w:asciiTheme="majorEastAsia" w:eastAsiaTheme="majorEastAsia" w:hAnsiTheme="majorEastAsia" w:hint="eastAsia"/>
          <w:bCs/>
          <w:color w:val="000000" w:themeColor="text1"/>
          <w:sz w:val="18"/>
          <w:szCs w:val="18"/>
        </w:rPr>
        <w:t>客户【□</w:t>
      </w:r>
      <w:r>
        <w:rPr>
          <w:rFonts w:asciiTheme="majorEastAsia" w:eastAsiaTheme="majorEastAsia" w:hAnsiTheme="majorEastAsia"/>
          <w:bCs/>
          <w:color w:val="000000" w:themeColor="text1"/>
          <w:sz w:val="18"/>
          <w:szCs w:val="18"/>
        </w:rPr>
        <w:t xml:space="preserve"> C1、</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C2、</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C3、</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C4、</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C5】</w:t>
      </w:r>
      <w:r>
        <w:rPr>
          <w:rFonts w:asciiTheme="majorEastAsia" w:eastAsiaTheme="majorEastAsia" w:hAnsiTheme="majorEastAsia" w:hint="eastAsia"/>
          <w:bCs/>
          <w:color w:val="000000" w:themeColor="text1"/>
          <w:sz w:val="18"/>
          <w:szCs w:val="18"/>
        </w:rPr>
        <w:t>，□金融同业客户。</w:t>
      </w:r>
    </w:p>
    <w:permEnd w:id="455215575"/>
    <w:p w14:paraId="717675E9" w14:textId="77777777" w:rsidR="00564950" w:rsidRDefault="00D15677">
      <w:pPr>
        <w:ind w:firstLineChars="200" w:firstLine="360"/>
        <w:rPr>
          <w:rFonts w:ascii="宋体" w:hAnsi="宋体" w:cs="仿宋_GB2312"/>
          <w:kern w:val="0"/>
          <w:sz w:val="18"/>
          <w:szCs w:val="18"/>
        </w:rPr>
      </w:pPr>
      <w:r>
        <w:rPr>
          <w:rFonts w:ascii="宋体" w:hAnsi="宋体" w:cs="仿宋_GB2312"/>
          <w:kern w:val="0"/>
          <w:sz w:val="18"/>
          <w:szCs w:val="18"/>
        </w:rPr>
        <w:t>2</w:t>
      </w:r>
      <w:r>
        <w:rPr>
          <w:rFonts w:ascii="宋体" w:hAnsi="宋体" w:cs="仿宋_GB2312" w:hint="eastAsia"/>
          <w:kern w:val="0"/>
          <w:sz w:val="18"/>
          <w:szCs w:val="18"/>
        </w:rPr>
        <w:t>、销售机构在销售本产品时，其对投资者风险承受能力等级的划分与表述可能与产品管理人存在差异，即采用销售机构设置的标准。</w:t>
      </w:r>
    </w:p>
    <w:p w14:paraId="689665B3" w14:textId="77777777" w:rsidR="00564950" w:rsidRDefault="00D15677">
      <w:pPr>
        <w:ind w:firstLineChars="200" w:firstLine="360"/>
        <w:rPr>
          <w:rFonts w:ascii="宋体" w:hAnsi="宋体" w:cs="仿宋_GB2312"/>
          <w:kern w:val="0"/>
          <w:sz w:val="18"/>
          <w:szCs w:val="18"/>
        </w:rPr>
      </w:pPr>
      <w:r>
        <w:rPr>
          <w:rFonts w:ascii="宋体" w:hAnsi="宋体" w:cs="仿宋_GB2312" w:hint="eastAsia"/>
          <w:kern w:val="0"/>
          <w:sz w:val="18"/>
          <w:szCs w:val="18"/>
        </w:rPr>
        <w:t>销售机构应以书面的方式向投资者明示其对投资者风险承受能力等级的划分与“适合投资者类型”的表述。</w:t>
      </w:r>
    </w:p>
    <w:p w14:paraId="6CC8802E" w14:textId="77777777" w:rsidR="00564950" w:rsidRDefault="00D15677">
      <w:pPr>
        <w:ind w:firstLineChars="249" w:firstLine="448"/>
        <w:rPr>
          <w:rFonts w:ascii="宋体" w:hAnsi="宋体" w:cs="仿宋_GB2312"/>
          <w:kern w:val="0"/>
          <w:sz w:val="18"/>
          <w:szCs w:val="18"/>
        </w:rPr>
      </w:pPr>
      <w:r>
        <w:rPr>
          <w:rFonts w:ascii="黑体" w:eastAsia="黑体" w:hAnsi="黑体" w:cs="仿宋_GB2312" w:hint="eastAsia"/>
          <w:kern w:val="0"/>
          <w:sz w:val="18"/>
          <w:szCs w:val="18"/>
        </w:rPr>
        <w:t>四、</w:t>
      </w:r>
      <w:r>
        <w:rPr>
          <w:rFonts w:ascii="宋体" w:hAnsi="宋体" w:cs="仿宋_GB2312" w:hint="eastAsia"/>
          <w:kern w:val="0"/>
          <w:sz w:val="18"/>
          <w:szCs w:val="18"/>
        </w:rPr>
        <w:t>您应充分认识投资风险，谨慎投资。</w:t>
      </w:r>
    </w:p>
    <w:p w14:paraId="62EA6416" w14:textId="77777777" w:rsidR="00564950" w:rsidRDefault="00D15677">
      <w:pPr>
        <w:ind w:firstLineChars="200" w:firstLine="361"/>
        <w:rPr>
          <w:rFonts w:ascii="宋体" w:hAnsi="宋体"/>
          <w:b/>
          <w:sz w:val="18"/>
          <w:szCs w:val="18"/>
        </w:rPr>
      </w:pPr>
      <w:r>
        <w:rPr>
          <w:rFonts w:ascii="宋体" w:hAnsi="宋体" w:hint="eastAsia"/>
          <w:b/>
          <w:sz w:val="18"/>
          <w:szCs w:val="18"/>
        </w:rPr>
        <w:lastRenderedPageBreak/>
        <w:t>（一）投资者投资本产品可能面临的特定风险主要包括（但不限于）：</w:t>
      </w:r>
    </w:p>
    <w:p w14:paraId="550E981A" w14:textId="77777777" w:rsidR="000F527B" w:rsidRPr="000F527B" w:rsidRDefault="000F527B" w:rsidP="000F527B">
      <w:pPr>
        <w:pStyle w:val="aa"/>
        <w:ind w:firstLine="360"/>
        <w:rPr>
          <w:rFonts w:ascii="宋体" w:hAnsi="宋体"/>
          <w:bCs/>
          <w:sz w:val="18"/>
          <w:szCs w:val="18"/>
        </w:rPr>
      </w:pPr>
      <w:permStart w:id="582888207" w:edGrp="everyone"/>
      <w:r w:rsidRPr="000F527B">
        <w:rPr>
          <w:rFonts w:ascii="宋体" w:hAnsi="宋体" w:hint="eastAsia"/>
          <w:bCs/>
          <w:sz w:val="18"/>
          <w:szCs w:val="18"/>
        </w:rPr>
        <w:t>1、拟投资市场和资产的风险：</w:t>
      </w:r>
    </w:p>
    <w:p w14:paraId="2BEDFDCE" w14:textId="77777777" w:rsidR="000F527B" w:rsidRPr="000F527B" w:rsidRDefault="000F527B" w:rsidP="000F527B">
      <w:pPr>
        <w:pStyle w:val="aa"/>
        <w:ind w:firstLine="360"/>
        <w:rPr>
          <w:rFonts w:ascii="宋体" w:hAnsi="宋体"/>
          <w:bCs/>
          <w:sz w:val="18"/>
          <w:szCs w:val="18"/>
        </w:rPr>
      </w:pPr>
      <w:r w:rsidRPr="000F527B">
        <w:rPr>
          <w:rFonts w:ascii="宋体" w:hAnsi="宋体" w:hint="eastAsia"/>
          <w:bCs/>
          <w:sz w:val="18"/>
          <w:szCs w:val="18"/>
        </w:rPr>
        <w:t>（1）投资债权类资产的风险</w:t>
      </w:r>
    </w:p>
    <w:p w14:paraId="642E91F0" w14:textId="77777777" w:rsidR="00E17C44" w:rsidRPr="00E17C44" w:rsidRDefault="00E17C44" w:rsidP="00E17C44">
      <w:pPr>
        <w:pStyle w:val="aa"/>
        <w:ind w:firstLine="360"/>
        <w:rPr>
          <w:rFonts w:ascii="宋体" w:hAnsi="宋体"/>
          <w:bCs/>
          <w:sz w:val="18"/>
          <w:szCs w:val="18"/>
        </w:rPr>
      </w:pPr>
      <w:r w:rsidRPr="00E17C44">
        <w:rPr>
          <w:rFonts w:ascii="宋体" w:hAnsi="宋体" w:hint="eastAsia"/>
          <w:bCs/>
          <w:sz w:val="18"/>
          <w:szCs w:val="18"/>
        </w:rPr>
        <w:t>1）投资标准化债权类资产的风险</w:t>
      </w:r>
    </w:p>
    <w:p w14:paraId="69A196AD" w14:textId="4A49E938" w:rsidR="00E17C44" w:rsidRPr="00E17C44" w:rsidRDefault="00E17C44" w:rsidP="00E17C44">
      <w:pPr>
        <w:pStyle w:val="aa"/>
        <w:ind w:firstLine="360"/>
        <w:rPr>
          <w:rFonts w:ascii="宋体" w:hAnsi="宋体"/>
          <w:bCs/>
          <w:sz w:val="18"/>
          <w:szCs w:val="18"/>
        </w:rPr>
      </w:pPr>
      <w:r w:rsidRPr="00E17C44">
        <w:rPr>
          <w:rFonts w:ascii="宋体" w:hAnsi="宋体" w:hint="eastAsia"/>
          <w:bCs/>
          <w:sz w:val="18"/>
          <w:szCs w:val="18"/>
        </w:rPr>
        <w:t>本产品投资债券、资产支持证券等</w:t>
      </w:r>
      <w:r w:rsidR="00260722">
        <w:rPr>
          <w:rFonts w:ascii="宋体" w:hAnsi="宋体" w:hint="eastAsia"/>
          <w:bCs/>
          <w:sz w:val="18"/>
          <w:szCs w:val="18"/>
        </w:rPr>
        <w:t>债权</w:t>
      </w:r>
      <w:r w:rsidRPr="00E17C44">
        <w:rPr>
          <w:rFonts w:ascii="宋体" w:hAnsi="宋体" w:hint="eastAsia"/>
          <w:bCs/>
          <w:sz w:val="18"/>
          <w:szCs w:val="18"/>
        </w:rPr>
        <w:t>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14:paraId="771E59AA" w14:textId="77777777" w:rsidR="00E17C44" w:rsidRPr="00E17C44" w:rsidRDefault="00E17C44" w:rsidP="00E17C44">
      <w:pPr>
        <w:pStyle w:val="aa"/>
        <w:ind w:firstLine="360"/>
        <w:rPr>
          <w:rFonts w:ascii="宋体" w:hAnsi="宋体"/>
          <w:bCs/>
          <w:sz w:val="18"/>
          <w:szCs w:val="18"/>
        </w:rPr>
      </w:pPr>
      <w:r w:rsidRPr="00E17C44">
        <w:rPr>
          <w:rFonts w:ascii="宋体" w:hAnsi="宋体" w:hint="eastAsia"/>
          <w:bCs/>
          <w:sz w:val="18"/>
          <w:szCs w:val="18"/>
        </w:rPr>
        <w:t>2）投资非标准化债权类资产的风险</w:t>
      </w:r>
    </w:p>
    <w:p w14:paraId="6262C165" w14:textId="77777777" w:rsidR="007849D3" w:rsidRDefault="00E17C44" w:rsidP="00E17C44">
      <w:pPr>
        <w:pStyle w:val="aa"/>
        <w:ind w:firstLine="360"/>
        <w:rPr>
          <w:rFonts w:ascii="宋体" w:hAnsi="宋体"/>
          <w:bCs/>
          <w:sz w:val="18"/>
          <w:szCs w:val="18"/>
        </w:rPr>
      </w:pPr>
      <w:r w:rsidRPr="00E17C44">
        <w:rPr>
          <w:rFonts w:ascii="宋体" w:hAnsi="宋体" w:hint="eastAsia"/>
          <w:bCs/>
          <w:sz w:val="18"/>
          <w:szCs w:val="18"/>
        </w:rPr>
        <w:t>本产品投资非标债权类资产时可能面临以下风险：由于融资主体/增信主体/其他义务人还款履约能力可能的变化导致的信用风险（包括但不限于：融资主体提前还款、延期还款或逾期还款的风险；增信主体未能履行增信义务（例如：保证担保、差额补足、远期回购、流动性支持等增信措施）的风险）；非标债权类资产可能因其无法等分化交易、信息披露不充分、未能集中登记和独立托管、缺乏公允性定价和流动机制不完善、未在银行间市场、证券交易所市场等国务院同意设立的交易市场交易等原因，从而缺乏交易对手，导致流动性风险等。</w:t>
      </w:r>
    </w:p>
    <w:permEnd w:id="582888207"/>
    <w:p w14:paraId="1825957D" w14:textId="77777777" w:rsidR="00564950" w:rsidRDefault="00D15677">
      <w:pPr>
        <w:pStyle w:val="aa"/>
        <w:ind w:firstLine="361"/>
        <w:rPr>
          <w:rFonts w:ascii="宋体" w:hAnsi="宋体"/>
          <w:sz w:val="18"/>
          <w:szCs w:val="18"/>
        </w:rPr>
      </w:pPr>
      <w:r>
        <w:rPr>
          <w:rFonts w:ascii="黑体" w:eastAsia="黑体" w:hAnsi="黑体" w:cs="仿宋_GB2312" w:hint="eastAsia"/>
          <w:b/>
          <w:kern w:val="0"/>
          <w:sz w:val="18"/>
          <w:szCs w:val="18"/>
        </w:rPr>
        <w:t>★</w:t>
      </w:r>
      <w:r>
        <w:rPr>
          <w:rFonts w:ascii="黑体" w:eastAsia="黑体" w:hAnsi="黑体" w:hint="eastAsia"/>
          <w:sz w:val="18"/>
          <w:szCs w:val="18"/>
        </w:rPr>
        <w:t>注：以上特定风险仅为列举性质，未能详尽列明投资本产品可能面临的全部风险和可能导致投资者投资本金及收益损失的所有因素。</w:t>
      </w:r>
    </w:p>
    <w:p w14:paraId="74E4A59D" w14:textId="77777777" w:rsidR="00564950" w:rsidRDefault="00D15677">
      <w:pPr>
        <w:pStyle w:val="aa"/>
        <w:ind w:firstLineChars="0" w:firstLine="426"/>
        <w:rPr>
          <w:rFonts w:ascii="宋体" w:hAnsi="宋体"/>
          <w:b/>
          <w:bCs/>
          <w:sz w:val="18"/>
          <w:szCs w:val="18"/>
        </w:rPr>
      </w:pPr>
      <w:r>
        <w:rPr>
          <w:rFonts w:ascii="宋体" w:hAnsi="宋体" w:hint="eastAsia"/>
          <w:b/>
          <w:bCs/>
          <w:sz w:val="18"/>
          <w:szCs w:val="18"/>
        </w:rPr>
        <w:t xml:space="preserve">（二）投资者投资本产品可能面临的一般风险主要包括（但不限于）： </w:t>
      </w:r>
    </w:p>
    <w:p w14:paraId="02B263A3" w14:textId="77777777" w:rsidR="00564950" w:rsidRDefault="00D15677">
      <w:pPr>
        <w:pStyle w:val="aa"/>
        <w:ind w:firstLineChars="0" w:firstLine="426"/>
        <w:rPr>
          <w:rFonts w:ascii="宋体" w:hAnsi="宋体"/>
          <w:b/>
          <w:bCs/>
          <w:sz w:val="18"/>
          <w:szCs w:val="18"/>
        </w:rPr>
      </w:pPr>
      <w:r>
        <w:rPr>
          <w:rFonts w:ascii="宋体" w:hAnsi="宋体"/>
          <w:b/>
          <w:bCs/>
          <w:sz w:val="18"/>
          <w:szCs w:val="18"/>
        </w:rPr>
        <w:t>1</w:t>
      </w:r>
      <w:r>
        <w:rPr>
          <w:rFonts w:ascii="宋体" w:hAnsi="宋体" w:hint="eastAsia"/>
          <w:b/>
          <w:bCs/>
          <w:sz w:val="18"/>
          <w:szCs w:val="18"/>
        </w:rPr>
        <w:t>.</w:t>
      </w:r>
      <w:r>
        <w:rPr>
          <w:rFonts w:ascii="宋体" w:hAnsi="宋体"/>
          <w:b/>
          <w:bCs/>
          <w:sz w:val="18"/>
          <w:szCs w:val="18"/>
        </w:rPr>
        <w:t>信用风险</w:t>
      </w:r>
    </w:p>
    <w:p w14:paraId="10A51166" w14:textId="77777777" w:rsidR="00564950" w:rsidRDefault="00D15677">
      <w:pPr>
        <w:pStyle w:val="aa"/>
        <w:ind w:firstLineChars="0" w:firstLine="426"/>
        <w:rPr>
          <w:rFonts w:ascii="宋体" w:hAnsi="宋体" w:cs="仿宋_GB2312"/>
          <w:kern w:val="0"/>
          <w:sz w:val="18"/>
          <w:szCs w:val="18"/>
        </w:rPr>
      </w:pPr>
      <w:r>
        <w:rPr>
          <w:rFonts w:ascii="宋体" w:hAnsi="宋体" w:cs="仿宋_GB2312" w:hint="eastAsia"/>
          <w:kern w:val="0"/>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14:paraId="27993DD7" w14:textId="77777777" w:rsidR="00564950" w:rsidRDefault="00D15677">
      <w:pPr>
        <w:pStyle w:val="aa"/>
        <w:ind w:firstLineChars="0" w:firstLine="426"/>
        <w:rPr>
          <w:rFonts w:ascii="宋体" w:hAnsi="宋体"/>
          <w:b/>
          <w:bCs/>
          <w:sz w:val="18"/>
          <w:szCs w:val="18"/>
        </w:rPr>
      </w:pPr>
      <w:r>
        <w:rPr>
          <w:rFonts w:ascii="宋体" w:hAnsi="宋体"/>
          <w:b/>
          <w:bCs/>
          <w:sz w:val="18"/>
          <w:szCs w:val="18"/>
        </w:rPr>
        <w:t>2</w:t>
      </w:r>
      <w:r>
        <w:rPr>
          <w:rFonts w:ascii="宋体" w:hAnsi="宋体" w:hint="eastAsia"/>
          <w:b/>
          <w:bCs/>
          <w:sz w:val="18"/>
          <w:szCs w:val="18"/>
        </w:rPr>
        <w:t>.</w:t>
      </w:r>
      <w:r>
        <w:rPr>
          <w:rFonts w:ascii="宋体" w:hAnsi="宋体"/>
          <w:b/>
          <w:bCs/>
          <w:sz w:val="18"/>
          <w:szCs w:val="18"/>
        </w:rPr>
        <w:t>利率风险</w:t>
      </w:r>
    </w:p>
    <w:p w14:paraId="3CE62C09" w14:textId="77777777" w:rsidR="00564950" w:rsidRDefault="00D15677">
      <w:pPr>
        <w:pStyle w:val="aa"/>
        <w:ind w:firstLineChars="0" w:firstLine="426"/>
        <w:rPr>
          <w:rFonts w:ascii="宋体" w:hAnsi="宋体" w:cs="仿宋_GB2312"/>
          <w:kern w:val="0"/>
          <w:sz w:val="18"/>
          <w:szCs w:val="18"/>
        </w:rPr>
      </w:pPr>
      <w:r>
        <w:rPr>
          <w:rFonts w:ascii="宋体" w:hAnsi="宋体" w:cs="仿宋_GB2312" w:hint="eastAsia"/>
          <w:kern w:val="0"/>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14:paraId="65342152" w14:textId="77777777" w:rsidR="00564950" w:rsidRDefault="00D15677">
      <w:pPr>
        <w:pStyle w:val="aa"/>
        <w:ind w:firstLineChars="0" w:firstLine="426"/>
        <w:rPr>
          <w:rFonts w:ascii="宋体" w:hAnsi="宋体"/>
          <w:b/>
          <w:bCs/>
          <w:sz w:val="18"/>
          <w:szCs w:val="18"/>
        </w:rPr>
      </w:pPr>
      <w:r>
        <w:rPr>
          <w:rFonts w:ascii="宋体" w:hAnsi="宋体" w:hint="eastAsia"/>
          <w:b/>
          <w:bCs/>
          <w:sz w:val="18"/>
          <w:szCs w:val="18"/>
        </w:rPr>
        <w:t>3.市场</w:t>
      </w:r>
      <w:r>
        <w:rPr>
          <w:rFonts w:ascii="宋体" w:hAnsi="宋体"/>
          <w:b/>
          <w:bCs/>
          <w:sz w:val="18"/>
          <w:szCs w:val="18"/>
        </w:rPr>
        <w:t>风险</w:t>
      </w:r>
    </w:p>
    <w:p w14:paraId="1BEF2EA4" w14:textId="77777777" w:rsidR="00564950" w:rsidRDefault="00D15677">
      <w:pPr>
        <w:pStyle w:val="aa"/>
        <w:ind w:firstLineChars="0" w:firstLine="426"/>
        <w:rPr>
          <w:rFonts w:ascii="宋体" w:hAnsi="宋体" w:cs="仿宋_GB2312"/>
          <w:kern w:val="0"/>
          <w:sz w:val="18"/>
          <w:szCs w:val="18"/>
        </w:rPr>
      </w:pPr>
      <w:r>
        <w:rPr>
          <w:rFonts w:ascii="宋体" w:hAnsi="宋体" w:cs="仿宋_GB2312" w:hint="eastAsia"/>
          <w:kern w:val="0"/>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14:paraId="41DD19FA" w14:textId="77777777" w:rsidR="00564950" w:rsidRDefault="00D15677">
      <w:pPr>
        <w:pStyle w:val="aa"/>
        <w:ind w:firstLineChars="0" w:firstLine="426"/>
        <w:rPr>
          <w:rFonts w:ascii="宋体" w:hAnsi="宋体" w:cs="仿宋_GB2312"/>
          <w:b/>
          <w:kern w:val="0"/>
          <w:sz w:val="18"/>
          <w:szCs w:val="18"/>
        </w:rPr>
      </w:pPr>
      <w:r>
        <w:rPr>
          <w:rFonts w:ascii="宋体" w:hAnsi="宋体" w:cs="仿宋_GB2312" w:hint="eastAsia"/>
          <w:b/>
          <w:kern w:val="0"/>
          <w:sz w:val="18"/>
          <w:szCs w:val="18"/>
        </w:rPr>
        <w:t>4.流动性风险</w:t>
      </w:r>
    </w:p>
    <w:p w14:paraId="5A3A61D6" w14:textId="77777777" w:rsidR="00564950" w:rsidRDefault="00D15677">
      <w:pPr>
        <w:pStyle w:val="aa"/>
        <w:ind w:firstLineChars="0" w:firstLine="426"/>
        <w:rPr>
          <w:rFonts w:ascii="宋体" w:hAnsi="宋体" w:cs="仿宋_GB2312"/>
          <w:bCs/>
          <w:kern w:val="0"/>
          <w:sz w:val="18"/>
          <w:szCs w:val="18"/>
        </w:rPr>
      </w:pPr>
      <w:r>
        <w:rPr>
          <w:rFonts w:ascii="宋体" w:hAnsi="宋体" w:cs="仿宋_GB2312" w:hint="eastAsia"/>
          <w:bCs/>
          <w:kern w:val="0"/>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14:paraId="0CC83CAA" w14:textId="77777777" w:rsidR="00564950" w:rsidRDefault="00D15677">
      <w:pPr>
        <w:pStyle w:val="aa"/>
        <w:ind w:firstLineChars="0" w:firstLine="426"/>
        <w:rPr>
          <w:rFonts w:ascii="宋体" w:hAnsi="宋体" w:cs="仿宋_GB2312"/>
          <w:b/>
          <w:kern w:val="0"/>
          <w:sz w:val="18"/>
          <w:szCs w:val="18"/>
        </w:rPr>
      </w:pPr>
      <w:r>
        <w:rPr>
          <w:rFonts w:ascii="宋体" w:hAnsi="宋体" w:cs="仿宋_GB2312" w:hint="eastAsia"/>
          <w:b/>
          <w:kern w:val="0"/>
          <w:sz w:val="18"/>
          <w:szCs w:val="18"/>
        </w:rPr>
        <w:t>5.</w:t>
      </w:r>
      <w:r>
        <w:rPr>
          <w:rFonts w:ascii="宋体" w:hAnsi="宋体" w:cs="仿宋_GB2312"/>
          <w:b/>
          <w:kern w:val="0"/>
          <w:sz w:val="18"/>
          <w:szCs w:val="18"/>
        </w:rPr>
        <w:t>法律与政策风险</w:t>
      </w:r>
    </w:p>
    <w:p w14:paraId="78CC0B23" w14:textId="77777777" w:rsidR="00564950" w:rsidRDefault="00D15677">
      <w:pPr>
        <w:pStyle w:val="aa"/>
        <w:ind w:firstLineChars="0" w:firstLine="426"/>
        <w:rPr>
          <w:rFonts w:ascii="宋体" w:hAnsi="宋体" w:cs="仿宋_GB2312"/>
          <w:kern w:val="0"/>
          <w:sz w:val="18"/>
          <w:szCs w:val="18"/>
        </w:rPr>
      </w:pPr>
      <w:r>
        <w:rPr>
          <w:rFonts w:ascii="宋体" w:hAnsi="宋体" w:cs="仿宋_GB2312" w:hint="eastAsia"/>
          <w:kern w:val="0"/>
          <w:sz w:val="18"/>
          <w:szCs w:val="18"/>
        </w:rPr>
        <w:t>国家监管政策、货币政策、财政税收政策、产业政策、宏观政策及相关法律、法规的调整与变化将会影响本产品的设立、投资及管理等的正常运行，甚至导致本产品发生损失。</w:t>
      </w:r>
    </w:p>
    <w:p w14:paraId="46D4458F" w14:textId="77777777" w:rsidR="00564950" w:rsidRDefault="00D15677">
      <w:pPr>
        <w:pStyle w:val="aa"/>
        <w:ind w:firstLineChars="0" w:firstLine="426"/>
        <w:rPr>
          <w:rFonts w:ascii="宋体" w:hAnsi="宋体"/>
          <w:b/>
          <w:bCs/>
          <w:sz w:val="18"/>
          <w:szCs w:val="18"/>
        </w:rPr>
      </w:pPr>
      <w:r>
        <w:rPr>
          <w:rFonts w:ascii="宋体" w:hAnsi="宋体" w:hint="eastAsia"/>
          <w:b/>
          <w:bCs/>
          <w:sz w:val="18"/>
          <w:szCs w:val="18"/>
        </w:rPr>
        <w:t>6.</w:t>
      </w:r>
      <w:r>
        <w:rPr>
          <w:rFonts w:ascii="宋体" w:hAnsi="宋体"/>
          <w:b/>
          <w:bCs/>
          <w:sz w:val="18"/>
          <w:szCs w:val="18"/>
        </w:rPr>
        <w:t>延期</w:t>
      </w:r>
      <w:r>
        <w:rPr>
          <w:rFonts w:ascii="宋体" w:hAnsi="宋体" w:hint="eastAsia"/>
          <w:b/>
          <w:bCs/>
          <w:sz w:val="18"/>
          <w:szCs w:val="18"/>
        </w:rPr>
        <w:t>分配</w:t>
      </w:r>
      <w:r>
        <w:rPr>
          <w:rFonts w:ascii="宋体" w:hAnsi="宋体"/>
          <w:b/>
          <w:bCs/>
          <w:sz w:val="18"/>
          <w:szCs w:val="18"/>
        </w:rPr>
        <w:t>风险</w:t>
      </w:r>
    </w:p>
    <w:p w14:paraId="587D64ED" w14:textId="77777777" w:rsidR="00564950" w:rsidRDefault="00D15677">
      <w:pPr>
        <w:pStyle w:val="aa"/>
        <w:ind w:firstLineChars="0" w:firstLine="426"/>
        <w:rPr>
          <w:rFonts w:ascii="宋体" w:hAnsi="宋体" w:cs="仿宋_GB2312"/>
          <w:kern w:val="0"/>
          <w:sz w:val="18"/>
          <w:szCs w:val="18"/>
        </w:rPr>
      </w:pPr>
      <w:r>
        <w:rPr>
          <w:rFonts w:ascii="宋体" w:hAnsi="宋体" w:cs="仿宋_GB2312" w:hint="eastAsia"/>
          <w:kern w:val="0"/>
          <w:sz w:val="18"/>
          <w:szCs w:val="18"/>
        </w:rPr>
        <w:t>指因市场内部和外部的原因导致理财基础资产不能及时变现而造成理财产品不能按时分配，理财期限将相应延长，从而导致本产品部分资金的延期分配。</w:t>
      </w:r>
    </w:p>
    <w:p w14:paraId="5D95BA1A" w14:textId="77777777" w:rsidR="00564950" w:rsidRDefault="00D15677">
      <w:pPr>
        <w:pStyle w:val="aa"/>
        <w:ind w:firstLineChars="0" w:firstLine="426"/>
        <w:rPr>
          <w:rFonts w:ascii="宋体" w:hAnsi="宋体" w:cs="仿宋_GB2312"/>
          <w:b/>
          <w:kern w:val="0"/>
          <w:sz w:val="18"/>
          <w:szCs w:val="18"/>
        </w:rPr>
      </w:pPr>
      <w:r>
        <w:rPr>
          <w:rFonts w:ascii="宋体" w:hAnsi="宋体" w:cs="仿宋_GB2312" w:hint="eastAsia"/>
          <w:b/>
          <w:kern w:val="0"/>
          <w:sz w:val="18"/>
          <w:szCs w:val="18"/>
        </w:rPr>
        <w:t>7.</w:t>
      </w:r>
      <w:r>
        <w:rPr>
          <w:rFonts w:ascii="宋体" w:hAnsi="宋体" w:cs="仿宋_GB2312"/>
          <w:b/>
          <w:kern w:val="0"/>
          <w:sz w:val="18"/>
          <w:szCs w:val="18"/>
        </w:rPr>
        <w:t>早偿风险</w:t>
      </w:r>
    </w:p>
    <w:p w14:paraId="541167C3" w14:textId="77777777" w:rsidR="00564950" w:rsidRDefault="00D15677">
      <w:pPr>
        <w:pStyle w:val="aa"/>
        <w:ind w:firstLineChars="0" w:firstLine="426"/>
        <w:rPr>
          <w:rFonts w:ascii="宋体" w:hAnsi="宋体" w:cs="仿宋_GB2312"/>
          <w:kern w:val="0"/>
          <w:sz w:val="18"/>
          <w:szCs w:val="18"/>
        </w:rPr>
      </w:pPr>
      <w:r>
        <w:rPr>
          <w:rFonts w:ascii="宋体" w:hAnsi="宋体" w:cs="仿宋_GB2312" w:hint="eastAsia"/>
          <w:kern w:val="0"/>
          <w:sz w:val="18"/>
          <w:szCs w:val="18"/>
        </w:rPr>
        <w:t>如遇国家金融政策重大调整影响产品正常运作时、本产品的投资资产等不能成立或者提前终止、或者司法机关要求、或发生其他产品管理人认为需要提前终止本产品等情况，产品管理人有权部分或全部提前终止本产品，投资者将面临再投资机会风险。</w:t>
      </w:r>
    </w:p>
    <w:p w14:paraId="3AC68865" w14:textId="77777777" w:rsidR="00564950" w:rsidRDefault="00D15677">
      <w:pPr>
        <w:pStyle w:val="aa"/>
        <w:ind w:firstLineChars="0" w:firstLine="426"/>
        <w:rPr>
          <w:rFonts w:ascii="黑体" w:eastAsia="黑体" w:hAnsi="黑体" w:cs="黑体"/>
          <w:b/>
          <w:bCs/>
          <w:sz w:val="18"/>
          <w:szCs w:val="18"/>
        </w:rPr>
      </w:pPr>
      <w:r>
        <w:rPr>
          <w:rFonts w:ascii="黑体" w:eastAsia="黑体" w:hAnsi="黑体" w:cs="黑体" w:hint="eastAsia"/>
          <w:b/>
          <w:bCs/>
          <w:sz w:val="18"/>
          <w:szCs w:val="18"/>
        </w:rPr>
        <w:lastRenderedPageBreak/>
        <w:t>8.</w:t>
      </w:r>
      <w:r>
        <w:rPr>
          <w:rFonts w:ascii="黑体" w:eastAsia="黑体" w:hAnsi="黑体" w:cs="黑体" w:hint="eastAsia"/>
          <w:sz w:val="18"/>
          <w:szCs w:val="18"/>
        </w:rPr>
        <w:t>★</w:t>
      </w:r>
      <w:r>
        <w:rPr>
          <w:rFonts w:ascii="黑体" w:eastAsia="黑体" w:hAnsi="黑体" w:cs="黑体" w:hint="eastAsia"/>
          <w:b/>
          <w:bCs/>
          <w:sz w:val="18"/>
          <w:szCs w:val="18"/>
        </w:rPr>
        <w:t>信息传递风险</w:t>
      </w:r>
    </w:p>
    <w:p w14:paraId="6D6B5B63" w14:textId="77777777" w:rsidR="00564950" w:rsidRDefault="00D15677">
      <w:pPr>
        <w:pStyle w:val="aa"/>
        <w:ind w:firstLineChars="0" w:firstLine="426"/>
        <w:rPr>
          <w:rFonts w:ascii="黑体" w:eastAsia="黑体" w:hAnsi="黑体" w:cs="黑体"/>
          <w:kern w:val="0"/>
          <w:sz w:val="18"/>
          <w:szCs w:val="18"/>
        </w:rPr>
      </w:pPr>
      <w:r>
        <w:rPr>
          <w:rFonts w:ascii="黑体" w:eastAsia="黑体" w:hAnsi="黑体" w:cs="黑体" w:hint="eastAsia"/>
          <w:kern w:val="0"/>
          <w:sz w:val="18"/>
          <w:szCs w:val="18"/>
        </w:rPr>
        <w:t>投资者需要通过约定的信息披露渠道了解产品相关信息公告。具体公告方式以理财产品销售文件所载明的公告方式为准。投资者应根据本产品说明书所载明的公告方式及时查询本理财产品的相关信息。如果投资者未及时查询，或由于通讯故障、系统故障以及其他不可抗力等因素的影响使得投资者无法及时了解产品信息，由此而产生的责任和风险由投资者自行承担。如投资者预留的有效联系方式变更但未及时告知产品管理人的，致使在需要联系投资者时无法及时联系并可能会由此影响投资者的投资决策，由此而产生的责任和风险由投资者自行承担。</w:t>
      </w:r>
    </w:p>
    <w:p w14:paraId="4A9DD6DB" w14:textId="77777777" w:rsidR="00564950" w:rsidRDefault="00D15677">
      <w:pPr>
        <w:ind w:firstLineChars="200" w:firstLine="361"/>
        <w:rPr>
          <w:rFonts w:ascii="宋体" w:hAnsi="宋体"/>
          <w:b/>
          <w:bCs/>
          <w:sz w:val="18"/>
          <w:szCs w:val="18"/>
        </w:rPr>
      </w:pPr>
      <w:r>
        <w:rPr>
          <w:rFonts w:ascii="宋体" w:hAnsi="宋体" w:hint="eastAsia"/>
          <w:b/>
          <w:bCs/>
          <w:sz w:val="18"/>
          <w:szCs w:val="18"/>
        </w:rPr>
        <w:t>9.</w:t>
      </w:r>
      <w:r>
        <w:rPr>
          <w:rFonts w:ascii="宋体" w:hAnsi="宋体"/>
          <w:b/>
          <w:bCs/>
          <w:sz w:val="18"/>
          <w:szCs w:val="18"/>
        </w:rPr>
        <w:t>不可抗力及意外事件风险</w:t>
      </w:r>
    </w:p>
    <w:p w14:paraId="24486CFF" w14:textId="77777777" w:rsidR="00564950" w:rsidRDefault="00D15677">
      <w:pPr>
        <w:ind w:firstLineChars="200" w:firstLine="360"/>
        <w:rPr>
          <w:rFonts w:ascii="宋体" w:hAnsi="宋体"/>
          <w:bCs/>
          <w:sz w:val="18"/>
          <w:szCs w:val="18"/>
        </w:rPr>
      </w:pPr>
      <w:r>
        <w:rPr>
          <w:rFonts w:ascii="宋体" w:hAnsi="宋体" w:hint="eastAsia"/>
          <w:bCs/>
          <w:sz w:val="18"/>
          <w:szCs w:val="18"/>
        </w:rPr>
        <w:t>因战争、自然灾害、重大政治事件等不可抗力以及其他不可预见的意外事件可能致使理财产品面临损失的风险。</w:t>
      </w:r>
    </w:p>
    <w:p w14:paraId="098A3986" w14:textId="77777777" w:rsidR="00564950" w:rsidRDefault="00D15677">
      <w:pPr>
        <w:pStyle w:val="aa"/>
        <w:ind w:firstLine="361"/>
        <w:rPr>
          <w:rFonts w:ascii="宋体" w:hAnsi="宋体"/>
          <w:b/>
          <w:bCs/>
          <w:sz w:val="18"/>
          <w:szCs w:val="18"/>
        </w:rPr>
      </w:pPr>
      <w:r>
        <w:rPr>
          <w:rFonts w:ascii="宋体" w:hAnsi="宋体" w:hint="eastAsia"/>
          <w:b/>
          <w:bCs/>
          <w:sz w:val="18"/>
          <w:szCs w:val="18"/>
        </w:rPr>
        <w:t>10.</w:t>
      </w:r>
      <w:r>
        <w:rPr>
          <w:rFonts w:ascii="宋体" w:hAnsi="宋体"/>
          <w:b/>
          <w:bCs/>
          <w:sz w:val="18"/>
          <w:szCs w:val="18"/>
        </w:rPr>
        <w:t>管理人风险</w:t>
      </w:r>
    </w:p>
    <w:p w14:paraId="16CD76B7" w14:textId="77777777" w:rsidR="00564950" w:rsidRDefault="00D15677">
      <w:pPr>
        <w:pStyle w:val="aa"/>
        <w:ind w:firstLine="360"/>
        <w:rPr>
          <w:rFonts w:ascii="宋体" w:hAnsi="宋体"/>
          <w:bCs/>
          <w:sz w:val="18"/>
          <w:szCs w:val="18"/>
        </w:rPr>
      </w:pPr>
      <w:r>
        <w:rPr>
          <w:rFonts w:ascii="宋体" w:hAnsi="宋体" w:hint="eastAsia"/>
          <w:bCs/>
          <w:sz w:val="18"/>
          <w:szCs w:val="18"/>
        </w:rPr>
        <w:t>理财产品管理人或理财投资资产相关服务机构受经验、技能等因素的限制，或者上述主体处理事务不当等，可能导致投资者遭受损失。</w:t>
      </w:r>
    </w:p>
    <w:p w14:paraId="63500453" w14:textId="77777777" w:rsidR="00564950" w:rsidRDefault="00D15677">
      <w:pPr>
        <w:pStyle w:val="aa"/>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1.理财产品不成立风险</w:t>
      </w:r>
    </w:p>
    <w:p w14:paraId="0FC2C6B0" w14:textId="77777777" w:rsidR="00564950" w:rsidRDefault="00D15677">
      <w:pPr>
        <w:pStyle w:val="aa"/>
        <w:ind w:firstLine="360"/>
        <w:rPr>
          <w:rFonts w:ascii="宋体" w:hAnsi="宋体"/>
          <w:bCs/>
          <w:sz w:val="18"/>
          <w:szCs w:val="18"/>
        </w:rPr>
      </w:pPr>
      <w:r>
        <w:rPr>
          <w:rFonts w:ascii="宋体" w:hAnsi="宋体" w:hint="eastAsia"/>
          <w:bCs/>
          <w:sz w:val="18"/>
          <w:szCs w:val="18"/>
        </w:rPr>
        <w:t>如自本产品开始募集至认购期结束认购总金额未达到产品最小成立规模（如有约定），或</w:t>
      </w:r>
      <w:r>
        <w:rPr>
          <w:rFonts w:ascii="宋体" w:hAnsi="宋体"/>
          <w:bCs/>
          <w:sz w:val="18"/>
          <w:szCs w:val="18"/>
        </w:rPr>
        <w:t>融资人取消融资计划，</w:t>
      </w:r>
      <w:r>
        <w:rPr>
          <w:rFonts w:ascii="宋体" w:hAnsi="宋体" w:hint="eastAsia"/>
          <w:bCs/>
          <w:sz w:val="18"/>
          <w:szCs w:val="18"/>
        </w:rPr>
        <w:t>或市场发生剧烈波动，或不可抗力，或相关法律法规以及监管部门规定等原因，经</w:t>
      </w:r>
      <w:r>
        <w:rPr>
          <w:rFonts w:ascii="宋体" w:hAnsi="宋体" w:cs="仿宋_GB2312" w:hint="eastAsia"/>
          <w:kern w:val="0"/>
          <w:sz w:val="18"/>
          <w:szCs w:val="18"/>
        </w:rPr>
        <w:t>产品管理人</w:t>
      </w:r>
      <w:r>
        <w:rPr>
          <w:rFonts w:ascii="宋体" w:hAnsi="宋体" w:hint="eastAsia"/>
          <w:bCs/>
          <w:sz w:val="18"/>
          <w:szCs w:val="18"/>
        </w:rPr>
        <w:t>谨慎合理判断难以按照理财产品销售文件有关规定向投资者提供本产品，</w:t>
      </w:r>
      <w:r>
        <w:rPr>
          <w:rFonts w:ascii="宋体" w:hAnsi="宋体" w:cs="仿宋_GB2312" w:hint="eastAsia"/>
          <w:kern w:val="0"/>
          <w:sz w:val="18"/>
          <w:szCs w:val="18"/>
        </w:rPr>
        <w:t>产品管理人</w:t>
      </w:r>
      <w:r>
        <w:rPr>
          <w:rFonts w:ascii="宋体" w:hAnsi="宋体" w:hint="eastAsia"/>
          <w:bCs/>
          <w:sz w:val="18"/>
          <w:szCs w:val="18"/>
        </w:rPr>
        <w:t>有权宣布本产品不成立并</w:t>
      </w:r>
      <w:r>
        <w:rPr>
          <w:rFonts w:ascii="宋体" w:hAnsi="宋体"/>
          <w:bCs/>
          <w:sz w:val="18"/>
          <w:szCs w:val="18"/>
        </w:rPr>
        <w:t>及时返还投资者资金</w:t>
      </w:r>
      <w:r>
        <w:rPr>
          <w:rFonts w:ascii="宋体" w:hAnsi="宋体" w:hint="eastAsia"/>
          <w:bCs/>
          <w:sz w:val="18"/>
          <w:szCs w:val="18"/>
        </w:rPr>
        <w:t>，投资者将承担投资本产品不成立的风险。</w:t>
      </w:r>
    </w:p>
    <w:p w14:paraId="3E4CFBF2" w14:textId="77777777" w:rsidR="00564950" w:rsidRDefault="00D15677">
      <w:pPr>
        <w:pStyle w:val="aa"/>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2.</w:t>
      </w:r>
      <w:r>
        <w:rPr>
          <w:rFonts w:ascii="宋体" w:hAnsi="宋体"/>
          <w:b/>
          <w:bCs/>
          <w:sz w:val="18"/>
          <w:szCs w:val="18"/>
        </w:rPr>
        <w:t>操作风险</w:t>
      </w:r>
    </w:p>
    <w:p w14:paraId="2A6A3A9F" w14:textId="77777777" w:rsidR="00564950" w:rsidRDefault="00D15677">
      <w:pPr>
        <w:pStyle w:val="aa"/>
        <w:ind w:firstLine="360"/>
        <w:rPr>
          <w:rFonts w:ascii="宋体" w:hAnsi="宋体"/>
          <w:bCs/>
          <w:sz w:val="18"/>
          <w:szCs w:val="18"/>
        </w:rPr>
      </w:pPr>
      <w:r>
        <w:rPr>
          <w:rFonts w:ascii="宋体" w:hAnsi="宋体" w:hint="eastAsia"/>
          <w:bCs/>
          <w:sz w:val="18"/>
          <w:szCs w:val="18"/>
        </w:rPr>
        <w:t>由于产品管理人的</w:t>
      </w:r>
      <w:r>
        <w:rPr>
          <w:rFonts w:ascii="宋体" w:hAnsi="宋体"/>
          <w:bCs/>
          <w:sz w:val="18"/>
          <w:szCs w:val="18"/>
        </w:rPr>
        <w:t>不完善或有问题的内部程序、员工和信息科技系统，以及外部事件所造成损失的风险。</w:t>
      </w:r>
    </w:p>
    <w:p w14:paraId="4857B915" w14:textId="77777777" w:rsidR="00564950" w:rsidRDefault="00D15677">
      <w:pPr>
        <w:pStyle w:val="aa"/>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3</w:t>
      </w:r>
      <w:r>
        <w:rPr>
          <w:rFonts w:ascii="宋体" w:hAnsi="宋体"/>
          <w:b/>
          <w:bCs/>
          <w:sz w:val="18"/>
          <w:szCs w:val="18"/>
        </w:rPr>
        <w:t>.估值</w:t>
      </w:r>
      <w:r>
        <w:rPr>
          <w:rFonts w:ascii="宋体" w:hAnsi="宋体" w:hint="eastAsia"/>
          <w:b/>
          <w:bCs/>
          <w:sz w:val="18"/>
          <w:szCs w:val="18"/>
        </w:rPr>
        <w:t>波动</w:t>
      </w:r>
      <w:r>
        <w:rPr>
          <w:rFonts w:ascii="宋体" w:hAnsi="宋体"/>
          <w:b/>
          <w:bCs/>
          <w:sz w:val="18"/>
          <w:szCs w:val="18"/>
        </w:rPr>
        <w:t>风险</w:t>
      </w:r>
    </w:p>
    <w:p w14:paraId="686433DE" w14:textId="77777777" w:rsidR="00564950" w:rsidRDefault="00D15677">
      <w:pPr>
        <w:pStyle w:val="aa"/>
        <w:ind w:firstLine="360"/>
        <w:rPr>
          <w:rFonts w:ascii="宋体" w:hAnsi="宋体"/>
          <w:bCs/>
          <w:sz w:val="18"/>
          <w:szCs w:val="18"/>
        </w:rPr>
      </w:pPr>
      <w:r>
        <w:rPr>
          <w:rFonts w:asciiTheme="majorEastAsia" w:eastAsiaTheme="majorEastAsia" w:hAnsiTheme="majorEastAsia" w:hint="eastAsia"/>
          <w:bCs/>
          <w:color w:val="000000" w:themeColor="text1"/>
          <w:sz w:val="18"/>
          <w:szCs w:val="18"/>
        </w:rPr>
        <w:t>本理财产品可能</w:t>
      </w:r>
      <w:r>
        <w:rPr>
          <w:rFonts w:asciiTheme="majorEastAsia" w:eastAsiaTheme="majorEastAsia" w:hAnsiTheme="majorEastAsia"/>
          <w:bCs/>
          <w:color w:val="000000" w:themeColor="text1"/>
          <w:sz w:val="18"/>
          <w:szCs w:val="18"/>
        </w:rPr>
        <w:t>投资符合监管</w:t>
      </w:r>
      <w:r>
        <w:rPr>
          <w:rFonts w:asciiTheme="majorEastAsia" w:eastAsiaTheme="majorEastAsia" w:hAnsiTheme="majorEastAsia" w:hint="eastAsia"/>
          <w:bCs/>
          <w:color w:val="000000" w:themeColor="text1"/>
          <w:sz w:val="18"/>
          <w:szCs w:val="18"/>
        </w:rPr>
        <w:t>要求的资产管理产品（包括但不限于信托计划、</w:t>
      </w:r>
      <w:r>
        <w:rPr>
          <w:rFonts w:asciiTheme="majorEastAsia" w:eastAsiaTheme="majorEastAsia" w:hAnsiTheme="majorEastAsia" w:hint="eastAsia"/>
          <w:bCs/>
          <w:color w:val="000000" w:themeColor="text1"/>
          <w:kern w:val="0"/>
          <w:sz w:val="18"/>
          <w:szCs w:val="18"/>
        </w:rPr>
        <w:t>公募基金、基金公司或子公司资产管理计划、证券公司资产管理计划、</w:t>
      </w:r>
      <w:r>
        <w:rPr>
          <w:rFonts w:asciiTheme="majorEastAsia" w:eastAsiaTheme="majorEastAsia" w:hAnsiTheme="majorEastAsia" w:hint="eastAsia"/>
          <w:bCs/>
          <w:color w:val="000000" w:themeColor="text1"/>
          <w:sz w:val="18"/>
          <w:szCs w:val="18"/>
        </w:rPr>
        <w:t>期货资产管理计划、</w:t>
      </w:r>
      <w:r>
        <w:rPr>
          <w:rFonts w:asciiTheme="majorEastAsia" w:eastAsiaTheme="majorEastAsia" w:hAnsiTheme="majorEastAsia" w:hint="eastAsia"/>
          <w:bCs/>
          <w:color w:val="000000" w:themeColor="text1"/>
          <w:kern w:val="0"/>
          <w:sz w:val="18"/>
          <w:szCs w:val="18"/>
        </w:rPr>
        <w:t>保险资产管理计划</w:t>
      </w:r>
      <w:r>
        <w:rPr>
          <w:rFonts w:asciiTheme="majorEastAsia" w:eastAsiaTheme="majorEastAsia" w:hAnsiTheme="majorEastAsia" w:hint="eastAsia"/>
          <w:bCs/>
          <w:color w:val="000000" w:themeColor="text1"/>
          <w:sz w:val="18"/>
          <w:szCs w:val="18"/>
        </w:rPr>
        <w:t>等），前述资产管理产品的管理人可能收取</w:t>
      </w:r>
      <w:r>
        <w:rPr>
          <w:rFonts w:asciiTheme="majorEastAsia" w:eastAsiaTheme="majorEastAsia" w:hAnsiTheme="majorEastAsia"/>
          <w:bCs/>
          <w:color w:val="000000" w:themeColor="text1"/>
          <w:sz w:val="18"/>
          <w:szCs w:val="18"/>
        </w:rPr>
        <w:t>业绩报酬，</w:t>
      </w:r>
      <w:r>
        <w:rPr>
          <w:rFonts w:asciiTheme="majorEastAsia" w:eastAsiaTheme="majorEastAsia" w:hAnsiTheme="majorEastAsia" w:hint="eastAsia"/>
          <w:bCs/>
          <w:color w:val="000000" w:themeColor="text1"/>
          <w:sz w:val="18"/>
          <w:szCs w:val="18"/>
        </w:rPr>
        <w:t>当前述资产管理产品计提业绩报酬时，本理财产品的产品份额净值存在下跌的风险。</w:t>
      </w:r>
    </w:p>
    <w:p w14:paraId="6726B24C" w14:textId="77777777" w:rsidR="00564950" w:rsidRDefault="00D15677">
      <w:pPr>
        <w:pStyle w:val="aa"/>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4.</w:t>
      </w:r>
      <w:r>
        <w:rPr>
          <w:rFonts w:ascii="宋体" w:hAnsi="宋体"/>
          <w:b/>
          <w:bCs/>
          <w:sz w:val="18"/>
          <w:szCs w:val="18"/>
        </w:rPr>
        <w:t>估值差错风险</w:t>
      </w:r>
    </w:p>
    <w:p w14:paraId="529307F7" w14:textId="77777777" w:rsidR="00564950" w:rsidRDefault="00D15677">
      <w:pPr>
        <w:pStyle w:val="aa"/>
        <w:ind w:firstLine="360"/>
        <w:rPr>
          <w:rFonts w:ascii="宋体" w:hAnsi="宋体"/>
          <w:bCs/>
          <w:sz w:val="18"/>
          <w:szCs w:val="18"/>
        </w:rPr>
      </w:pPr>
      <w:r>
        <w:rPr>
          <w:rFonts w:ascii="宋体" w:hAnsi="宋体" w:hint="eastAsia"/>
          <w:bCs/>
          <w:sz w:val="18"/>
          <w:szCs w:val="18"/>
        </w:rPr>
        <w:t>理财投资基础资产时涉及对资产估值不准确、及时的，理财产品管理人及产品托管人对理财产品费用计提出现错误，将导致本产品估值差错，可能影响理财产品份额净值。</w:t>
      </w:r>
    </w:p>
    <w:p w14:paraId="6DA58052" w14:textId="77777777" w:rsidR="00564950" w:rsidRDefault="00D15677">
      <w:pPr>
        <w:pStyle w:val="aa"/>
        <w:ind w:firstLine="361"/>
        <w:rPr>
          <w:rFonts w:ascii="黑体" w:eastAsia="黑体" w:hAnsi="黑体" w:cs="黑体"/>
          <w:b/>
          <w:bCs/>
          <w:sz w:val="18"/>
          <w:szCs w:val="18"/>
        </w:rPr>
      </w:pPr>
      <w:r>
        <w:rPr>
          <w:rFonts w:ascii="黑体" w:eastAsia="黑体" w:hAnsi="黑体" w:cs="黑体" w:hint="eastAsia"/>
          <w:b/>
          <w:bCs/>
          <w:sz w:val="18"/>
          <w:szCs w:val="18"/>
        </w:rPr>
        <w:t>15.</w:t>
      </w:r>
      <w:r>
        <w:rPr>
          <w:rFonts w:ascii="黑体" w:eastAsia="黑体" w:hAnsi="黑体" w:cs="黑体" w:hint="eastAsia"/>
          <w:sz w:val="18"/>
          <w:szCs w:val="18"/>
        </w:rPr>
        <w:t>★</w:t>
      </w:r>
      <w:r>
        <w:rPr>
          <w:rFonts w:ascii="黑体" w:eastAsia="黑体" w:hAnsi="黑体" w:cs="黑体" w:hint="eastAsia"/>
          <w:b/>
          <w:bCs/>
          <w:sz w:val="18"/>
          <w:szCs w:val="18"/>
        </w:rPr>
        <w:t>代销风险</w:t>
      </w:r>
    </w:p>
    <w:p w14:paraId="0138B1B8" w14:textId="77777777" w:rsidR="00564950" w:rsidRDefault="00D15677">
      <w:pPr>
        <w:pStyle w:val="aa"/>
        <w:ind w:firstLine="360"/>
        <w:rPr>
          <w:rFonts w:ascii="黑体" w:eastAsia="黑体" w:hAnsi="黑体" w:cs="黑体"/>
          <w:bCs/>
          <w:sz w:val="18"/>
          <w:szCs w:val="18"/>
        </w:rPr>
      </w:pPr>
      <w:r>
        <w:rPr>
          <w:rFonts w:ascii="黑体" w:eastAsia="黑体" w:hAnsi="黑体" w:cs="黑体" w:hint="eastAsia"/>
          <w:bCs/>
          <w:sz w:val="18"/>
          <w:szCs w:val="18"/>
        </w:rPr>
        <w:t>本理财产品若通过非产品管理人自有渠道进行销售的属于代理销售，认购/申购时投资者购买理财产品的资金由代理销售机构从投资者指定账户扣收并划付管理人，赎回理财产品份额时相应款项由管理人按约定划付至代理销售机构，并由代理销售机构向投资者支付投资者应得理财利益。不同代理销售机构的销售渠道，其申购/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14:paraId="770690EB" w14:textId="77777777" w:rsidR="00564950" w:rsidRDefault="00D15677">
      <w:pPr>
        <w:spacing w:line="276" w:lineRule="auto"/>
        <w:ind w:firstLineChars="200" w:firstLine="361"/>
        <w:rPr>
          <w:rFonts w:ascii="黑体" w:eastAsia="黑体" w:hAnsi="黑体" w:cs="仿宋_GB2312"/>
          <w:b/>
          <w:bCs/>
          <w:kern w:val="0"/>
          <w:sz w:val="18"/>
          <w:szCs w:val="18"/>
        </w:rPr>
      </w:pPr>
      <w:r>
        <w:rPr>
          <w:rFonts w:ascii="黑体" w:eastAsia="黑体" w:hAnsi="黑体"/>
          <w:b/>
          <w:bCs/>
          <w:sz w:val="18"/>
          <w:szCs w:val="18"/>
        </w:rPr>
        <w:t>1</w:t>
      </w:r>
      <w:r>
        <w:rPr>
          <w:rFonts w:ascii="黑体" w:eastAsia="黑体" w:hAnsi="黑体" w:hint="eastAsia"/>
          <w:b/>
          <w:bCs/>
          <w:sz w:val="18"/>
          <w:szCs w:val="18"/>
        </w:rPr>
        <w:t>6</w:t>
      </w:r>
      <w:r>
        <w:rPr>
          <w:rFonts w:ascii="黑体" w:eastAsia="黑体" w:hAnsi="黑体"/>
          <w:b/>
          <w:bCs/>
          <w:sz w:val="18"/>
          <w:szCs w:val="18"/>
        </w:rPr>
        <w:t>.</w:t>
      </w:r>
      <w:r>
        <w:rPr>
          <w:rFonts w:ascii="黑体" w:eastAsia="黑体" w:hAnsi="黑体" w:cs="仿宋_GB2312" w:hint="eastAsia"/>
          <w:b/>
          <w:bCs/>
          <w:kern w:val="0"/>
          <w:sz w:val="18"/>
          <w:szCs w:val="18"/>
        </w:rPr>
        <w:t>★不同理财产品份额类别存在差异的风险</w:t>
      </w:r>
    </w:p>
    <w:p w14:paraId="51F2869A" w14:textId="77777777" w:rsidR="00564950" w:rsidRDefault="00D15677">
      <w:pPr>
        <w:spacing w:line="276" w:lineRule="auto"/>
        <w:ind w:firstLineChars="200" w:firstLine="360"/>
        <w:rPr>
          <w:rFonts w:ascii="黑体" w:eastAsia="黑体" w:hAnsi="黑体"/>
          <w:sz w:val="18"/>
          <w:szCs w:val="18"/>
        </w:rPr>
      </w:pPr>
      <w:r>
        <w:rPr>
          <w:rFonts w:ascii="黑体" w:eastAsia="黑体" w:hAnsi="黑体" w:cs="仿宋_GB2312" w:hint="eastAsia"/>
          <w:kern w:val="0"/>
          <w:sz w:val="18"/>
          <w:szCs w:val="18"/>
        </w:rPr>
        <w:t>理财产品管理人可根据投资者购买理财产品的金额、销售</w:t>
      </w:r>
      <w:r>
        <w:rPr>
          <w:rFonts w:ascii="黑体" w:eastAsia="黑体" w:hAnsi="黑体" w:cs="仿宋_GB2312"/>
          <w:kern w:val="0"/>
          <w:sz w:val="18"/>
          <w:szCs w:val="18"/>
        </w:rPr>
        <w:t>渠道</w:t>
      </w:r>
      <w:r>
        <w:rPr>
          <w:rFonts w:ascii="黑体" w:eastAsia="黑体" w:hAnsi="黑体" w:cs="仿宋_GB2312" w:hint="eastAsia"/>
          <w:kern w:val="0"/>
          <w:sz w:val="18"/>
          <w:szCs w:val="18"/>
        </w:rPr>
        <w:t>等因素，对理财投资者所持有的理财产品设置不同理财产品份额类别。不同类别的理财产品份额可能在销售名称、收费方式</w:t>
      </w:r>
      <w:r>
        <w:rPr>
          <w:rFonts w:ascii="黑体" w:eastAsia="黑体" w:hAnsi="黑体" w:cs="仿宋_GB2312"/>
          <w:kern w:val="0"/>
          <w:sz w:val="18"/>
          <w:szCs w:val="18"/>
        </w:rPr>
        <w:t>、</w:t>
      </w:r>
      <w:r>
        <w:rPr>
          <w:rFonts w:ascii="黑体" w:eastAsia="黑体" w:hAnsi="黑体" w:cs="仿宋_GB2312" w:hint="eastAsia"/>
          <w:kern w:val="0"/>
          <w:sz w:val="18"/>
          <w:szCs w:val="18"/>
        </w:rPr>
        <w:t>销售服务费、销售代码、销售对象、销售起点金额（认购、申购的</w:t>
      </w:r>
      <w:r>
        <w:rPr>
          <w:rFonts w:ascii="黑体" w:eastAsia="黑体" w:hAnsi="黑体" w:cs="仿宋_GB2312"/>
          <w:kern w:val="0"/>
          <w:sz w:val="18"/>
          <w:szCs w:val="18"/>
        </w:rPr>
        <w:t>起点金额</w:t>
      </w:r>
      <w:r>
        <w:rPr>
          <w:rFonts w:ascii="黑体" w:eastAsia="黑体" w:hAnsi="黑体" w:cs="仿宋_GB2312" w:hint="eastAsia"/>
          <w:kern w:val="0"/>
          <w:sz w:val="18"/>
          <w:szCs w:val="18"/>
        </w:rPr>
        <w:t>）、</w:t>
      </w:r>
      <w:r>
        <w:rPr>
          <w:rFonts w:ascii="黑体" w:eastAsia="黑体" w:hAnsi="黑体" w:hint="eastAsia"/>
          <w:sz w:val="18"/>
          <w:szCs w:val="18"/>
        </w:rPr>
        <w:t>投资者认购申购和赎回的数量限制、投资者持有本产品的最高限额最低限额、计算和公告产品份额净值方面存在差异。</w:t>
      </w:r>
    </w:p>
    <w:p w14:paraId="6022914B" w14:textId="77777777" w:rsidR="00564950" w:rsidRDefault="00D15677">
      <w:pPr>
        <w:pStyle w:val="aa"/>
        <w:ind w:firstLineChars="0"/>
        <w:rPr>
          <w:rFonts w:ascii="宋体" w:hAnsi="宋体"/>
          <w:b/>
          <w:bCs/>
          <w:sz w:val="18"/>
          <w:szCs w:val="18"/>
        </w:rPr>
      </w:pPr>
      <w:r>
        <w:rPr>
          <w:rFonts w:ascii="宋体" w:hAnsi="宋体" w:hint="eastAsia"/>
          <w:b/>
          <w:bCs/>
          <w:sz w:val="18"/>
          <w:szCs w:val="18"/>
        </w:rPr>
        <w:t>17.关联交易风险</w:t>
      </w:r>
    </w:p>
    <w:p w14:paraId="292CD1CC" w14:textId="77777777" w:rsidR="00564950" w:rsidRDefault="00D15677">
      <w:pPr>
        <w:pStyle w:val="aa"/>
        <w:ind w:firstLineChars="0"/>
        <w:rPr>
          <w:rFonts w:ascii="宋体" w:hAnsi="宋体"/>
          <w:sz w:val="18"/>
          <w:szCs w:val="18"/>
        </w:rPr>
      </w:pPr>
      <w:r>
        <w:rPr>
          <w:rFonts w:ascii="宋体" w:hAnsi="宋体" w:hint="eastAsia"/>
          <w:sz w:val="18"/>
          <w:szCs w:val="18"/>
        </w:rPr>
        <w:t>若本产品的销售机构为兴业银行股份有限公司（以下简称“兴业银行”），鉴于兴业银行是产品管理人</w:t>
      </w:r>
      <w:r>
        <w:rPr>
          <w:rFonts w:ascii="宋体" w:hAnsi="宋体" w:hint="eastAsia"/>
          <w:sz w:val="18"/>
          <w:szCs w:val="18"/>
        </w:rPr>
        <w:lastRenderedPageBreak/>
        <w:t>的关联方，尽管兴业银行已建立健全关联方产品销售管理制度，但上述关联关系仍可能产生不利影响和投资风险，进而可能影响投资者的利益。</w:t>
      </w:r>
    </w:p>
    <w:p w14:paraId="37795A00" w14:textId="77777777" w:rsidR="00564950" w:rsidRDefault="00D15677">
      <w:pPr>
        <w:autoSpaceDE w:val="0"/>
        <w:autoSpaceDN w:val="0"/>
        <w:adjustRightInd w:val="0"/>
        <w:ind w:firstLine="420"/>
        <w:jc w:val="left"/>
        <w:rPr>
          <w:rFonts w:ascii="黑体" w:eastAsia="黑体" w:hAnsi="黑体"/>
          <w:sz w:val="18"/>
          <w:szCs w:val="18"/>
        </w:rPr>
      </w:pPr>
      <w:r>
        <w:rPr>
          <w:rFonts w:ascii="黑体" w:eastAsia="黑体" w:hAnsi="黑体" w:cs="仿宋_GB2312" w:hint="eastAsia"/>
          <w:kern w:val="0"/>
          <w:sz w:val="18"/>
          <w:szCs w:val="18"/>
        </w:rPr>
        <w:t>（三）</w:t>
      </w:r>
      <w:r>
        <w:rPr>
          <w:rFonts w:hAnsi="宋体" w:hint="eastAsia"/>
          <w:sz w:val="18"/>
          <w:szCs w:val="18"/>
        </w:rPr>
        <w:t>★</w:t>
      </w:r>
      <w:r>
        <w:rPr>
          <w:rFonts w:ascii="黑体" w:eastAsia="黑体" w:hAnsi="黑体" w:cs="仿宋_GB2312" w:hint="eastAsia"/>
          <w:kern w:val="0"/>
          <w:sz w:val="18"/>
          <w:szCs w:val="18"/>
        </w:rPr>
        <w:t>最不利投资情形下的投资结果示例：</w:t>
      </w:r>
      <w:r>
        <w:rPr>
          <w:rFonts w:ascii="黑体" w:eastAsia="黑体" w:hAnsi="黑体" w:hint="eastAsia"/>
          <w:bCs/>
          <w:sz w:val="18"/>
          <w:szCs w:val="18"/>
        </w:rPr>
        <w:t>产品管理人对本产品的理财本金和收益不提供保证承诺，</w:t>
      </w:r>
      <w:r>
        <w:rPr>
          <w:rFonts w:ascii="黑体" w:eastAsia="黑体" w:hAnsi="黑体" w:hint="eastAsia"/>
          <w:sz w:val="18"/>
          <w:szCs w:val="18"/>
        </w:rPr>
        <w:t>若理财产品运作期间，该理财产品投资标的出现风险，则投资者可能无法获得理财收益</w:t>
      </w:r>
      <w:r>
        <w:rPr>
          <w:rFonts w:ascii="黑体" w:eastAsia="黑体" w:hAnsi="黑体"/>
          <w:sz w:val="18"/>
          <w:szCs w:val="18"/>
        </w:rPr>
        <w:t>，甚至投资者的投资本金将遭受损失，在最不利的极端情况下，投资者可能损失全部本金。</w:t>
      </w:r>
    </w:p>
    <w:p w14:paraId="457E7223" w14:textId="77777777" w:rsidR="00564950" w:rsidRDefault="00D15677">
      <w:pPr>
        <w:autoSpaceDE w:val="0"/>
        <w:autoSpaceDN w:val="0"/>
        <w:adjustRightInd w:val="0"/>
        <w:ind w:firstLine="420"/>
        <w:jc w:val="left"/>
        <w:rPr>
          <w:rFonts w:ascii="黑体" w:eastAsia="黑体" w:hAnsi="黑体" w:cs="仿宋_GB2312"/>
          <w:kern w:val="0"/>
          <w:sz w:val="18"/>
          <w:szCs w:val="18"/>
        </w:rPr>
      </w:pPr>
      <w:r>
        <w:rPr>
          <w:rFonts w:ascii="宋体" w:hint="eastAsia"/>
          <w:b/>
          <w:bCs/>
          <w:color w:val="000000"/>
          <w:kern w:val="0"/>
          <w:sz w:val="18"/>
          <w:szCs w:val="18"/>
        </w:rPr>
        <w:t>五、【非机构投资者适用】</w:t>
      </w:r>
      <w:r>
        <w:rPr>
          <w:rFonts w:ascii="宋体" w:hAnsi="宋体" w:cs="仿宋_GB2312" w:hint="eastAsia"/>
          <w:kern w:val="0"/>
          <w:sz w:val="18"/>
          <w:szCs w:val="18"/>
        </w:rPr>
        <w:t>《投资者风险承受能力评估问卷》用于评估非机构投资者对金融工具及投资目标的相关风险的态度。非机构投资者可根据评估结果确定所属投资者类型，购买适合的理财产品。</w:t>
      </w:r>
      <w:r>
        <w:rPr>
          <w:rFonts w:ascii="黑体" w:eastAsia="黑体" w:hAnsi="黑体" w:cs="仿宋_GB2312" w:hint="eastAsia"/>
          <w:kern w:val="0"/>
          <w:sz w:val="18"/>
          <w:szCs w:val="18"/>
        </w:rPr>
        <w:t>如影响您风险承受能力的因素发生变化，请您及时重新完成风险承受能力评估。其他类型投资者的风险承受能力评估按照《（代理）销售协议书》约定或销售机构的销售政策执行。</w:t>
      </w:r>
    </w:p>
    <w:p w14:paraId="1EED9523" w14:textId="77777777" w:rsidR="00564950" w:rsidRDefault="00D15677">
      <w:pPr>
        <w:autoSpaceDE w:val="0"/>
        <w:autoSpaceDN w:val="0"/>
        <w:adjustRightInd w:val="0"/>
        <w:ind w:firstLine="420"/>
        <w:jc w:val="left"/>
        <w:rPr>
          <w:rFonts w:ascii="黑体" w:eastAsia="黑体" w:hAnsi="黑体" w:cs="仿宋_GB2312"/>
          <w:kern w:val="0"/>
          <w:sz w:val="18"/>
          <w:szCs w:val="18"/>
        </w:rPr>
      </w:pPr>
      <w:r>
        <w:rPr>
          <w:rFonts w:ascii="黑体" w:eastAsia="黑体" w:hAnsi="黑体" w:hint="eastAsia"/>
          <w:bCs/>
          <w:sz w:val="18"/>
          <w:szCs w:val="18"/>
        </w:rPr>
        <w:t>六、【产品风险评级为</w:t>
      </w:r>
      <w:r>
        <w:rPr>
          <w:rFonts w:ascii="黑体" w:eastAsia="黑体" w:hAnsi="黑体"/>
          <w:bCs/>
          <w:sz w:val="18"/>
          <w:szCs w:val="18"/>
        </w:rPr>
        <w:t>R4</w:t>
      </w:r>
      <w:r>
        <w:rPr>
          <w:rFonts w:ascii="黑体" w:eastAsia="黑体" w:hAnsi="黑体" w:hint="eastAsia"/>
          <w:bCs/>
          <w:sz w:val="18"/>
          <w:szCs w:val="18"/>
        </w:rPr>
        <w:t>及</w:t>
      </w:r>
      <w:r>
        <w:rPr>
          <w:rFonts w:ascii="黑体" w:eastAsia="黑体" w:hAnsi="黑体"/>
          <w:bCs/>
          <w:sz w:val="18"/>
          <w:szCs w:val="18"/>
        </w:rPr>
        <w:t>以上</w:t>
      </w:r>
      <w:r>
        <w:rPr>
          <w:rFonts w:ascii="黑体" w:eastAsia="黑体" w:hAnsi="黑体" w:hint="eastAsia"/>
          <w:bCs/>
          <w:sz w:val="18"/>
          <w:szCs w:val="18"/>
        </w:rPr>
        <w:t>的理财产品适用】当销售机构销售产品风险评级为</w:t>
      </w:r>
      <w:r>
        <w:rPr>
          <w:rFonts w:ascii="黑体" w:eastAsia="黑体" w:hAnsi="黑体"/>
          <w:bCs/>
          <w:sz w:val="18"/>
          <w:szCs w:val="18"/>
        </w:rPr>
        <w:t>R4</w:t>
      </w:r>
      <w:r>
        <w:rPr>
          <w:rFonts w:ascii="黑体" w:eastAsia="黑体" w:hAnsi="黑体" w:hint="eastAsia"/>
          <w:bCs/>
          <w:sz w:val="18"/>
          <w:szCs w:val="18"/>
        </w:rPr>
        <w:t>及</w:t>
      </w:r>
      <w:r>
        <w:rPr>
          <w:rFonts w:ascii="黑体" w:eastAsia="黑体" w:hAnsi="黑体"/>
          <w:bCs/>
          <w:sz w:val="18"/>
          <w:szCs w:val="18"/>
        </w:rPr>
        <w:t>以上</w:t>
      </w:r>
      <w:r>
        <w:rPr>
          <w:rFonts w:ascii="黑体" w:eastAsia="黑体" w:hAnsi="黑体" w:hint="eastAsia"/>
          <w:bCs/>
          <w:sz w:val="18"/>
          <w:szCs w:val="18"/>
        </w:rPr>
        <w:t>的理财产品时，</w:t>
      </w:r>
      <w:r>
        <w:rPr>
          <w:rFonts w:ascii="黑体" w:eastAsia="黑体" w:hAnsi="黑体" w:cs="仿宋_GB2312" w:hint="eastAsia"/>
          <w:kern w:val="0"/>
          <w:sz w:val="18"/>
          <w:szCs w:val="18"/>
        </w:rPr>
        <w:t>您签署本销售文件即视为您同意销售机构可以通过线上渠道向您销售产品风险评级为R4及以上的理财产品。</w:t>
      </w:r>
    </w:p>
    <w:p w14:paraId="1B7F3330" w14:textId="77777777" w:rsidR="00564950" w:rsidRDefault="00564950">
      <w:pPr>
        <w:ind w:left="540"/>
        <w:jc w:val="right"/>
        <w:rPr>
          <w:rFonts w:ascii="宋体" w:hAnsi="宋体"/>
          <w:sz w:val="18"/>
          <w:szCs w:val="18"/>
        </w:rPr>
      </w:pPr>
    </w:p>
    <w:p w14:paraId="79DB793F" w14:textId="77777777" w:rsidR="00564950" w:rsidRDefault="00D15677">
      <w:pPr>
        <w:wordWrap w:val="0"/>
        <w:ind w:left="540"/>
        <w:jc w:val="right"/>
        <w:rPr>
          <w:rFonts w:ascii="宋体" w:hAnsi="宋体"/>
          <w:sz w:val="18"/>
          <w:szCs w:val="18"/>
        </w:rPr>
      </w:pPr>
      <w:r>
        <w:rPr>
          <w:rFonts w:ascii="宋体" w:hAnsi="宋体" w:hint="eastAsia"/>
          <w:sz w:val="18"/>
          <w:szCs w:val="18"/>
        </w:rPr>
        <w:t>风险揭示方：产品管理人</w:t>
      </w:r>
      <w:r>
        <w:rPr>
          <w:rFonts w:ascii="宋体" w:hAnsi="宋体"/>
          <w:sz w:val="18"/>
          <w:szCs w:val="18"/>
        </w:rPr>
        <w:t xml:space="preserve"> (</w:t>
      </w:r>
      <w:r>
        <w:rPr>
          <w:rFonts w:ascii="宋体" w:hAnsi="宋体" w:hint="eastAsia"/>
          <w:sz w:val="18"/>
          <w:szCs w:val="18"/>
        </w:rPr>
        <w:t>兴银理财有限责任公司</w:t>
      </w:r>
      <w:r>
        <w:rPr>
          <w:rFonts w:ascii="宋体" w:hAnsi="宋体"/>
          <w:sz w:val="18"/>
          <w:szCs w:val="18"/>
        </w:rPr>
        <w:t>)</w:t>
      </w:r>
    </w:p>
    <w:p w14:paraId="73C76AA8" w14:textId="4D46733A" w:rsidR="00564950" w:rsidRDefault="00D15677">
      <w:pPr>
        <w:wordWrap w:val="0"/>
        <w:ind w:left="540"/>
        <w:jc w:val="right"/>
        <w:rPr>
          <w:rFonts w:ascii="宋体" w:hAnsi="宋体"/>
          <w:sz w:val="18"/>
          <w:szCs w:val="18"/>
        </w:rPr>
      </w:pPr>
      <w:permStart w:id="2056784335" w:edGrp="everyone"/>
      <w:r>
        <w:rPr>
          <w:rFonts w:ascii="宋体" w:hAnsi="宋体" w:hint="eastAsia"/>
          <w:sz w:val="18"/>
          <w:szCs w:val="18"/>
        </w:rPr>
        <w:t>销售机构（【</w:t>
      </w:r>
      <w:r w:rsidR="00DE151C">
        <w:rPr>
          <w:rFonts w:asciiTheme="majorEastAsia" w:eastAsiaTheme="majorEastAsia" w:hAnsiTheme="majorEastAsia" w:hint="eastAsia"/>
          <w:bCs/>
          <w:kern w:val="0"/>
          <w:sz w:val="18"/>
          <w:szCs w:val="18"/>
        </w:rPr>
        <w:t>浙江桐庐农村商业银行股份有限公司</w:t>
      </w:r>
      <w:bookmarkStart w:id="0" w:name="_GoBack"/>
      <w:bookmarkEnd w:id="0"/>
      <w:r>
        <w:rPr>
          <w:rFonts w:ascii="宋体" w:hAnsi="宋体" w:hint="eastAsia"/>
          <w:sz w:val="18"/>
          <w:szCs w:val="18"/>
        </w:rPr>
        <w:t>】）</w:t>
      </w:r>
    </w:p>
    <w:permEnd w:id="2056784335"/>
    <w:p w14:paraId="4453AA23" w14:textId="77777777" w:rsidR="00564950" w:rsidRDefault="00D15677">
      <w:pPr>
        <w:widowControl/>
        <w:jc w:val="left"/>
        <w:rPr>
          <w:rFonts w:ascii="宋体" w:hAnsi="宋体"/>
          <w:sz w:val="18"/>
          <w:szCs w:val="18"/>
        </w:rPr>
      </w:pPr>
      <w:r>
        <w:rPr>
          <w:rFonts w:ascii="宋体" w:hAnsi="宋体"/>
          <w:sz w:val="18"/>
          <w:szCs w:val="18"/>
        </w:rPr>
        <w:br w:type="page"/>
      </w:r>
    </w:p>
    <w:p w14:paraId="58B2EB56" w14:textId="77777777" w:rsidR="00564950" w:rsidRDefault="00564950">
      <w:pPr>
        <w:ind w:left="540"/>
        <w:jc w:val="right"/>
        <w:rPr>
          <w:rFonts w:ascii="宋体" w:hAnsi="宋体"/>
          <w:sz w:val="18"/>
          <w:szCs w:val="18"/>
        </w:rPr>
      </w:pPr>
    </w:p>
    <w:p w14:paraId="62FB2E49" w14:textId="77777777" w:rsidR="00564950" w:rsidRDefault="00564950">
      <w:pPr>
        <w:ind w:left="540"/>
        <w:jc w:val="right"/>
        <w:rPr>
          <w:rFonts w:ascii="宋体" w:hAnsi="宋体"/>
          <w:sz w:val="18"/>
          <w:szCs w:val="18"/>
        </w:rPr>
      </w:pPr>
    </w:p>
    <w:tbl>
      <w:tblPr>
        <w:tblStyle w:val="a8"/>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8168"/>
      </w:tblGrid>
      <w:tr w:rsidR="00564950" w14:paraId="35C45149" w14:textId="77777777">
        <w:trPr>
          <w:trHeight w:val="627"/>
        </w:trPr>
        <w:tc>
          <w:tcPr>
            <w:tcW w:w="8371" w:type="dxa"/>
          </w:tcPr>
          <w:p w14:paraId="592BA3E0" w14:textId="77777777" w:rsidR="00564950" w:rsidRDefault="00D15677">
            <w:pPr>
              <w:spacing w:line="280" w:lineRule="atLeast"/>
              <w:jc w:val="center"/>
              <w:rPr>
                <w:rFonts w:ascii="宋体" w:hAnsi="宋体" w:cs="Arial"/>
                <w:b/>
                <w:kern w:val="0"/>
                <w:sz w:val="20"/>
                <w:szCs w:val="21"/>
              </w:rPr>
            </w:pPr>
            <w:r>
              <w:rPr>
                <w:rFonts w:ascii="宋体" w:hAnsi="宋体" w:cs="Arial" w:hint="eastAsia"/>
                <w:b/>
                <w:kern w:val="0"/>
                <w:sz w:val="20"/>
                <w:szCs w:val="21"/>
              </w:rPr>
              <w:t>投资者确认栏</w:t>
            </w:r>
          </w:p>
          <w:p w14:paraId="7A3A9DCA" w14:textId="77777777" w:rsidR="00564950" w:rsidRDefault="00D15677">
            <w:pPr>
              <w:spacing w:line="280" w:lineRule="atLeast"/>
              <w:jc w:val="center"/>
              <w:rPr>
                <w:rFonts w:ascii="宋体" w:hAnsi="宋体" w:cs="Arial"/>
                <w:b/>
                <w:kern w:val="0"/>
                <w:sz w:val="20"/>
                <w:szCs w:val="21"/>
              </w:rPr>
            </w:pPr>
            <w:r>
              <w:rPr>
                <w:rFonts w:ascii="宋体" w:hAnsi="宋体" w:cs="Arial" w:hint="eastAsia"/>
                <w:b/>
                <w:kern w:val="0"/>
                <w:sz w:val="20"/>
                <w:szCs w:val="21"/>
              </w:rPr>
              <w:t>（适用于个人投资者）</w:t>
            </w:r>
          </w:p>
        </w:tc>
      </w:tr>
      <w:tr w:rsidR="00564950" w14:paraId="0761BDAB" w14:textId="77777777">
        <w:trPr>
          <w:trHeight w:val="6283"/>
        </w:trPr>
        <w:tc>
          <w:tcPr>
            <w:tcW w:w="8371" w:type="dxa"/>
          </w:tcPr>
          <w:p w14:paraId="476F1D95" w14:textId="77777777" w:rsidR="00564950" w:rsidRDefault="00D15677">
            <w:pPr>
              <w:spacing w:line="280" w:lineRule="atLeast"/>
              <w:ind w:firstLineChars="200" w:firstLine="360"/>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人已仔细阅读理财产品销售文件，已完全理解理财产品投资的性质和面临的风险，本人确认产品管理人或销售机构相关业务人员对于理财产品销售文件中限制本人权利、增加本人义务以及有关免除、限制产品管理人责任或产品管理人单方面拥有某些权利的条款已向本人予以说明，本人完全理解并自愿接受。</w:t>
            </w:r>
          </w:p>
          <w:p w14:paraId="0CCEC296" w14:textId="77777777" w:rsidR="00564950" w:rsidRDefault="00564950">
            <w:pPr>
              <w:spacing w:line="280" w:lineRule="atLeast"/>
              <w:jc w:val="left"/>
              <w:rPr>
                <w:rFonts w:ascii="宋体" w:hAnsi="宋体" w:cs="Arial"/>
                <w:sz w:val="18"/>
                <w:szCs w:val="18"/>
              </w:rPr>
            </w:pPr>
          </w:p>
          <w:p w14:paraId="730BA5B8" w14:textId="77777777" w:rsidR="00564950" w:rsidRDefault="00D15677">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                        】</w:t>
            </w:r>
          </w:p>
          <w:p w14:paraId="20E16AA6" w14:textId="77777777" w:rsidR="00564950" w:rsidRDefault="00564950">
            <w:pPr>
              <w:spacing w:line="280" w:lineRule="atLeast"/>
              <w:jc w:val="left"/>
              <w:rPr>
                <w:rFonts w:ascii="宋体" w:hAnsi="宋体" w:cs="Arial"/>
                <w:kern w:val="0"/>
                <w:sz w:val="18"/>
                <w:szCs w:val="18"/>
              </w:rPr>
            </w:pPr>
          </w:p>
          <w:p w14:paraId="02C51DE0" w14:textId="77777777" w:rsidR="00564950" w:rsidRDefault="00D15677">
            <w:pPr>
              <w:spacing w:line="280" w:lineRule="atLeast"/>
              <w:jc w:val="left"/>
              <w:rPr>
                <w:rFonts w:ascii="宋体" w:hAnsi="宋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本人已经阅读风险揭示，愿意承担投资风险。</w:t>
            </w:r>
          </w:p>
          <w:p w14:paraId="5F17DD5C" w14:textId="77777777" w:rsidR="00564950" w:rsidRDefault="00564950">
            <w:pPr>
              <w:spacing w:line="280" w:lineRule="atLeast"/>
              <w:jc w:val="left"/>
              <w:rPr>
                <w:rFonts w:ascii="宋体" w:hAnsi="宋体" w:cs="Arial"/>
                <w:kern w:val="0"/>
                <w:sz w:val="18"/>
                <w:szCs w:val="18"/>
              </w:rPr>
            </w:pPr>
          </w:p>
          <w:p w14:paraId="3193FB1A" w14:textId="77777777" w:rsidR="00564950" w:rsidRDefault="00D15677">
            <w:pPr>
              <w:spacing w:line="280" w:lineRule="atLeast"/>
              <w:jc w:val="left"/>
              <w:rPr>
                <w:kern w:val="0"/>
                <w:sz w:val="18"/>
                <w:szCs w:val="18"/>
                <w:u w:val="single"/>
              </w:rPr>
            </w:pPr>
            <w:r>
              <w:rPr>
                <w:rFonts w:ascii="宋体" w:hAnsi="宋体" w:cs="Arial" w:hint="eastAsia"/>
                <w:kern w:val="0"/>
                <w:sz w:val="18"/>
                <w:szCs w:val="18"/>
              </w:rPr>
              <w:t>请投资者在此抄录：</w:t>
            </w:r>
          </w:p>
          <w:p w14:paraId="1514D569" w14:textId="77777777" w:rsidR="00564950" w:rsidRDefault="00564950">
            <w:pPr>
              <w:spacing w:line="280" w:lineRule="atLeast"/>
              <w:jc w:val="left"/>
              <w:rPr>
                <w:kern w:val="0"/>
                <w:sz w:val="18"/>
                <w:szCs w:val="18"/>
                <w:u w:val="single"/>
              </w:rPr>
            </w:pPr>
          </w:p>
          <w:p w14:paraId="5B4BE320" w14:textId="77777777" w:rsidR="00564950" w:rsidRDefault="00D15677">
            <w:pPr>
              <w:spacing w:line="280" w:lineRule="atLeast"/>
              <w:ind w:right="720"/>
              <w:jc w:val="left"/>
              <w:rPr>
                <w:rFonts w:ascii="宋体" w:hAnsi="宋体" w:cs="Arial"/>
                <w:kern w:val="0"/>
                <w:sz w:val="18"/>
                <w:szCs w:val="18"/>
                <w:u w:val="single"/>
              </w:rPr>
            </w:pPr>
            <w:r>
              <w:rPr>
                <w:rFonts w:ascii="宋体" w:hAnsi="宋体" w:cs="Arial" w:hint="eastAsia"/>
                <w:kern w:val="0"/>
                <w:sz w:val="18"/>
                <w:szCs w:val="18"/>
              </w:rPr>
              <w:t>投资者签字：</w:t>
            </w:r>
          </w:p>
          <w:p w14:paraId="0955357E" w14:textId="77777777" w:rsidR="00564950" w:rsidRDefault="00564950">
            <w:pPr>
              <w:spacing w:line="280" w:lineRule="atLeast"/>
              <w:ind w:left="4200" w:firstLineChars="600" w:firstLine="1080"/>
              <w:jc w:val="left"/>
              <w:rPr>
                <w:rFonts w:ascii="宋体" w:hAnsi="宋体" w:cs="Arial"/>
                <w:kern w:val="0"/>
                <w:sz w:val="18"/>
                <w:szCs w:val="18"/>
              </w:rPr>
            </w:pPr>
          </w:p>
          <w:p w14:paraId="24F1E7B6" w14:textId="77777777" w:rsidR="00564950" w:rsidRDefault="00D15677">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      年    月    日</w:t>
            </w:r>
          </w:p>
          <w:p w14:paraId="6F52E8C9" w14:textId="77777777" w:rsidR="00564950" w:rsidRDefault="00564950">
            <w:pPr>
              <w:spacing w:line="280" w:lineRule="atLeast"/>
              <w:ind w:left="4200" w:firstLineChars="600" w:firstLine="1080"/>
              <w:jc w:val="left"/>
              <w:rPr>
                <w:rFonts w:ascii="宋体" w:hAnsi="宋体" w:cs="Arial"/>
                <w:kern w:val="0"/>
                <w:sz w:val="18"/>
                <w:szCs w:val="18"/>
              </w:rPr>
            </w:pPr>
          </w:p>
          <w:p w14:paraId="5AB965A6" w14:textId="77777777" w:rsidR="00564950" w:rsidRDefault="00D15677">
            <w:pPr>
              <w:spacing w:line="280" w:lineRule="atLeast"/>
              <w:jc w:val="left"/>
              <w:rPr>
                <w:rFonts w:ascii="宋体" w:hAnsi="宋体" w:cs="Arial"/>
                <w:kern w:val="0"/>
                <w:sz w:val="18"/>
                <w:szCs w:val="18"/>
              </w:rPr>
            </w:pPr>
            <w:r>
              <w:rPr>
                <w:rFonts w:hint="eastAsia"/>
                <w:b/>
                <w:kern w:val="0"/>
                <w:sz w:val="20"/>
                <w:szCs w:val="20"/>
              </w:rPr>
              <w:t>（本风险揭示书共有三份签署文本，第一联销售机构留存，第二联投资者留存，第三联产品管理人留存。）</w:t>
            </w:r>
          </w:p>
          <w:p w14:paraId="157D6A3F" w14:textId="77777777" w:rsidR="00564950" w:rsidRDefault="00564950">
            <w:pPr>
              <w:spacing w:line="280" w:lineRule="atLeast"/>
              <w:jc w:val="right"/>
              <w:rPr>
                <w:rFonts w:ascii="宋体" w:hAnsi="宋体"/>
                <w:kern w:val="0"/>
                <w:sz w:val="18"/>
                <w:szCs w:val="18"/>
              </w:rPr>
            </w:pPr>
          </w:p>
        </w:tc>
      </w:tr>
    </w:tbl>
    <w:p w14:paraId="4BB6073C" w14:textId="77777777" w:rsidR="00564950" w:rsidRDefault="00564950">
      <w:pPr>
        <w:autoSpaceDE w:val="0"/>
        <w:autoSpaceDN w:val="0"/>
        <w:adjustRightInd w:val="0"/>
        <w:spacing w:line="360" w:lineRule="auto"/>
        <w:ind w:firstLine="420"/>
        <w:jc w:val="left"/>
        <w:rPr>
          <w:rFonts w:ascii="宋体" w:hAnsi="宋体"/>
          <w:sz w:val="24"/>
        </w:rPr>
      </w:pPr>
    </w:p>
    <w:p w14:paraId="214078E4" w14:textId="77777777" w:rsidR="00564950" w:rsidRDefault="00564950">
      <w:pPr>
        <w:autoSpaceDE w:val="0"/>
        <w:autoSpaceDN w:val="0"/>
        <w:adjustRightInd w:val="0"/>
        <w:spacing w:line="360" w:lineRule="auto"/>
        <w:ind w:firstLine="420"/>
        <w:jc w:val="left"/>
        <w:rPr>
          <w:rFonts w:ascii="宋体" w:hAnsi="宋体"/>
          <w:sz w:val="24"/>
        </w:rPr>
      </w:pPr>
    </w:p>
    <w:p w14:paraId="416A927A" w14:textId="77777777" w:rsidR="00564950" w:rsidRDefault="00564950">
      <w:pPr>
        <w:autoSpaceDE w:val="0"/>
        <w:autoSpaceDN w:val="0"/>
        <w:adjustRightInd w:val="0"/>
        <w:spacing w:line="360" w:lineRule="auto"/>
        <w:ind w:firstLine="420"/>
        <w:jc w:val="left"/>
        <w:rPr>
          <w:rFonts w:ascii="宋体" w:hAnsi="宋体"/>
          <w:sz w:val="24"/>
        </w:rPr>
      </w:pPr>
    </w:p>
    <w:p w14:paraId="30822F62" w14:textId="77777777" w:rsidR="00564950" w:rsidRDefault="00564950">
      <w:pPr>
        <w:autoSpaceDE w:val="0"/>
        <w:autoSpaceDN w:val="0"/>
        <w:adjustRightInd w:val="0"/>
        <w:spacing w:line="360" w:lineRule="auto"/>
        <w:ind w:firstLine="420"/>
        <w:jc w:val="left"/>
        <w:rPr>
          <w:rFonts w:ascii="宋体" w:hAnsi="宋体"/>
          <w:sz w:val="24"/>
        </w:rPr>
      </w:pPr>
    </w:p>
    <w:p w14:paraId="0D608D02" w14:textId="77777777" w:rsidR="00564950" w:rsidRDefault="00564950">
      <w:pPr>
        <w:rPr>
          <w:rFonts w:ascii="宋体" w:hAnsi="宋体" w:cs="Arial"/>
          <w:sz w:val="24"/>
        </w:rPr>
      </w:pPr>
    </w:p>
    <w:p w14:paraId="4C0E475D" w14:textId="77777777" w:rsidR="00564950" w:rsidRDefault="00564950">
      <w:pPr>
        <w:rPr>
          <w:rFonts w:ascii="宋体" w:hAnsi="宋体" w:cs="Arial"/>
          <w:sz w:val="24"/>
        </w:rPr>
      </w:pPr>
    </w:p>
    <w:p w14:paraId="5AD4991E" w14:textId="77777777" w:rsidR="00564950" w:rsidRDefault="00564950">
      <w:pPr>
        <w:rPr>
          <w:rFonts w:ascii="宋体" w:hAnsi="宋体" w:cs="Arial"/>
          <w:sz w:val="24"/>
        </w:rPr>
      </w:pPr>
    </w:p>
    <w:p w14:paraId="2903080A" w14:textId="77777777" w:rsidR="00564950" w:rsidRDefault="00564950">
      <w:pPr>
        <w:rPr>
          <w:rFonts w:ascii="宋体" w:hAnsi="宋体" w:cs="Arial"/>
          <w:sz w:val="24"/>
        </w:rPr>
      </w:pPr>
    </w:p>
    <w:p w14:paraId="74582FF0" w14:textId="77777777" w:rsidR="00564950" w:rsidRDefault="00564950">
      <w:pPr>
        <w:rPr>
          <w:rFonts w:ascii="宋体" w:hAnsi="宋体" w:cs="Arial"/>
          <w:sz w:val="24"/>
        </w:rPr>
      </w:pPr>
    </w:p>
    <w:p w14:paraId="7633EEE3" w14:textId="77777777" w:rsidR="00564950" w:rsidRDefault="00564950">
      <w:pPr>
        <w:rPr>
          <w:rFonts w:ascii="宋体" w:hAnsi="宋体" w:cs="Arial"/>
          <w:sz w:val="24"/>
        </w:rPr>
      </w:pPr>
    </w:p>
    <w:p w14:paraId="41607F76" w14:textId="77777777" w:rsidR="00564950" w:rsidRDefault="00D15677">
      <w:pPr>
        <w:widowControl/>
        <w:jc w:val="left"/>
        <w:rPr>
          <w:rFonts w:ascii="宋体" w:hAnsi="宋体" w:cs="Arial"/>
          <w:sz w:val="24"/>
        </w:rPr>
      </w:pPr>
      <w:r>
        <w:rPr>
          <w:rFonts w:ascii="宋体" w:hAnsi="宋体" w:cs="Arial"/>
          <w:sz w:val="24"/>
        </w:rPr>
        <w:br w:type="page"/>
      </w:r>
    </w:p>
    <w:tbl>
      <w:tblPr>
        <w:tblStyle w:val="a8"/>
        <w:tblW w:w="841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8413"/>
      </w:tblGrid>
      <w:tr w:rsidR="00564950" w14:paraId="5D30AFCE" w14:textId="77777777">
        <w:trPr>
          <w:trHeight w:val="823"/>
        </w:trPr>
        <w:tc>
          <w:tcPr>
            <w:tcW w:w="8413" w:type="dxa"/>
          </w:tcPr>
          <w:p w14:paraId="2E06BB98" w14:textId="77777777" w:rsidR="00564950" w:rsidRDefault="00D15677">
            <w:pPr>
              <w:spacing w:line="280" w:lineRule="atLeast"/>
              <w:jc w:val="center"/>
              <w:rPr>
                <w:rFonts w:ascii="宋体" w:hAnsi="宋体" w:cs="Arial"/>
                <w:b/>
                <w:kern w:val="0"/>
                <w:sz w:val="20"/>
                <w:szCs w:val="21"/>
              </w:rPr>
            </w:pPr>
            <w:r>
              <w:rPr>
                <w:rFonts w:ascii="宋体" w:hAnsi="宋体" w:cs="Arial" w:hint="eastAsia"/>
                <w:b/>
                <w:kern w:val="0"/>
                <w:sz w:val="20"/>
                <w:szCs w:val="21"/>
              </w:rPr>
              <w:lastRenderedPageBreak/>
              <w:t>投资者确认栏</w:t>
            </w:r>
          </w:p>
          <w:p w14:paraId="53577502" w14:textId="77777777" w:rsidR="00564950" w:rsidRDefault="00D15677">
            <w:pPr>
              <w:spacing w:line="280" w:lineRule="atLeast"/>
              <w:jc w:val="center"/>
              <w:rPr>
                <w:rFonts w:ascii="宋体" w:hAnsi="宋体" w:cs="Arial"/>
                <w:kern w:val="0"/>
                <w:sz w:val="24"/>
                <w:szCs w:val="20"/>
              </w:rPr>
            </w:pPr>
            <w:r>
              <w:rPr>
                <w:rFonts w:ascii="宋体" w:hAnsi="宋体" w:cs="Arial" w:hint="eastAsia"/>
                <w:b/>
                <w:kern w:val="0"/>
                <w:sz w:val="20"/>
                <w:szCs w:val="21"/>
              </w:rPr>
              <w:t>（适用于机构投资者：</w:t>
            </w:r>
            <w:r>
              <w:rPr>
                <w:rFonts w:ascii="宋体" w:hAnsi="宋体" w:cs="Arial"/>
                <w:b/>
                <w:kern w:val="0"/>
                <w:sz w:val="20"/>
                <w:szCs w:val="21"/>
              </w:rPr>
              <w:t>一般机构客户</w:t>
            </w:r>
            <w:r>
              <w:rPr>
                <w:rFonts w:ascii="宋体" w:hAnsi="宋体" w:cs="Arial" w:hint="eastAsia"/>
                <w:b/>
                <w:kern w:val="0"/>
                <w:sz w:val="20"/>
                <w:szCs w:val="21"/>
              </w:rPr>
              <w:t>）</w:t>
            </w:r>
          </w:p>
        </w:tc>
      </w:tr>
      <w:tr w:rsidR="00564950" w14:paraId="4CE76269" w14:textId="77777777">
        <w:trPr>
          <w:trHeight w:val="7355"/>
        </w:trPr>
        <w:tc>
          <w:tcPr>
            <w:tcW w:w="8413" w:type="dxa"/>
          </w:tcPr>
          <w:p w14:paraId="2FD56920" w14:textId="77777777" w:rsidR="00564950" w:rsidRDefault="00D15677">
            <w:pPr>
              <w:spacing w:line="280" w:lineRule="atLeast"/>
              <w:ind w:firstLineChars="200" w:firstLine="360"/>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14:paraId="292EAAB2" w14:textId="77777777" w:rsidR="00564950" w:rsidRDefault="00564950">
            <w:pPr>
              <w:spacing w:line="280" w:lineRule="atLeast"/>
              <w:ind w:firstLineChars="200" w:firstLine="360"/>
              <w:jc w:val="left"/>
              <w:rPr>
                <w:rFonts w:ascii="宋体" w:hAnsi="宋体" w:cs="Arial"/>
                <w:kern w:val="0"/>
                <w:sz w:val="18"/>
                <w:szCs w:val="18"/>
              </w:rPr>
            </w:pPr>
          </w:p>
          <w:p w14:paraId="7E573FBC" w14:textId="77777777" w:rsidR="00564950" w:rsidRDefault="00D15677">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                        】</w:t>
            </w:r>
          </w:p>
          <w:p w14:paraId="7434FDAA" w14:textId="77777777" w:rsidR="00564950" w:rsidRDefault="00564950">
            <w:pPr>
              <w:spacing w:line="280" w:lineRule="atLeast"/>
              <w:ind w:firstLineChars="200" w:firstLine="360"/>
              <w:jc w:val="left"/>
              <w:rPr>
                <w:rFonts w:ascii="宋体" w:hAnsi="宋体" w:cs="Arial"/>
                <w:kern w:val="0"/>
                <w:sz w:val="18"/>
                <w:szCs w:val="18"/>
              </w:rPr>
            </w:pPr>
          </w:p>
          <w:p w14:paraId="2FF45207" w14:textId="77777777" w:rsidR="00564950" w:rsidRDefault="00D15677">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本公司（单位）已经阅读风险揭示，愿意承担投资风险。</w:t>
            </w:r>
          </w:p>
          <w:p w14:paraId="4AFBA657" w14:textId="77777777" w:rsidR="00564950" w:rsidRDefault="00564950">
            <w:pPr>
              <w:spacing w:line="280" w:lineRule="atLeast"/>
              <w:jc w:val="left"/>
              <w:rPr>
                <w:rFonts w:ascii="宋体" w:hAnsi="宋体" w:cs="Arial"/>
                <w:kern w:val="0"/>
                <w:sz w:val="18"/>
                <w:szCs w:val="18"/>
              </w:rPr>
            </w:pPr>
          </w:p>
          <w:p w14:paraId="3329429B" w14:textId="77777777" w:rsidR="00564950" w:rsidRDefault="00D15677">
            <w:pPr>
              <w:spacing w:line="280" w:lineRule="atLeast"/>
              <w:jc w:val="left"/>
              <w:rPr>
                <w:rFonts w:ascii="宋体" w:hAnsi="宋体" w:cs="Arial"/>
                <w:kern w:val="0"/>
                <w:sz w:val="18"/>
                <w:szCs w:val="18"/>
              </w:rPr>
            </w:pPr>
            <w:r>
              <w:rPr>
                <w:rFonts w:ascii="宋体" w:hAnsi="宋体" w:cs="Arial" w:hint="eastAsia"/>
                <w:kern w:val="0"/>
                <w:sz w:val="18"/>
                <w:szCs w:val="18"/>
              </w:rPr>
              <w:t>请投资者在此抄录：</w:t>
            </w:r>
          </w:p>
          <w:p w14:paraId="50ECF678" w14:textId="77777777" w:rsidR="00564950" w:rsidRDefault="00564950">
            <w:pPr>
              <w:spacing w:line="280" w:lineRule="atLeast"/>
              <w:jc w:val="left"/>
              <w:rPr>
                <w:rFonts w:ascii="宋体" w:hAnsi="宋体" w:cs="Arial"/>
                <w:kern w:val="0"/>
                <w:sz w:val="18"/>
                <w:szCs w:val="18"/>
              </w:rPr>
            </w:pPr>
          </w:p>
          <w:p w14:paraId="2DB84258" w14:textId="77777777" w:rsidR="00564950" w:rsidRDefault="00D15677">
            <w:pPr>
              <w:spacing w:line="280" w:lineRule="atLeast"/>
              <w:jc w:val="left"/>
              <w:rPr>
                <w:rFonts w:ascii="宋体" w:hAnsi="宋体" w:cs="Arial"/>
                <w:kern w:val="0"/>
                <w:sz w:val="18"/>
                <w:szCs w:val="18"/>
              </w:rPr>
            </w:pPr>
            <w:r>
              <w:rPr>
                <w:rFonts w:ascii="宋体" w:hAnsi="宋体" w:cs="Arial" w:hint="eastAsia"/>
                <w:kern w:val="0"/>
                <w:sz w:val="18"/>
                <w:szCs w:val="18"/>
              </w:rPr>
              <w:t>机构投资者（盖章）：</w:t>
            </w:r>
          </w:p>
          <w:p w14:paraId="10D60143" w14:textId="77777777" w:rsidR="00564950" w:rsidRDefault="00564950">
            <w:pPr>
              <w:spacing w:line="280" w:lineRule="atLeast"/>
              <w:jc w:val="left"/>
              <w:rPr>
                <w:rFonts w:ascii="宋体" w:hAnsi="宋体" w:cs="Arial"/>
                <w:kern w:val="0"/>
                <w:sz w:val="18"/>
                <w:szCs w:val="18"/>
              </w:rPr>
            </w:pPr>
          </w:p>
          <w:p w14:paraId="7CFB3244" w14:textId="77777777" w:rsidR="00564950" w:rsidRDefault="00D15677">
            <w:pPr>
              <w:spacing w:line="280" w:lineRule="atLeast"/>
              <w:jc w:val="left"/>
              <w:rPr>
                <w:rFonts w:ascii="宋体" w:hAnsi="宋体" w:cs="Arial"/>
                <w:kern w:val="0"/>
                <w:sz w:val="18"/>
                <w:szCs w:val="18"/>
              </w:rPr>
            </w:pPr>
            <w:r>
              <w:rPr>
                <w:rFonts w:ascii="宋体" w:hAnsi="宋体" w:cs="Arial" w:hint="eastAsia"/>
                <w:kern w:val="0"/>
                <w:sz w:val="18"/>
                <w:szCs w:val="18"/>
              </w:rPr>
              <w:t>机构投资者法定代表人或授权</w:t>
            </w:r>
            <w:r>
              <w:rPr>
                <w:rFonts w:ascii="宋体" w:hAnsi="宋体" w:cs="Arial"/>
                <w:kern w:val="0"/>
                <w:sz w:val="18"/>
                <w:szCs w:val="18"/>
              </w:rPr>
              <w:t>代理人</w:t>
            </w:r>
            <w:r>
              <w:rPr>
                <w:rFonts w:ascii="宋体" w:hAnsi="宋体" w:cs="Arial" w:hint="eastAsia"/>
                <w:kern w:val="0"/>
                <w:sz w:val="18"/>
                <w:szCs w:val="18"/>
              </w:rPr>
              <w:t>（签字或盖章）：</w:t>
            </w:r>
          </w:p>
          <w:p w14:paraId="4BC44D1E" w14:textId="77777777" w:rsidR="00564950" w:rsidRDefault="00564950">
            <w:pPr>
              <w:spacing w:line="280" w:lineRule="atLeast"/>
              <w:ind w:left="4200" w:firstLineChars="600" w:firstLine="1080"/>
              <w:jc w:val="left"/>
              <w:rPr>
                <w:rFonts w:ascii="宋体" w:hAnsi="宋体" w:cs="Arial"/>
                <w:kern w:val="0"/>
                <w:sz w:val="18"/>
                <w:szCs w:val="18"/>
              </w:rPr>
            </w:pPr>
          </w:p>
          <w:p w14:paraId="44CF5FD3" w14:textId="77777777" w:rsidR="00564950" w:rsidRDefault="00D15677">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      年    月    日</w:t>
            </w:r>
          </w:p>
          <w:p w14:paraId="629BF904" w14:textId="77777777" w:rsidR="00564950" w:rsidRDefault="00564950">
            <w:pPr>
              <w:spacing w:line="280" w:lineRule="atLeast"/>
              <w:rPr>
                <w:kern w:val="0"/>
                <w:sz w:val="20"/>
                <w:szCs w:val="20"/>
              </w:rPr>
            </w:pPr>
          </w:p>
          <w:p w14:paraId="14AD06B7" w14:textId="77777777" w:rsidR="00564950" w:rsidRDefault="00D15677">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14:paraId="63B73E5E" w14:textId="77777777" w:rsidR="00564950" w:rsidRDefault="00D15677">
      <w:pPr>
        <w:widowControl/>
        <w:jc w:val="left"/>
        <w:rPr>
          <w:rFonts w:ascii="宋体" w:hAnsi="宋体"/>
          <w:b/>
          <w:sz w:val="28"/>
          <w:szCs w:val="28"/>
        </w:rPr>
      </w:pPr>
      <w:r>
        <w:rPr>
          <w:rFonts w:ascii="宋体" w:hAnsi="宋体"/>
          <w:b/>
          <w:sz w:val="28"/>
          <w:szCs w:val="28"/>
        </w:rPr>
        <w:br w:type="page"/>
      </w:r>
    </w:p>
    <w:tbl>
      <w:tblPr>
        <w:tblStyle w:val="a8"/>
        <w:tblW w:w="838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8388"/>
      </w:tblGrid>
      <w:tr w:rsidR="00564950" w14:paraId="3C2E3274" w14:textId="77777777">
        <w:trPr>
          <w:trHeight w:val="673"/>
        </w:trPr>
        <w:tc>
          <w:tcPr>
            <w:tcW w:w="8388" w:type="dxa"/>
          </w:tcPr>
          <w:p w14:paraId="07E08F64" w14:textId="77777777" w:rsidR="00564950" w:rsidRDefault="00D15677">
            <w:pPr>
              <w:spacing w:line="280" w:lineRule="atLeast"/>
              <w:jc w:val="center"/>
              <w:rPr>
                <w:rFonts w:ascii="宋体" w:hAnsi="宋体" w:cs="Arial"/>
                <w:b/>
                <w:kern w:val="0"/>
                <w:sz w:val="20"/>
                <w:szCs w:val="21"/>
              </w:rPr>
            </w:pPr>
            <w:r>
              <w:rPr>
                <w:rFonts w:ascii="宋体" w:hAnsi="宋体" w:cs="Arial" w:hint="eastAsia"/>
                <w:b/>
                <w:kern w:val="0"/>
                <w:sz w:val="20"/>
                <w:szCs w:val="21"/>
              </w:rPr>
              <w:lastRenderedPageBreak/>
              <w:t>投资者确认栏</w:t>
            </w:r>
          </w:p>
          <w:p w14:paraId="4CE9B0BD" w14:textId="77777777" w:rsidR="00564950" w:rsidRDefault="00D15677">
            <w:pPr>
              <w:spacing w:line="280" w:lineRule="atLeast"/>
              <w:jc w:val="center"/>
              <w:rPr>
                <w:rFonts w:ascii="宋体" w:hAnsi="宋体" w:cs="Arial"/>
                <w:kern w:val="0"/>
                <w:sz w:val="24"/>
                <w:szCs w:val="20"/>
              </w:rPr>
            </w:pPr>
            <w:r>
              <w:rPr>
                <w:rFonts w:ascii="宋体" w:hAnsi="宋体" w:cs="Arial" w:hint="eastAsia"/>
                <w:b/>
                <w:kern w:val="0"/>
                <w:sz w:val="20"/>
                <w:szCs w:val="21"/>
              </w:rPr>
              <w:t>（适用于机构投资者：金融同业</w:t>
            </w:r>
            <w:r>
              <w:rPr>
                <w:rFonts w:ascii="宋体" w:hAnsi="宋体" w:cs="Arial"/>
                <w:b/>
                <w:kern w:val="0"/>
                <w:sz w:val="20"/>
                <w:szCs w:val="21"/>
              </w:rPr>
              <w:t>客户</w:t>
            </w:r>
            <w:r>
              <w:rPr>
                <w:rFonts w:ascii="宋体" w:hAnsi="宋体" w:cs="Arial" w:hint="eastAsia"/>
                <w:b/>
                <w:kern w:val="0"/>
                <w:sz w:val="20"/>
                <w:szCs w:val="21"/>
              </w:rPr>
              <w:t>）</w:t>
            </w:r>
          </w:p>
        </w:tc>
      </w:tr>
      <w:tr w:rsidR="00564950" w14:paraId="689BC57E" w14:textId="77777777">
        <w:trPr>
          <w:trHeight w:val="6016"/>
        </w:trPr>
        <w:tc>
          <w:tcPr>
            <w:tcW w:w="8388" w:type="dxa"/>
          </w:tcPr>
          <w:p w14:paraId="53526647" w14:textId="77777777" w:rsidR="00564950" w:rsidRDefault="00D15677">
            <w:pPr>
              <w:spacing w:line="280" w:lineRule="atLeast"/>
              <w:ind w:firstLineChars="200" w:firstLine="360"/>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14:paraId="1B2A9F57" w14:textId="77777777" w:rsidR="00564950" w:rsidRDefault="00564950">
            <w:pPr>
              <w:spacing w:line="280" w:lineRule="atLeast"/>
              <w:ind w:firstLineChars="200" w:firstLine="360"/>
              <w:jc w:val="left"/>
              <w:rPr>
                <w:rFonts w:ascii="宋体" w:hAnsi="宋体" w:cs="Arial"/>
                <w:kern w:val="0"/>
                <w:sz w:val="18"/>
                <w:szCs w:val="18"/>
              </w:rPr>
            </w:pPr>
          </w:p>
          <w:p w14:paraId="4D2F9583" w14:textId="77777777" w:rsidR="00564950" w:rsidRDefault="00D15677">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本公司（单位）已经阅读风险揭示，愿意承担投资风险。</w:t>
            </w:r>
          </w:p>
          <w:p w14:paraId="35879251" w14:textId="77777777" w:rsidR="00564950" w:rsidRDefault="00564950">
            <w:pPr>
              <w:spacing w:line="280" w:lineRule="atLeast"/>
              <w:jc w:val="left"/>
              <w:rPr>
                <w:rFonts w:ascii="宋体" w:hAnsi="宋体" w:cs="Arial"/>
                <w:kern w:val="0"/>
                <w:sz w:val="18"/>
                <w:szCs w:val="18"/>
              </w:rPr>
            </w:pPr>
          </w:p>
          <w:p w14:paraId="2D04EB18" w14:textId="77777777" w:rsidR="00564950" w:rsidRDefault="00D15677">
            <w:pPr>
              <w:spacing w:line="280" w:lineRule="atLeast"/>
              <w:jc w:val="left"/>
              <w:rPr>
                <w:rFonts w:ascii="宋体" w:hAnsi="宋体" w:cs="Arial"/>
                <w:kern w:val="0"/>
                <w:sz w:val="18"/>
                <w:szCs w:val="18"/>
              </w:rPr>
            </w:pPr>
            <w:r>
              <w:rPr>
                <w:rFonts w:ascii="宋体" w:hAnsi="宋体" w:cs="Arial" w:hint="eastAsia"/>
                <w:kern w:val="0"/>
                <w:sz w:val="18"/>
                <w:szCs w:val="18"/>
              </w:rPr>
              <w:t>请投资者在此抄录：</w:t>
            </w:r>
          </w:p>
          <w:p w14:paraId="30BBBE01" w14:textId="77777777" w:rsidR="00564950" w:rsidRDefault="00564950">
            <w:pPr>
              <w:spacing w:line="280" w:lineRule="atLeast"/>
              <w:jc w:val="left"/>
              <w:rPr>
                <w:rFonts w:ascii="宋体" w:hAnsi="宋体" w:cs="Arial"/>
                <w:kern w:val="0"/>
                <w:sz w:val="18"/>
                <w:szCs w:val="18"/>
              </w:rPr>
            </w:pPr>
          </w:p>
          <w:p w14:paraId="2D74EE60" w14:textId="77777777" w:rsidR="00564950" w:rsidRDefault="00D15677">
            <w:pPr>
              <w:spacing w:line="280" w:lineRule="atLeast"/>
              <w:jc w:val="left"/>
              <w:rPr>
                <w:rFonts w:ascii="宋体" w:hAnsi="宋体" w:cs="Arial"/>
                <w:kern w:val="0"/>
                <w:sz w:val="18"/>
                <w:szCs w:val="18"/>
              </w:rPr>
            </w:pPr>
            <w:r>
              <w:rPr>
                <w:rFonts w:ascii="宋体" w:hAnsi="宋体" w:cs="Arial" w:hint="eastAsia"/>
                <w:kern w:val="0"/>
                <w:sz w:val="18"/>
                <w:szCs w:val="18"/>
              </w:rPr>
              <w:t>机构投资者（盖章）：</w:t>
            </w:r>
          </w:p>
          <w:p w14:paraId="79E9B3AF" w14:textId="77777777" w:rsidR="00564950" w:rsidRDefault="00564950">
            <w:pPr>
              <w:spacing w:line="280" w:lineRule="atLeast"/>
              <w:jc w:val="left"/>
              <w:rPr>
                <w:rFonts w:ascii="宋体" w:hAnsi="宋体" w:cs="Arial"/>
                <w:kern w:val="0"/>
                <w:sz w:val="18"/>
                <w:szCs w:val="18"/>
              </w:rPr>
            </w:pPr>
          </w:p>
          <w:p w14:paraId="159F4679" w14:textId="77777777" w:rsidR="00564950" w:rsidRDefault="00D15677">
            <w:pPr>
              <w:spacing w:line="280" w:lineRule="atLeast"/>
              <w:jc w:val="left"/>
              <w:rPr>
                <w:rFonts w:ascii="宋体" w:hAnsi="宋体" w:cs="Arial"/>
                <w:kern w:val="0"/>
                <w:sz w:val="18"/>
                <w:szCs w:val="18"/>
              </w:rPr>
            </w:pPr>
            <w:r>
              <w:rPr>
                <w:rFonts w:ascii="宋体" w:hAnsi="宋体" w:cs="Arial" w:hint="eastAsia"/>
                <w:kern w:val="0"/>
                <w:sz w:val="18"/>
                <w:szCs w:val="18"/>
              </w:rPr>
              <w:t>机构投资者法定代表人或授权</w:t>
            </w:r>
            <w:r>
              <w:rPr>
                <w:rFonts w:ascii="宋体" w:hAnsi="宋体" w:cs="Arial"/>
                <w:kern w:val="0"/>
                <w:sz w:val="18"/>
                <w:szCs w:val="18"/>
              </w:rPr>
              <w:t>代理人</w:t>
            </w:r>
            <w:r>
              <w:rPr>
                <w:rFonts w:ascii="宋体" w:hAnsi="宋体" w:cs="Arial" w:hint="eastAsia"/>
                <w:kern w:val="0"/>
                <w:sz w:val="18"/>
                <w:szCs w:val="18"/>
              </w:rPr>
              <w:t>（签字或盖章）：</w:t>
            </w:r>
          </w:p>
          <w:p w14:paraId="1A5F5A37" w14:textId="77777777" w:rsidR="00564950" w:rsidRDefault="00564950">
            <w:pPr>
              <w:spacing w:line="280" w:lineRule="atLeast"/>
              <w:ind w:left="4200" w:firstLineChars="600" w:firstLine="1080"/>
              <w:jc w:val="left"/>
              <w:rPr>
                <w:rFonts w:ascii="宋体" w:hAnsi="宋体" w:cs="Arial"/>
                <w:kern w:val="0"/>
                <w:sz w:val="18"/>
                <w:szCs w:val="18"/>
              </w:rPr>
            </w:pPr>
          </w:p>
          <w:p w14:paraId="5714A3AE" w14:textId="77777777" w:rsidR="00564950" w:rsidRDefault="00D15677">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      年    月    日</w:t>
            </w:r>
          </w:p>
          <w:p w14:paraId="4DD830CA" w14:textId="77777777" w:rsidR="00564950" w:rsidRDefault="00564950">
            <w:pPr>
              <w:spacing w:line="280" w:lineRule="atLeast"/>
              <w:rPr>
                <w:kern w:val="0"/>
                <w:sz w:val="20"/>
                <w:szCs w:val="20"/>
              </w:rPr>
            </w:pPr>
          </w:p>
          <w:p w14:paraId="79D48268" w14:textId="77777777" w:rsidR="00564950" w:rsidRDefault="00D15677">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14:paraId="3AF45A66" w14:textId="77777777" w:rsidR="00564950" w:rsidRDefault="00564950"/>
    <w:sectPr w:rsidR="00564950">
      <w:headerReference w:type="default" r:id="rId7"/>
      <w:footerReference w:type="default" r:id="rId8"/>
      <w:pgSz w:w="11906" w:h="16838"/>
      <w:pgMar w:top="1440" w:right="1800" w:bottom="1440" w:left="1800" w:header="567" w:footer="964"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21BB7D" w14:textId="77777777" w:rsidR="008D20EE" w:rsidRDefault="008D20EE">
      <w:r>
        <w:separator/>
      </w:r>
    </w:p>
  </w:endnote>
  <w:endnote w:type="continuationSeparator" w:id="0">
    <w:p w14:paraId="7E385CEB" w14:textId="77777777" w:rsidR="008D20EE" w:rsidRDefault="008D20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宋体"/>
    <w:panose1 w:val="02010609030101010101"/>
    <w:charset w:val="86"/>
    <w:family w:val="roman"/>
    <w:notTrueType/>
    <w:pitch w:val="default"/>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52492923"/>
      <w:docPartObj>
        <w:docPartGallery w:val="AutoText"/>
      </w:docPartObj>
    </w:sdtPr>
    <w:sdtEndPr/>
    <w:sdtContent>
      <w:p w14:paraId="566463FE" w14:textId="77777777" w:rsidR="00564950" w:rsidRDefault="00D15677">
        <w:pPr>
          <w:pStyle w:val="a5"/>
          <w:jc w:val="center"/>
        </w:pPr>
        <w:r>
          <w:fldChar w:fldCharType="begin"/>
        </w:r>
        <w:r>
          <w:instrText>PAGE   \* MERGEFORMAT</w:instrText>
        </w:r>
        <w:r>
          <w:fldChar w:fldCharType="separate"/>
        </w:r>
        <w:r w:rsidR="00DE151C" w:rsidRPr="00DE151C">
          <w:rPr>
            <w:noProof/>
            <w:lang w:val="zh-CN"/>
          </w:rPr>
          <w:t>7</w:t>
        </w:r>
        <w:r>
          <w:fldChar w:fldCharType="end"/>
        </w:r>
      </w:p>
    </w:sdtContent>
  </w:sdt>
  <w:p w14:paraId="645CEF6C" w14:textId="77777777" w:rsidR="00564950" w:rsidRDefault="00564950">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D4F16A" w14:textId="77777777" w:rsidR="008D20EE" w:rsidRDefault="008D20EE">
      <w:r>
        <w:separator/>
      </w:r>
    </w:p>
  </w:footnote>
  <w:footnote w:type="continuationSeparator" w:id="0">
    <w:p w14:paraId="0423F474" w14:textId="77777777" w:rsidR="008D20EE" w:rsidRDefault="008D20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069742" w14:textId="77777777" w:rsidR="00564950" w:rsidRDefault="00D15677">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风险揭示书</w:t>
    </w:r>
  </w:p>
  <w:p w14:paraId="7FE586FB" w14:textId="77777777" w:rsidR="00564950" w:rsidRDefault="00D15677">
    <w:pPr>
      <w:pStyle w:val="a6"/>
      <w:jc w:val="right"/>
      <w:rPr>
        <w:rFonts w:ascii="Times New Roman" w:eastAsia="宋体" w:hAnsi="Times New Roman" w:cs="Times New Roman"/>
        <w:b/>
        <w:szCs w:val="20"/>
      </w:rPr>
    </w:pPr>
    <w:r>
      <w:rPr>
        <w:rFonts w:ascii="Times New Roman" w:eastAsia="宋体" w:hAnsi="Times New Roman" w:cs="Times New Roman"/>
        <w:b/>
        <w:szCs w:val="20"/>
      </w:rPr>
      <w:t>注</w:t>
    </w:r>
    <w:r>
      <w:rPr>
        <w:rFonts w:ascii="Times New Roman" w:eastAsia="宋体" w:hAnsi="Times New Roman" w:cs="Times New Roman" w:hint="eastAsia"/>
        <w:b/>
        <w:szCs w:val="20"/>
      </w:rPr>
      <w:t>：</w:t>
    </w:r>
    <w:r>
      <w:rPr>
        <w:rFonts w:ascii="Times New Roman" w:eastAsia="宋体" w:hAnsi="Times New Roman" w:cs="Times New Roman"/>
        <w:b/>
        <w:szCs w:val="20"/>
      </w:rPr>
      <w:t>本文件由兴银理财有限责任公司统一编制</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5"/>
  <w:bordersDoNotSurroundHeader/>
  <w:bordersDoNotSurroundFooter/>
  <w:proofState w:spelling="clean"/>
  <w:documentProtection w:edit="readOnly" w:enforcement="1" w:cryptProviderType="rsaAES" w:cryptAlgorithmClass="hash" w:cryptAlgorithmType="typeAny" w:cryptAlgorithmSid="14" w:cryptSpinCount="100000" w:hash="ky1NDs1kdas7FEYqPHND5K5AhEpa8UNfrJKvQsRVKPh+3Yl5yZfiD2NPUJHtn13zl9DVfMbx9HLQt1smQ8aCnQ==" w:salt="DRosuEOhFNpkAwRyB1FT6Q=="/>
  <w:defaultTabStop w:val="420"/>
  <w:drawingGridHorizontalSpacing w:val="105"/>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563E8F"/>
    <w:rsid w:val="00045093"/>
    <w:rsid w:val="0006211F"/>
    <w:rsid w:val="00096AC8"/>
    <w:rsid w:val="000A244A"/>
    <w:rsid w:val="000B16F1"/>
    <w:rsid w:val="000B357F"/>
    <w:rsid w:val="000B3F0D"/>
    <w:rsid w:val="000F0566"/>
    <w:rsid w:val="000F0B7B"/>
    <w:rsid w:val="000F1948"/>
    <w:rsid w:val="000F527B"/>
    <w:rsid w:val="001104E8"/>
    <w:rsid w:val="001316E0"/>
    <w:rsid w:val="00134445"/>
    <w:rsid w:val="001408CA"/>
    <w:rsid w:val="00152999"/>
    <w:rsid w:val="001B1B46"/>
    <w:rsid w:val="001C3531"/>
    <w:rsid w:val="001C5047"/>
    <w:rsid w:val="001D0808"/>
    <w:rsid w:val="001F4022"/>
    <w:rsid w:val="00201C82"/>
    <w:rsid w:val="002354DB"/>
    <w:rsid w:val="00235B94"/>
    <w:rsid w:val="00255F7B"/>
    <w:rsid w:val="00260722"/>
    <w:rsid w:val="00262560"/>
    <w:rsid w:val="002B4BDD"/>
    <w:rsid w:val="002B63FC"/>
    <w:rsid w:val="002C604E"/>
    <w:rsid w:val="002F0B15"/>
    <w:rsid w:val="003318A7"/>
    <w:rsid w:val="00346ED2"/>
    <w:rsid w:val="0035041C"/>
    <w:rsid w:val="00374070"/>
    <w:rsid w:val="003A2D83"/>
    <w:rsid w:val="003A51E6"/>
    <w:rsid w:val="003E1A68"/>
    <w:rsid w:val="003F1C32"/>
    <w:rsid w:val="00407FDB"/>
    <w:rsid w:val="00411125"/>
    <w:rsid w:val="00412731"/>
    <w:rsid w:val="00420D74"/>
    <w:rsid w:val="00432923"/>
    <w:rsid w:val="0045040F"/>
    <w:rsid w:val="0045449A"/>
    <w:rsid w:val="00466605"/>
    <w:rsid w:val="004A236B"/>
    <w:rsid w:val="004B4026"/>
    <w:rsid w:val="004B7FB9"/>
    <w:rsid w:val="004C3608"/>
    <w:rsid w:val="004C7F5E"/>
    <w:rsid w:val="004E698A"/>
    <w:rsid w:val="00505863"/>
    <w:rsid w:val="00510BA5"/>
    <w:rsid w:val="00527A03"/>
    <w:rsid w:val="00563E8F"/>
    <w:rsid w:val="00564950"/>
    <w:rsid w:val="00564B79"/>
    <w:rsid w:val="005804B9"/>
    <w:rsid w:val="00590473"/>
    <w:rsid w:val="005A0DD9"/>
    <w:rsid w:val="005B6E09"/>
    <w:rsid w:val="005C1970"/>
    <w:rsid w:val="005C6FCB"/>
    <w:rsid w:val="005C764B"/>
    <w:rsid w:val="005F48BE"/>
    <w:rsid w:val="006268BE"/>
    <w:rsid w:val="00640FDE"/>
    <w:rsid w:val="00651B6D"/>
    <w:rsid w:val="006538E1"/>
    <w:rsid w:val="00662881"/>
    <w:rsid w:val="006A1A7F"/>
    <w:rsid w:val="006D73DC"/>
    <w:rsid w:val="007143CD"/>
    <w:rsid w:val="007303F6"/>
    <w:rsid w:val="00732C8C"/>
    <w:rsid w:val="007849D3"/>
    <w:rsid w:val="0079557E"/>
    <w:rsid w:val="007A4C26"/>
    <w:rsid w:val="007B017F"/>
    <w:rsid w:val="007B0400"/>
    <w:rsid w:val="007B3F78"/>
    <w:rsid w:val="007C26E8"/>
    <w:rsid w:val="007C7189"/>
    <w:rsid w:val="007F2E8E"/>
    <w:rsid w:val="008033C2"/>
    <w:rsid w:val="0080662E"/>
    <w:rsid w:val="00817B79"/>
    <w:rsid w:val="0082239C"/>
    <w:rsid w:val="00836C1F"/>
    <w:rsid w:val="00837E43"/>
    <w:rsid w:val="008573A9"/>
    <w:rsid w:val="008825E3"/>
    <w:rsid w:val="00884F80"/>
    <w:rsid w:val="00894EE6"/>
    <w:rsid w:val="008A707D"/>
    <w:rsid w:val="008B5874"/>
    <w:rsid w:val="008D20EE"/>
    <w:rsid w:val="008D3E86"/>
    <w:rsid w:val="008F2B54"/>
    <w:rsid w:val="008F5DCC"/>
    <w:rsid w:val="00906E57"/>
    <w:rsid w:val="00916DD2"/>
    <w:rsid w:val="0093321F"/>
    <w:rsid w:val="00955293"/>
    <w:rsid w:val="00973E53"/>
    <w:rsid w:val="00981E5B"/>
    <w:rsid w:val="009B13AF"/>
    <w:rsid w:val="00A30306"/>
    <w:rsid w:val="00A32134"/>
    <w:rsid w:val="00A80E03"/>
    <w:rsid w:val="00A95D0C"/>
    <w:rsid w:val="00AA1B99"/>
    <w:rsid w:val="00AB065F"/>
    <w:rsid w:val="00AD1CF7"/>
    <w:rsid w:val="00AE5AA3"/>
    <w:rsid w:val="00B06267"/>
    <w:rsid w:val="00B07DEF"/>
    <w:rsid w:val="00B26CBA"/>
    <w:rsid w:val="00B35D81"/>
    <w:rsid w:val="00B3723D"/>
    <w:rsid w:val="00B53014"/>
    <w:rsid w:val="00B65DD5"/>
    <w:rsid w:val="00BB230C"/>
    <w:rsid w:val="00BB513F"/>
    <w:rsid w:val="00BC1259"/>
    <w:rsid w:val="00BC2076"/>
    <w:rsid w:val="00BC398E"/>
    <w:rsid w:val="00BD0DB8"/>
    <w:rsid w:val="00BD2495"/>
    <w:rsid w:val="00BE1A3A"/>
    <w:rsid w:val="00BE7108"/>
    <w:rsid w:val="00BF062C"/>
    <w:rsid w:val="00BF34EF"/>
    <w:rsid w:val="00C01696"/>
    <w:rsid w:val="00C074AB"/>
    <w:rsid w:val="00C4233D"/>
    <w:rsid w:val="00C67D0E"/>
    <w:rsid w:val="00C80C9A"/>
    <w:rsid w:val="00C922EB"/>
    <w:rsid w:val="00CA5199"/>
    <w:rsid w:val="00CF693D"/>
    <w:rsid w:val="00D03CCD"/>
    <w:rsid w:val="00D15677"/>
    <w:rsid w:val="00D33509"/>
    <w:rsid w:val="00D33FC9"/>
    <w:rsid w:val="00D46533"/>
    <w:rsid w:val="00D56D0A"/>
    <w:rsid w:val="00D61355"/>
    <w:rsid w:val="00D91389"/>
    <w:rsid w:val="00DA2C69"/>
    <w:rsid w:val="00DD246D"/>
    <w:rsid w:val="00DD5ABC"/>
    <w:rsid w:val="00DE151C"/>
    <w:rsid w:val="00DE3630"/>
    <w:rsid w:val="00E17C44"/>
    <w:rsid w:val="00E20096"/>
    <w:rsid w:val="00E27A39"/>
    <w:rsid w:val="00E41CDA"/>
    <w:rsid w:val="00E504DE"/>
    <w:rsid w:val="00E767F1"/>
    <w:rsid w:val="00E80603"/>
    <w:rsid w:val="00E965E1"/>
    <w:rsid w:val="00E97632"/>
    <w:rsid w:val="00EA3FCD"/>
    <w:rsid w:val="00EA6595"/>
    <w:rsid w:val="00EB34F9"/>
    <w:rsid w:val="00F1747E"/>
    <w:rsid w:val="00F34E57"/>
    <w:rsid w:val="00F35189"/>
    <w:rsid w:val="00F57B20"/>
    <w:rsid w:val="00F8077D"/>
    <w:rsid w:val="00FC12E0"/>
    <w:rsid w:val="00FD7473"/>
    <w:rsid w:val="05DA1F45"/>
    <w:rsid w:val="0E615D48"/>
    <w:rsid w:val="0F563291"/>
    <w:rsid w:val="1B9E06B7"/>
    <w:rsid w:val="1D9858FD"/>
    <w:rsid w:val="23024B39"/>
    <w:rsid w:val="48045529"/>
    <w:rsid w:val="601969DF"/>
    <w:rsid w:val="703301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ADB71DA"/>
  <w15:docId w15:val="{FDA25836-8911-42B7-B3BF-D35A6139DD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eastAsia="宋体"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pPr>
      <w:jc w:val="left"/>
    </w:pPr>
  </w:style>
  <w:style w:type="paragraph" w:styleId="a4">
    <w:name w:val="Balloon Text"/>
    <w:basedOn w:val="a"/>
    <w:link w:val="Char0"/>
    <w:uiPriority w:val="99"/>
    <w:semiHidden/>
    <w:unhideWhenUsed/>
    <w:qFormat/>
    <w:rPr>
      <w:sz w:val="18"/>
      <w:szCs w:val="18"/>
    </w:rPr>
  </w:style>
  <w:style w:type="paragraph" w:styleId="a5">
    <w:name w:val="footer"/>
    <w:basedOn w:val="a"/>
    <w:link w:val="Char1"/>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7">
    <w:name w:val="annotation subject"/>
    <w:basedOn w:val="a3"/>
    <w:next w:val="a3"/>
    <w:link w:val="Char3"/>
    <w:uiPriority w:val="99"/>
    <w:semiHidden/>
    <w:unhideWhenUsed/>
    <w:qFormat/>
    <w:rPr>
      <w:b/>
      <w:bCs/>
    </w:rPr>
  </w:style>
  <w:style w:type="table" w:styleId="a8">
    <w:name w:val="Table Grid"/>
    <w:basedOn w:val="a1"/>
    <w:qFormat/>
    <w:pPr>
      <w:widowControl w:val="0"/>
      <w:jc w:val="both"/>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basedOn w:val="a0"/>
    <w:uiPriority w:val="99"/>
    <w:unhideWhenUsed/>
    <w:qFormat/>
    <w:rPr>
      <w:sz w:val="21"/>
      <w:szCs w:val="21"/>
    </w:rPr>
  </w:style>
  <w:style w:type="character" w:customStyle="1" w:styleId="Char2">
    <w:name w:val="页眉 Char"/>
    <w:basedOn w:val="a0"/>
    <w:link w:val="a6"/>
    <w:uiPriority w:val="99"/>
    <w:qFormat/>
    <w:rPr>
      <w:sz w:val="18"/>
      <w:szCs w:val="18"/>
    </w:rPr>
  </w:style>
  <w:style w:type="character" w:customStyle="1" w:styleId="Char1">
    <w:name w:val="页脚 Char"/>
    <w:basedOn w:val="a0"/>
    <w:link w:val="a5"/>
    <w:uiPriority w:val="99"/>
    <w:qFormat/>
    <w:rPr>
      <w:sz w:val="18"/>
      <w:szCs w:val="18"/>
    </w:rPr>
  </w:style>
  <w:style w:type="paragraph" w:styleId="aa">
    <w:name w:val="List Paragraph"/>
    <w:basedOn w:val="a"/>
    <w:qFormat/>
    <w:pPr>
      <w:ind w:firstLineChars="200" w:firstLine="420"/>
    </w:pPr>
  </w:style>
  <w:style w:type="character" w:customStyle="1" w:styleId="Char">
    <w:name w:val="批注文字 Char"/>
    <w:basedOn w:val="a0"/>
    <w:link w:val="a3"/>
    <w:uiPriority w:val="99"/>
    <w:qFormat/>
    <w:rPr>
      <w:rFonts w:ascii="Calibri" w:eastAsia="宋体" w:hAnsi="Calibri" w:cs="宋体"/>
    </w:rPr>
  </w:style>
  <w:style w:type="character" w:customStyle="1" w:styleId="Char3">
    <w:name w:val="批注主题 Char"/>
    <w:basedOn w:val="Char"/>
    <w:link w:val="a7"/>
    <w:uiPriority w:val="99"/>
    <w:semiHidden/>
    <w:qFormat/>
    <w:rPr>
      <w:rFonts w:ascii="Calibri" w:eastAsia="宋体" w:hAnsi="Calibri" w:cs="宋体"/>
      <w:b/>
      <w:bCs/>
    </w:rPr>
  </w:style>
  <w:style w:type="character" w:customStyle="1" w:styleId="Char0">
    <w:name w:val="批注框文本 Char"/>
    <w:basedOn w:val="a0"/>
    <w:link w:val="a4"/>
    <w:uiPriority w:val="99"/>
    <w:semiHidden/>
    <w:qFormat/>
    <w:rPr>
      <w:rFonts w:ascii="Calibri" w:eastAsia="宋体" w:hAnsi="Calibri" w:cs="宋体"/>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D67689-51EB-4BA5-8671-2A097D4EE9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7</Pages>
  <Words>5221</Words>
  <Characters>334</Characters>
  <Application>Microsoft Office Word</Application>
  <DocSecurity>8</DocSecurity>
  <Lines>2</Lines>
  <Paragraphs>11</Paragraphs>
  <ScaleCrop>false</ScaleCrop>
  <Company>神州网信技术有限公司</Company>
  <LinksUpToDate>false</LinksUpToDate>
  <CharactersWithSpaces>5544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胡骁潇</dc:creator>
  <cp:lastModifiedBy>叶淑珊</cp:lastModifiedBy>
  <cp:revision>68</cp:revision>
  <dcterms:created xsi:type="dcterms:W3CDTF">2022-10-18T03:49:00Z</dcterms:created>
  <dcterms:modified xsi:type="dcterms:W3CDTF">2023-10-23T07:41:00Z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E38D0AA24CF24E93BA9C07F1B58B7E38_13</vt:lpwstr>
  </property>
</Properties>
</file>