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jc w:val="center"/>
        <w:rPr>
          <w:rFonts w:ascii="黑体" w:hAnsi="黑体" w:eastAsia="黑体"/>
          <w:b/>
          <w:sz w:val="28"/>
          <w:szCs w:val="28"/>
        </w:rPr>
      </w:pPr>
      <w:r>
        <w:rPr>
          <w:rFonts w:hint="eastAsia" w:ascii="黑体" w:hAnsi="黑体" w:eastAsia="黑体"/>
          <w:b/>
          <w:sz w:val="28"/>
          <w:szCs w:val="28"/>
        </w:rPr>
        <w:t>兴银理财</w:t>
      </w:r>
      <w:permStart w:id="0" w:edGrp="everyone"/>
      <w:r>
        <w:rPr>
          <w:rFonts w:hint="eastAsia" w:ascii="黑体" w:hAnsi="黑体" w:eastAsia="黑体"/>
          <w:b/>
          <w:sz w:val="28"/>
          <w:szCs w:val="28"/>
        </w:rPr>
        <w:t>【稳利丰收封闭式固收类】</w:t>
      </w:r>
      <w:permEnd w:id="0"/>
      <w:r>
        <w:rPr>
          <w:rFonts w:hint="eastAsia" w:ascii="黑体" w:hAnsi="黑体" w:eastAsia="黑体"/>
          <w:b/>
          <w:sz w:val="28"/>
          <w:szCs w:val="28"/>
        </w:rPr>
        <w:t>理财产品</w:t>
      </w:r>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permStart w:id="1" w:edGrp="everyone" w:colFirst="3" w:colLast="3"/>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个人投资者适用</w:t>
            </w: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姓名</w:t>
            </w:r>
          </w:p>
        </w:tc>
        <w:tc>
          <w:tcPr>
            <w:tcW w:w="5061" w:type="dxa"/>
            <w:gridSpan w:val="3"/>
            <w:shd w:val="solid" w:color="FFFFFF" w:fill="FFFFFF"/>
            <w:vAlign w:val="center"/>
          </w:tcPr>
          <w:p>
            <w:pPr>
              <w:spacing w:line="320" w:lineRule="exact"/>
              <w:jc w:val="left"/>
              <w:rPr>
                <w:rFonts w:ascii="宋体" w:hAnsi="宋体"/>
                <w:b/>
                <w:bCs/>
                <w:sz w:val="18"/>
                <w:szCs w:val="18"/>
              </w:rPr>
            </w:pPr>
          </w:p>
        </w:tc>
      </w:tr>
      <w:permEnd w:id="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2" w:edGrp="everyone" w:colFirst="3" w:colLast="3"/>
            <w:permStart w:id="3" w:edGrp="everyone" w:colFirst="5" w:colLast="5"/>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shd w:val="solid" w:color="FFFFFF" w:fill="FFFFFF"/>
            <w:vAlign w:val="center"/>
          </w:tcPr>
          <w:p>
            <w:pPr>
              <w:spacing w:line="320" w:lineRule="exact"/>
              <w:jc w:val="left"/>
              <w:rPr>
                <w:rFonts w:ascii="宋体" w:hAnsi="宋体"/>
                <w:b/>
                <w:bCs/>
                <w:sz w:val="18"/>
                <w:szCs w:val="18"/>
              </w:rPr>
            </w:pPr>
          </w:p>
        </w:tc>
      </w:tr>
      <w:permEnd w:id="2"/>
      <w:permEnd w:id="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4" w:edGrp="everyone" w:colFirst="3" w:colLast="3"/>
            <w:permStart w:id="5" w:edGrp="everyone" w:colFirst="5" w:colLast="5"/>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电子邮箱</w:t>
            </w:r>
          </w:p>
        </w:tc>
        <w:tc>
          <w:tcPr>
            <w:tcW w:w="2443" w:type="dxa"/>
            <w:shd w:val="solid" w:color="FFFFFF" w:fill="FFFFFF"/>
            <w:vAlign w:val="center"/>
          </w:tcPr>
          <w:p>
            <w:pPr>
              <w:spacing w:line="320" w:lineRule="exact"/>
              <w:jc w:val="left"/>
              <w:rPr>
                <w:rFonts w:ascii="宋体" w:hAnsi="宋体"/>
                <w:b/>
                <w:bCs/>
                <w:sz w:val="18"/>
                <w:szCs w:val="18"/>
              </w:rPr>
            </w:pPr>
          </w:p>
        </w:tc>
      </w:tr>
      <w:permEnd w:id="4"/>
      <w:permEnd w:id="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6" w:edGrp="everyone" w:colFirst="3" w:colLast="3"/>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shd w:val="solid" w:color="FFFFFF" w:fill="FFFFFF"/>
            <w:vAlign w:val="center"/>
          </w:tcPr>
          <w:p>
            <w:pPr>
              <w:spacing w:line="320" w:lineRule="exact"/>
              <w:jc w:val="left"/>
              <w:rPr>
                <w:rFonts w:ascii="宋体" w:hAnsi="宋体"/>
                <w:b/>
                <w:bCs/>
                <w:sz w:val="18"/>
                <w:szCs w:val="18"/>
              </w:rPr>
            </w:pPr>
          </w:p>
        </w:tc>
      </w:tr>
      <w:permEnd w:id="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
                <w:bCs/>
                <w:sz w:val="18"/>
                <w:szCs w:val="18"/>
              </w:rPr>
            </w:pPr>
          </w:p>
        </w:tc>
      </w:tr>
      <w:permEnd w:id="7"/>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8" w:edGrp="everyone" w:colFirst="3" w:colLast="3"/>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9" w:edGrp="everyone" w:colFirst="3" w:colLast="3"/>
            <w:permStart w:id="10"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9"/>
      <w:permEnd w:id="1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1"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2" w:edGrp="everyone" w:colFirst="3" w:colLast="3"/>
            <w:permStart w:id="13"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
                <w:bCs/>
                <w:sz w:val="18"/>
                <w:szCs w:val="18"/>
              </w:rPr>
            </w:pPr>
            <w:r>
              <w:rPr>
                <w:rFonts w:hint="eastAsia" w:ascii="宋体" w:hAnsi="宋体"/>
                <w:b/>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4"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ermStart w:id="15" w:edGrp="everyone" w:colFirst="3" w:colLast="3"/>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170" w:hRule="exact"/>
          <w:jc w:val="center"/>
        </w:trPr>
        <w:tc>
          <w:tcPr>
            <w:tcW w:w="7598" w:type="dxa"/>
            <w:gridSpan w:val="6"/>
            <w:shd w:val="pct10" w:color="FFFFFF" w:fill="A5A5A5" w:themeFill="background1" w:themeFillShade="A6"/>
            <w:vAlign w:val="center"/>
          </w:tcPr>
          <w:p>
            <w:pPr>
              <w:pStyle w:val="5"/>
              <w:pBdr>
                <w:bottom w:val="none" w:color="auto" w:sz="0" w:space="0"/>
              </w:pBdr>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hAnsi="宋体"/>
                <w:sz w:val="18"/>
                <w:szCs w:val="18"/>
              </w:rPr>
              <w:t>★</w:t>
            </w:r>
            <w:r>
              <w:rPr>
                <w:rFonts w:hint="eastAsia" w:ascii="宋体" w:hAnsi="宋体"/>
                <w:b/>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permStart w:id="16" w:edGrp="everyone"/>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ermEnd w:id="1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permStart w:id="17" w:edGrp="everyone"/>
            <w:bookmarkStart w:id="0" w:name="_GoBack"/>
            <w:r>
              <w:rPr>
                <w:rFonts w:hint="eastAsia" w:ascii="宋体" w:hAnsi="宋体"/>
                <w:bCs/>
                <w:color w:val="auto"/>
                <w:sz w:val="18"/>
                <w:szCs w:val="18"/>
              </w:rPr>
              <w:t>【</w:t>
            </w:r>
            <w:r>
              <w:rPr>
                <w:rFonts w:hint="eastAsia" w:asciiTheme="majorEastAsia" w:hAnsiTheme="majorEastAsia" w:eastAsiaTheme="majorEastAsia"/>
                <w:bCs/>
                <w:color w:val="auto"/>
                <w:sz w:val="18"/>
                <w:szCs w:val="18"/>
              </w:rPr>
              <w:t>浙</w:t>
            </w:r>
            <w:r>
              <w:rPr>
                <w:rFonts w:asciiTheme="majorEastAsia" w:hAnsiTheme="majorEastAsia" w:eastAsiaTheme="majorEastAsia"/>
                <w:bCs/>
                <w:color w:val="auto"/>
                <w:sz w:val="18"/>
                <w:szCs w:val="18"/>
              </w:rPr>
              <w:t>江桐庐农村商业银行股份有限公司</w:t>
            </w:r>
            <w:r>
              <w:rPr>
                <w:rFonts w:hint="eastAsia" w:ascii="宋体" w:hAnsi="宋体"/>
                <w:bCs/>
                <w:color w:val="auto"/>
                <w:sz w:val="18"/>
                <w:szCs w:val="18"/>
              </w:rPr>
              <w:t>】</w:t>
            </w:r>
            <w:permEnd w:id="17"/>
            <w:bookmarkEnd w:id="0"/>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机构简介</w:t>
            </w:r>
          </w:p>
        </w:tc>
        <w:tc>
          <w:tcPr>
            <w:tcW w:w="5061" w:type="dxa"/>
            <w:gridSpan w:val="3"/>
            <w:tcBorders>
              <w:bottom w:val="single" w:color="auto" w:sz="12" w:space="0"/>
            </w:tcBorders>
            <w:shd w:val="solid" w:color="FFFFFF" w:fill="FFFFFF"/>
            <w:vAlign w:val="center"/>
          </w:tcPr>
          <w:p>
            <w:pPr>
              <w:pStyle w:val="15"/>
              <w:jc w:val="both"/>
            </w:pPr>
            <w:permStart w:id="18" w:edGrp="everyone"/>
            <w:r>
              <w:rPr>
                <w:rFonts w:hint="eastAsia" w:asciiTheme="majorEastAsia" w:hAnsiTheme="majorEastAsia" w:eastAsiaTheme="majorEastAsia"/>
                <w:bCs/>
                <w:sz w:val="18"/>
                <w:szCs w:val="18"/>
              </w:rPr>
              <w:t>【】</w:t>
            </w:r>
            <w:permEnd w:id="1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402" w:hRule="atLeast"/>
          <w:jc w:val="center"/>
        </w:trPr>
        <w:tc>
          <w:tcPr>
            <w:tcW w:w="817" w:type="dxa"/>
            <w:shd w:val="solid" w:color="FFFFFF" w:fill="FFFFFF"/>
            <w:vAlign w:val="center"/>
          </w:tcPr>
          <w:p>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19" w:edGrp="everyone"/>
            <w:r>
              <w:rPr>
                <w:rFonts w:ascii="宋体" w:hAnsi="宋体"/>
                <w:u w:val="single"/>
              </w:rPr>
              <w:t xml:space="preserve">　                     </w:t>
            </w:r>
            <w:permEnd w:id="19"/>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permStart w:id="20"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ermEnd w:id="20"/>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permStart w:id="21"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ermEnd w:id="21"/>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2"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5</w:t>
      </w:r>
      <w:r>
        <w:rPr>
          <w:rFonts w:hint="eastAsia" w:ascii="宋体" w:hAnsi="宋体" w:cs="仿宋_GB2312"/>
          <w:kern w:val="0"/>
          <w:sz w:val="18"/>
          <w:szCs w:val="18"/>
        </w:rPr>
        <w:t>】</w:t>
      </w:r>
      <w:permEnd w:id="22"/>
      <w:r>
        <w:rPr>
          <w:rFonts w:hint="eastAsia" w:ascii="宋体" w:hAnsi="宋体" w:cs="仿宋_GB2312"/>
          <w:kern w:val="0"/>
          <w:sz w:val="18"/>
          <w:szCs w:val="18"/>
        </w:rPr>
        <w:t>个风险等级</w:t>
      </w:r>
      <w:r>
        <w:rPr>
          <w:rFonts w:ascii="宋体" w:hAnsi="宋体" w:cs="仿宋_GB2312"/>
          <w:kern w:val="0"/>
          <w:sz w:val="18"/>
          <w:szCs w:val="18"/>
        </w:rPr>
        <w:t>：</w:t>
      </w:r>
      <w:permStart w:id="23" w:edGrp="everyone"/>
      <w:r>
        <w:rPr>
          <w:rFonts w:hint="eastAsia" w:ascii="宋体" w:hAnsi="宋体" w:cs="仿宋_GB2312"/>
          <w:kern w:val="0"/>
          <w:sz w:val="18"/>
          <w:szCs w:val="18"/>
        </w:rPr>
        <w:t>【</w:t>
      </w:r>
      <w:r>
        <w:rPr>
          <w:rFonts w:hint="eastAsia" w:ascii="宋体" w:hAnsi="宋体"/>
          <w:color w:val="auto"/>
          <w:kern w:val="0"/>
          <w:sz w:val="18"/>
        </w:rPr>
        <w:t>□</w:t>
      </w:r>
      <w:r>
        <w:rPr>
          <w:rFonts w:ascii="宋体" w:hAnsi="宋体"/>
          <w:color w:val="auto"/>
          <w:kern w:val="0"/>
          <w:sz w:val="18"/>
        </w:rPr>
        <w:t>R1、□R2、□R3、</w:t>
      </w:r>
      <w:r>
        <w:rPr>
          <w:rFonts w:hint="eastAsia" w:ascii="宋体" w:hAnsi="宋体"/>
          <w:color w:val="auto"/>
          <w:kern w:val="0"/>
          <w:sz w:val="18"/>
        </w:rPr>
        <w:t>□</w:t>
      </w:r>
      <w:r>
        <w:rPr>
          <w:rFonts w:ascii="宋体" w:hAnsi="宋体"/>
          <w:color w:val="auto"/>
          <w:kern w:val="0"/>
          <w:sz w:val="18"/>
        </w:rPr>
        <w:t>R4、</w:t>
      </w:r>
      <w:r>
        <w:rPr>
          <w:rFonts w:hint="eastAsia" w:ascii="宋体" w:hAnsi="宋体"/>
          <w:color w:val="auto"/>
          <w:kern w:val="0"/>
          <w:sz w:val="18"/>
        </w:rPr>
        <w:t>□</w:t>
      </w:r>
      <w:r>
        <w:rPr>
          <w:rFonts w:ascii="宋体" w:hAnsi="宋体"/>
          <w:color w:val="auto"/>
          <w:kern w:val="0"/>
          <w:sz w:val="18"/>
        </w:rPr>
        <w:t>R5</w:t>
      </w:r>
      <w:r>
        <w:rPr>
          <w:rFonts w:hint="eastAsia" w:ascii="宋体" w:hAnsi="宋体" w:cs="仿宋_GB2312"/>
          <w:kern w:val="0"/>
          <w:sz w:val="18"/>
          <w:szCs w:val="18"/>
        </w:rPr>
        <w:t>】</w:t>
      </w:r>
      <w:permEnd w:id="23"/>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（1）甲方为非机构投资者时，甲方购买乙方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（2）其他类型投资者的风险承受能力评估按销售机构的以下销售政策执行：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permStart w:id="24" w:edGrp="everyone"/>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w:t>
      </w:r>
      <w:permEnd w:id="24"/>
      <w:r>
        <w:rPr>
          <w:rFonts w:hint="eastAsia" w:asciiTheme="majorEastAsia" w:hAnsiTheme="majorEastAsia" w:eastAsiaTheme="majorEastAsia"/>
          <w:sz w:val="18"/>
          <w:szCs w:val="18"/>
        </w:rPr>
        <w:t>参照本条第（1）款非机构投资者要求执行；</w:t>
      </w:r>
    </w:p>
    <w:p>
      <w:pPr>
        <w:widowControl/>
        <w:spacing w:line="360" w:lineRule="auto"/>
        <w:jc w:val="left"/>
        <w:rPr>
          <w:rFonts w:asciiTheme="majorEastAsia" w:hAnsiTheme="majorEastAsia" w:eastAsiaTheme="majorEastAsia"/>
          <w:sz w:val="18"/>
          <w:szCs w:val="18"/>
        </w:rPr>
      </w:pPr>
      <w:permStart w:id="25" w:edGrp="everyone"/>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w:t>
      </w:r>
      <w:permEnd w:id="25"/>
      <w:r>
        <w:rPr>
          <w:rFonts w:hint="eastAsia" w:asciiTheme="majorEastAsia" w:hAnsiTheme="majorEastAsia" w:eastAsiaTheme="majorEastAsia"/>
          <w:sz w:val="18"/>
          <w:szCs w:val="18"/>
        </w:rPr>
        <w:t>其他：</w:t>
      </w:r>
      <w:permStart w:id="26" w:edGrp="everyone"/>
      <w:r>
        <w:rPr>
          <w:rFonts w:hint="eastAsia" w:asciiTheme="majorEastAsia" w:hAnsiTheme="majorEastAsia" w:eastAsiaTheme="majorEastAsia"/>
          <w:sz w:val="18"/>
          <w:szCs w:val="18"/>
          <w:u w:val="single"/>
        </w:rPr>
        <w:t xml:space="preserve">                               。</w:t>
      </w:r>
      <w:permEnd w:id="26"/>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甲方声明：</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1)甲方已经收到所购买乙方销售的理财产品的《投资协议书</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产品说明书</w:t>
      </w:r>
      <w:r>
        <w:rPr>
          <w:rFonts w:ascii="宋体" w:hAnsi="宋体" w:cs="仿宋_GB2312"/>
          <w:b/>
          <w:kern w:val="0"/>
          <w:sz w:val="18"/>
          <w:szCs w:val="18"/>
        </w:rPr>
        <w:t>》</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（代理）销售协议书</w:t>
      </w:r>
      <w:r>
        <w:rPr>
          <w:rFonts w:ascii="宋体" w:hAnsi="宋体" w:cs="仿宋_GB2312"/>
          <w:b/>
          <w:kern w:val="0"/>
          <w:sz w:val="18"/>
          <w:szCs w:val="18"/>
        </w:rPr>
        <w:t>》</w:t>
      </w:r>
      <w:r>
        <w:rPr>
          <w:rFonts w:hint="eastAsia" w:ascii="宋体" w:hAnsi="宋体" w:cs="仿宋_GB2312"/>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hint="eastAsia" w:ascii="宋体" w:hAnsi="宋体" w:cs="仿宋_GB2312"/>
          <w:b/>
          <w:kern w:val="0"/>
          <w:sz w:val="18"/>
          <w:szCs w:val="18"/>
        </w:rPr>
        <w:t>、赎回理财产品所产生的相关风险和不利后果。</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29" w:hRule="atLeast"/>
        </w:trPr>
        <w:tc>
          <w:tcPr>
            <w:tcW w:w="8524" w:type="dxa"/>
            <w:gridSpan w:val="3"/>
            <w:vAlign w:val="center"/>
          </w:tcPr>
          <w:p>
            <w:pPr>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675" w:type="dxa"/>
            <w:vAlign w:val="center"/>
          </w:tcPr>
          <w:p>
            <w:pPr>
              <w:tabs>
                <w:tab w:val="left" w:pos="8070"/>
                <w:tab w:val="right" w:pos="8306"/>
              </w:tabs>
              <w:autoSpaceDE w:val="0"/>
              <w:autoSpaceDN w:val="0"/>
              <w:adjustRightInd w:val="0"/>
              <w:snapToGrid w:val="0"/>
              <w:spacing w:line="280" w:lineRule="exact"/>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8070"/>
                <w:tab w:val="right" w:pos="8306"/>
              </w:tabs>
              <w:autoSpaceDE w:val="0"/>
              <w:autoSpaceDN w:val="0"/>
              <w:adjustRightInd w:val="0"/>
              <w:snapToGrid w:val="0"/>
              <w:spacing w:line="280" w:lineRule="exact"/>
              <w:rPr>
                <w:rFonts w:ascii="黑体" w:hAnsi="黑体" w:eastAsia="黑体"/>
                <w:kern w:val="0"/>
                <w:sz w:val="18"/>
                <w:szCs w:val="18"/>
              </w:rPr>
            </w:pPr>
            <w:r>
              <w:rPr>
                <w:rFonts w:ascii="黑体" w:hAnsi="黑体" w:eastAsia="黑体"/>
                <w:kern w:val="0"/>
                <w:sz w:val="18"/>
                <w:szCs w:val="18"/>
              </w:rPr>
              <w:t>1、在签署本《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1014" w:hRule="exact"/>
        </w:trPr>
        <w:tc>
          <w:tcPr>
            <w:tcW w:w="675" w:type="dxa"/>
            <w:vMerge w:val="restart"/>
            <w:vAlign w:val="center"/>
          </w:tcPr>
          <w:p>
            <w:pPr>
              <w:jc w:val="center"/>
              <w:rPr>
                <w:b/>
                <w:kern w:val="0"/>
                <w:sz w:val="18"/>
                <w:szCs w:val="18"/>
              </w:rPr>
            </w:pPr>
            <w:r>
              <w:rPr>
                <w:rFonts w:hint="eastAsia"/>
                <w:b/>
                <w:kern w:val="0"/>
                <w:sz w:val="18"/>
                <w:szCs w:val="18"/>
              </w:rPr>
              <w:t>甲方签署栏</w:t>
            </w:r>
          </w:p>
        </w:tc>
        <w:tc>
          <w:tcPr>
            <w:tcW w:w="851" w:type="dxa"/>
          </w:tcPr>
          <w:p>
            <w:pPr>
              <w:rPr>
                <w:b/>
                <w:kern w:val="0"/>
                <w:sz w:val="18"/>
                <w:szCs w:val="18"/>
              </w:rPr>
            </w:pPr>
            <w:r>
              <w:rPr>
                <w:rFonts w:hint="eastAsia"/>
                <w:b/>
                <w:kern w:val="0"/>
                <w:sz w:val="18"/>
                <w:szCs w:val="18"/>
              </w:rPr>
              <w:t>个人投资者适用</w:t>
            </w:r>
          </w:p>
        </w:tc>
        <w:tc>
          <w:tcPr>
            <w:tcW w:w="6998" w:type="dxa"/>
          </w:tcPr>
          <w:p>
            <w:pPr>
              <w:rPr>
                <w:kern w:val="0"/>
                <w:sz w:val="18"/>
                <w:szCs w:val="18"/>
              </w:rPr>
            </w:pPr>
            <w:r>
              <w:rPr>
                <w:rFonts w:hint="eastAsia"/>
                <w:kern w:val="0"/>
                <w:sz w:val="18"/>
                <w:szCs w:val="18"/>
              </w:rPr>
              <w:t>甲方（签字）：</w:t>
            </w:r>
          </w:p>
          <w:p>
            <w:pPr>
              <w:rPr>
                <w:b/>
                <w:kern w:val="0"/>
                <w:sz w:val="18"/>
                <w:szCs w:val="18"/>
              </w:rPr>
            </w:pPr>
          </w:p>
          <w:p>
            <w:pPr>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675" w:type="dxa"/>
            <w:vMerge w:val="continue"/>
          </w:tcPr>
          <w:p>
            <w:pPr>
              <w:rPr>
                <w:b/>
                <w:kern w:val="0"/>
                <w:sz w:val="18"/>
                <w:szCs w:val="18"/>
              </w:rPr>
            </w:pPr>
          </w:p>
        </w:tc>
        <w:tc>
          <w:tcPr>
            <w:tcW w:w="851" w:type="dxa"/>
          </w:tcPr>
          <w:p>
            <w:pPr>
              <w:rPr>
                <w:b/>
                <w:kern w:val="0"/>
                <w:sz w:val="18"/>
                <w:szCs w:val="18"/>
              </w:rPr>
            </w:pPr>
            <w:r>
              <w:rPr>
                <w:rFonts w:hint="eastAsia"/>
                <w:b/>
                <w:kern w:val="0"/>
                <w:sz w:val="18"/>
                <w:szCs w:val="18"/>
              </w:rPr>
              <w:t>机构投资者适用</w:t>
            </w:r>
          </w:p>
        </w:tc>
        <w:tc>
          <w:tcPr>
            <w:tcW w:w="6998" w:type="dxa"/>
          </w:tcPr>
          <w:p>
            <w:pPr>
              <w:rPr>
                <w:rFonts w:cs="Arial"/>
                <w:kern w:val="0"/>
                <w:sz w:val="18"/>
                <w:szCs w:val="18"/>
              </w:rPr>
            </w:pPr>
            <w:r>
              <w:rPr>
                <w:rFonts w:hint="eastAsia"/>
                <w:kern w:val="0"/>
                <w:sz w:val="18"/>
                <w:szCs w:val="18"/>
              </w:rPr>
              <w:t>甲方</w:t>
            </w:r>
            <w:r>
              <w:rPr>
                <w:rFonts w:hint="eastAsia" w:cs="Arial"/>
                <w:kern w:val="0"/>
                <w:sz w:val="18"/>
                <w:szCs w:val="18"/>
              </w:rPr>
              <w:t>（盖章）：</w:t>
            </w:r>
          </w:p>
          <w:p>
            <w:pPr>
              <w:rPr>
                <w:rFonts w:cs="Arial"/>
                <w:kern w:val="0"/>
                <w:sz w:val="18"/>
                <w:szCs w:val="18"/>
              </w:rPr>
            </w:pPr>
          </w:p>
          <w:p>
            <w:pPr>
              <w:rPr>
                <w:rFonts w:cs="Arial"/>
                <w:kern w:val="0"/>
                <w:sz w:val="18"/>
                <w:szCs w:val="18"/>
              </w:rPr>
            </w:pPr>
            <w:r>
              <w:rPr>
                <w:rFonts w:hint="eastAsia" w:cs="Arial"/>
                <w:kern w:val="0"/>
                <w:sz w:val="18"/>
                <w:szCs w:val="18"/>
              </w:rPr>
              <w:t>甲方法定代表人或授权代理人（签字或盖章）：</w:t>
            </w:r>
          </w:p>
          <w:p>
            <w:pPr>
              <w:rPr>
                <w:b/>
                <w:kern w:val="0"/>
                <w:sz w:val="18"/>
                <w:szCs w:val="18"/>
              </w:rPr>
            </w:pPr>
          </w:p>
          <w:p>
            <w:pPr>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675" w:type="dxa"/>
          </w:tcPr>
          <w:p>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pPr>
              <w:rPr>
                <w:b/>
                <w:kern w:val="0"/>
                <w:sz w:val="18"/>
                <w:szCs w:val="18"/>
              </w:rPr>
            </w:pPr>
          </w:p>
          <w:p>
            <w:pPr>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
    <w:p/>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Arial">
    <w:panose1 w:val="020B0604020202090204"/>
    <w:charset w:val="00"/>
    <w:family w:val="swiss"/>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冬青黑体简体中文">
    <w:panose1 w:val="020B0300000000000000"/>
    <w:charset w:val="86"/>
    <w:family w:val="auto"/>
    <w:pitch w:val="default"/>
    <w:sig w:usb0="A00002BF" w:usb1="1ACF7CFA" w:usb2="00000016" w:usb3="00000000" w:csb0="00060007" w:csb1="00000000"/>
  </w:font>
  <w:font w:name="Kingsoft Sign">
    <w:panose1 w:val="05050102010706020507"/>
    <w:charset w:val="00"/>
    <w:family w:val="auto"/>
    <w:pitch w:val="default"/>
    <w:sig w:usb0="00000000" w:usb1="10000000" w:usb2="00000000" w:usb3="00000000" w:csb0="00000001"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dit="readOnly" w:enforcement="1" w:cryptProviderType="rsaAES" w:cryptAlgorithmClass="hash" w:cryptAlgorithmType="typeAny" w:cryptAlgorithmSid="14" w:cryptSpinCount="100000" w:hash="ea5RBJz+0QBDRwAF7yoTt+E1FStDKSYNXdWyOxfDlyaA5U1OAQxw6XevCaICVMToostTewU60IXS/vg1L8T1pg==" w:salt="DRt5fEE3XOxqSFn7KomTUw=="/>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 w:val="FE7FB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unhideWhenUsed/>
    <w:qFormat/>
    <w:uiPriority w:val="0"/>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0"/>
    <w:rPr>
      <w:sz w:val="21"/>
      <w:szCs w:val="21"/>
    </w:rPr>
  </w:style>
  <w:style w:type="character" w:customStyle="1" w:styleId="13">
    <w:name w:val="页眉 Char"/>
    <w:basedOn w:val="10"/>
    <w:link w:val="5"/>
    <w:qFormat/>
    <w:uiPriority w:val="99"/>
    <w:rPr>
      <w:sz w:val="18"/>
      <w:szCs w:val="18"/>
    </w:rPr>
  </w:style>
  <w:style w:type="character" w:customStyle="1" w:styleId="14">
    <w:name w:val="页脚 Char"/>
    <w:basedOn w:val="10"/>
    <w:link w:val="4"/>
    <w:qFormat/>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10"/>
    <w:link w:val="2"/>
    <w:qFormat/>
    <w:uiPriority w:val="99"/>
    <w:rPr>
      <w:rFonts w:ascii="Calibri" w:hAnsi="Calibri" w:eastAsia="宋体" w:cs="宋体"/>
    </w:rPr>
  </w:style>
  <w:style w:type="character" w:customStyle="1" w:styleId="17">
    <w:name w:val="批注主题 Char"/>
    <w:basedOn w:val="16"/>
    <w:link w:val="7"/>
    <w:semiHidden/>
    <w:qFormat/>
    <w:uiPriority w:val="99"/>
    <w:rPr>
      <w:rFonts w:ascii="Calibri" w:hAnsi="Calibri" w:eastAsia="宋体" w:cs="宋体"/>
      <w:b/>
      <w:bCs/>
    </w:rPr>
  </w:style>
  <w:style w:type="character" w:customStyle="1" w:styleId="18">
    <w:name w:val="批注框文本 Char"/>
    <w:basedOn w:val="10"/>
    <w:link w:val="3"/>
    <w:semiHidden/>
    <w:qFormat/>
    <w:uiPriority w:val="99"/>
    <w:rPr>
      <w:rFonts w:ascii="Calibri" w:hAnsi="Calibri" w:eastAsia="宋体" w:cs="宋体"/>
      <w:sz w:val="18"/>
      <w:szCs w:val="18"/>
    </w:rPr>
  </w:style>
  <w:style w:type="paragraph" w:styleId="19">
    <w:name w:val="List Paragraph"/>
    <w:basedOn w:val="1"/>
    <w:qFormat/>
    <w:uiPriority w:val="34"/>
    <w:pPr>
      <w:ind w:firstLine="420" w:firstLineChars="200"/>
    </w:pPr>
  </w:style>
  <w:style w:type="character" w:customStyle="1" w:styleId="20">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652</Words>
  <Characters>3718</Characters>
  <Lines>30</Lines>
  <Paragraphs>8</Paragraphs>
  <TotalTime>0</TotalTime>
  <ScaleCrop>false</ScaleCrop>
  <LinksUpToDate>false</LinksUpToDate>
  <CharactersWithSpaces>4362</CharactersWithSpaces>
  <Application>WPS Office_6.3.0.8471_F1E327BC-269C-435d-A152-05C5408002CA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2023-10-31T21:04:00Z</dcterms:created>
  <dc:creator>胡骁潇</dc:creator>
  <cp:lastModifiedBy>叫我三米三</cp:lastModifiedBy>
  <dcterms:modified xsi:type="dcterms:W3CDTF">2023-12-04T22:25:55Z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2052-6.3.0.8471</vt:lpwstr>
  </property>
  <property fmtid="{D5CDD505-2E9C-101B-9397-08002B2CF9AE}" pid="3" name="ICV">
    <vt:lpwstr>DCAA966F15694DFBAAE5A22BB81990CC</vt:lpwstr>
  </property>
</Properties>
</file>