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B62F8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570374">
        <w:rPr>
          <w:rFonts w:asciiTheme="minorEastAsia" w:eastAsiaTheme="minorEastAsia" w:hAnsiTheme="minorEastAsia" w:cs="宋体" w:hint="eastAsia"/>
          <w:b/>
          <w:bCs/>
          <w:sz w:val="32"/>
          <w:szCs w:val="32"/>
        </w:rPr>
        <w:t>12</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w:t>
      </w:r>
      <w:proofErr w:type="gramStart"/>
      <w:r w:rsidRPr="00D542D6">
        <w:rPr>
          <w:rFonts w:ascii="宋体" w:hAnsi="宋体" w:cs="宋体" w:hint="eastAsia"/>
          <w:kern w:val="0"/>
        </w:rPr>
        <w:t>丰收信福</w:t>
      </w:r>
      <w:proofErr w:type="gramEnd"/>
      <w:r w:rsidRPr="00D542D6">
        <w:rPr>
          <w:rFonts w:ascii="宋体" w:hAnsi="宋体" w:cs="宋体" w:hint="eastAsia"/>
          <w:kern w:val="0"/>
        </w:rPr>
        <w:t>封闭净值型</w:t>
      </w:r>
      <w:r w:rsidR="00B62F8A">
        <w:rPr>
          <w:rFonts w:ascii="宋体" w:hAnsi="宋体" w:cs="宋体"/>
          <w:kern w:val="0"/>
        </w:rPr>
        <w:t>2024</w:t>
      </w:r>
      <w:r w:rsidRPr="00D542D6">
        <w:rPr>
          <w:rFonts w:ascii="宋体" w:hAnsi="宋体" w:cs="宋体" w:hint="eastAsia"/>
          <w:kern w:val="0"/>
        </w:rPr>
        <w:t>年第</w:t>
      </w:r>
      <w:r w:rsidR="00570374">
        <w:rPr>
          <w:rFonts w:ascii="宋体" w:hAnsi="宋体" w:cs="宋体" w:hint="eastAsia"/>
          <w:kern w:val="0"/>
        </w:rPr>
        <w:t>12</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期限</w:t>
      </w:r>
      <w:r w:rsidR="00570374">
        <w:rPr>
          <w:rFonts w:ascii="宋体" w:hAnsi="宋体" w:cs="宋体" w:hint="eastAsia"/>
          <w:kern w:val="0"/>
        </w:rPr>
        <w:t>358</w:t>
      </w:r>
      <w:r w:rsidRPr="00D542D6">
        <w:rPr>
          <w:rFonts w:asciiTheme="minorEastAsia" w:eastAsiaTheme="minorEastAsia" w:hAnsiTheme="minorEastAsia" w:cs="宋体" w:hint="eastAsia"/>
          <w:kern w:val="0"/>
        </w:rPr>
        <w:t>天</w:t>
      </w:r>
      <w:r>
        <w:rPr>
          <w:rFonts w:asciiTheme="minorEastAsia" w:eastAsiaTheme="minorEastAsia" w:hAnsiTheme="minorEastAsia" w:cs="宋体" w:hint="eastAsia"/>
          <w:kern w:val="0"/>
        </w:rPr>
        <w:t>，</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w:t>
      </w:r>
      <w:r w:rsidRPr="006D3301">
        <w:rPr>
          <w:rFonts w:ascii="宋体" w:hAnsi="宋体" w:cs="宋体" w:hint="eastAsia"/>
          <w:b/>
          <w:bCs/>
        </w:rPr>
        <w:lastRenderedPageBreak/>
        <w:t>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w:t>
      </w:r>
      <w:r w:rsidRPr="006D3301">
        <w:rPr>
          <w:rFonts w:ascii="宋体" w:hAnsi="宋体" w:cs="宋体" w:hint="eastAsia"/>
          <w:b/>
          <w:bCs/>
        </w:rPr>
        <w:lastRenderedPageBreak/>
        <w:t>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w:t>
      </w:r>
      <w:r w:rsidRPr="006D3301">
        <w:rPr>
          <w:rFonts w:ascii="宋体" w:hAnsi="宋体" w:cs="宋体" w:hint="eastAsia"/>
          <w:b/>
          <w:bCs/>
        </w:rPr>
        <w:lastRenderedPageBreak/>
        <w:t>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570374">
        <w:rPr>
          <w:rFonts w:ascii="宋体" w:hAnsi="宋体" w:cs="宋体"/>
          <w:b/>
          <w:bCs/>
        </w:rPr>
        <w:t>1</w:t>
      </w:r>
      <w:r w:rsidRPr="00570374">
        <w:rPr>
          <w:rFonts w:ascii="宋体" w:cs="宋体"/>
          <w:b/>
          <w:bCs/>
        </w:rPr>
        <w:t>0</w:t>
      </w:r>
      <w:r w:rsidRPr="00570374">
        <w:rPr>
          <w:rFonts w:ascii="宋体" w:hAnsi="宋体" w:cs="宋体" w:hint="eastAsia"/>
          <w:b/>
          <w:bCs/>
        </w:rPr>
        <w:t>、管理人、托管人风险</w:t>
      </w:r>
    </w:p>
    <w:p w:rsidR="00D542D6" w:rsidRPr="006D3301" w:rsidRDefault="00510B96" w:rsidP="00D542D6">
      <w:pPr>
        <w:autoSpaceDE w:val="0"/>
        <w:autoSpaceDN w:val="0"/>
        <w:spacing w:line="360" w:lineRule="exact"/>
        <w:ind w:firstLine="420"/>
        <w:rPr>
          <w:rFonts w:asciiTheme="minorEastAsia" w:eastAsiaTheme="minorEastAsia" w:hAnsiTheme="minorEastAsia" w:cs="宋体"/>
          <w:b/>
          <w:bCs/>
        </w:rPr>
      </w:pPr>
      <w:r w:rsidRPr="007C42EA">
        <w:rPr>
          <w:rFonts w:ascii="宋体" w:hAnsi="宋体" w:cs="宋体" w:hint="eastAsia"/>
          <w:b/>
          <w:bCs/>
        </w:rPr>
        <w:t>本产品</w:t>
      </w:r>
      <w:proofErr w:type="gramStart"/>
      <w:r w:rsidRPr="007C42EA">
        <w:rPr>
          <w:rFonts w:ascii="宋体" w:hAnsi="宋体" w:cs="宋体" w:hint="eastAsia"/>
          <w:b/>
          <w:bCs/>
        </w:rPr>
        <w:t>投资由</w:t>
      </w:r>
      <w:r w:rsidRPr="00510B96">
        <w:rPr>
          <w:rFonts w:asciiTheme="minorEastAsia" w:eastAsiaTheme="minorEastAsia" w:hAnsiTheme="minorEastAsia" w:cs="宋体" w:hint="eastAsia"/>
          <w:b/>
          <w:bCs/>
        </w:rPr>
        <w:t>财通</w:t>
      </w:r>
      <w:proofErr w:type="gramEnd"/>
      <w:r w:rsidRPr="00510B96">
        <w:rPr>
          <w:rFonts w:asciiTheme="minorEastAsia" w:eastAsiaTheme="minorEastAsia" w:hAnsiTheme="minorEastAsia" w:cs="宋体" w:hint="eastAsia"/>
          <w:b/>
          <w:bCs/>
        </w:rPr>
        <w:t>证券资产管理有限公司</w:t>
      </w:r>
      <w:r w:rsidRPr="007C42EA">
        <w:rPr>
          <w:rFonts w:ascii="宋体" w:hAnsi="宋体" w:cs="宋体" w:hint="eastAsia"/>
          <w:b/>
          <w:bCs/>
        </w:rPr>
        <w:t>管理的集合资产管理计划，本产品财产托管人为兴业银行杭州分行</w:t>
      </w:r>
      <w:r>
        <w:rPr>
          <w:rFonts w:ascii="宋体" w:hAnsi="宋体" w:cs="宋体" w:hint="eastAsia"/>
          <w:b/>
          <w:bCs/>
        </w:rPr>
        <w:t>。</w:t>
      </w:r>
      <w:r w:rsidRPr="00510B96">
        <w:rPr>
          <w:rFonts w:asciiTheme="minorEastAsia" w:eastAsiaTheme="minorEastAsia" w:hAnsiTheme="minorEastAsia" w:cs="宋体" w:hint="eastAsia"/>
          <w:b/>
          <w:bCs/>
        </w:rPr>
        <w:t>财通证券资产管理</w:t>
      </w:r>
      <w:proofErr w:type="gramStart"/>
      <w:r w:rsidRPr="00510B96">
        <w:rPr>
          <w:rFonts w:asciiTheme="minorEastAsia" w:eastAsiaTheme="minorEastAsia" w:hAnsiTheme="minorEastAsia" w:cs="宋体" w:hint="eastAsia"/>
          <w:b/>
          <w:bCs/>
        </w:rPr>
        <w:t>有限公司系财通</w:t>
      </w:r>
      <w:proofErr w:type="gramEnd"/>
      <w:r w:rsidRPr="00510B96">
        <w:rPr>
          <w:rFonts w:asciiTheme="minorEastAsia" w:eastAsiaTheme="minorEastAsia" w:hAnsiTheme="minorEastAsia" w:cs="宋体" w:hint="eastAsia"/>
          <w:b/>
          <w:bCs/>
        </w:rPr>
        <w:t>证券股份有限公司的全资子公司</w:t>
      </w:r>
      <w:r w:rsidRPr="00DD6AE6">
        <w:rPr>
          <w:rFonts w:asciiTheme="minorEastAsia" w:eastAsiaTheme="minorEastAsia" w:hAnsiTheme="minorEastAsia" w:cs="宋体"/>
          <w:b/>
          <w:bCs/>
        </w:rPr>
        <w:t>，注册资本</w:t>
      </w:r>
      <w:r w:rsidRPr="00510B96">
        <w:rPr>
          <w:rFonts w:asciiTheme="minorEastAsia" w:eastAsiaTheme="minorEastAsia" w:hAnsiTheme="minorEastAsia" w:cs="宋体" w:hint="eastAsia"/>
          <w:b/>
          <w:bCs/>
        </w:rPr>
        <w:t>2亿元人民币</w:t>
      </w:r>
      <w:r w:rsidRPr="00DD6AE6">
        <w:rPr>
          <w:rFonts w:asciiTheme="minorEastAsia" w:eastAsiaTheme="minorEastAsia" w:hAnsiTheme="minorEastAsia" w:cs="宋体" w:hint="eastAsia"/>
          <w:b/>
          <w:bCs/>
        </w:rPr>
        <w:t>。</w:t>
      </w:r>
      <w:r w:rsidRPr="00510B96">
        <w:rPr>
          <w:rFonts w:asciiTheme="minorEastAsia" w:eastAsiaTheme="minorEastAsia" w:hAnsiTheme="minorEastAsia" w:cs="宋体" w:hint="eastAsia"/>
          <w:b/>
          <w:bCs/>
        </w:rPr>
        <w:t>截至2022年末，公司资产管理规模约2400亿元</w:t>
      </w:r>
      <w:r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财</w:t>
      </w:r>
      <w:proofErr w:type="gramStart"/>
      <w:r>
        <w:rPr>
          <w:rFonts w:asciiTheme="minorEastAsia" w:eastAsiaTheme="minorEastAsia" w:hAnsiTheme="minorEastAsia" w:cs="宋体" w:hint="eastAsia"/>
          <w:b/>
          <w:bCs/>
        </w:rPr>
        <w:t>通资管</w:t>
      </w:r>
      <w:r w:rsidRPr="00DD6AE6">
        <w:rPr>
          <w:rFonts w:asciiTheme="minorEastAsia" w:eastAsiaTheme="minorEastAsia" w:hAnsiTheme="minorEastAsia" w:cs="宋体" w:hint="eastAsia"/>
          <w:b/>
          <w:bCs/>
        </w:rPr>
        <w:t>依法</w:t>
      </w:r>
      <w:proofErr w:type="gramEnd"/>
      <w:r w:rsidRPr="00DD6AE6">
        <w:rPr>
          <w:rFonts w:asciiTheme="minorEastAsia" w:eastAsiaTheme="minorEastAsia" w:hAnsiTheme="minorEastAsia" w:cs="宋体" w:hint="eastAsia"/>
          <w:b/>
          <w:bCs/>
        </w:rPr>
        <w:t>承担资产管理计划的销售、登记、备案、信披、管理、运作等职责。兴业银行是全国性股份制银行，是全球著名现代综合金融服务集团，截至2</w:t>
      </w:r>
      <w:r w:rsidRPr="00DD6AE6">
        <w:rPr>
          <w:rFonts w:asciiTheme="minorEastAsia" w:eastAsiaTheme="minorEastAsia" w:hAnsiTheme="minorEastAsia" w:cs="宋体"/>
          <w:b/>
          <w:bCs/>
        </w:rPr>
        <w:t>020</w:t>
      </w:r>
      <w:r w:rsidRPr="00DD6AE6">
        <w:rPr>
          <w:rFonts w:asciiTheme="minorEastAsia" w:eastAsiaTheme="minorEastAsia" w:hAnsiTheme="minorEastAsia" w:cs="宋体" w:hint="eastAsia"/>
          <w:b/>
          <w:bCs/>
        </w:rPr>
        <w:t>年末，资本总额7</w:t>
      </w:r>
      <w:r w:rsidRPr="00DD6AE6">
        <w:rPr>
          <w:rFonts w:asciiTheme="minorEastAsia" w:eastAsiaTheme="minorEastAsia" w:hAnsiTheme="minorEastAsia" w:cs="宋体"/>
          <w:b/>
          <w:bCs/>
        </w:rPr>
        <w:t>637</w:t>
      </w:r>
      <w:r w:rsidRPr="00DD6AE6">
        <w:rPr>
          <w:rFonts w:asciiTheme="minorEastAsia" w:eastAsiaTheme="minorEastAsia" w:hAnsiTheme="minorEastAsia" w:cs="宋体" w:hint="eastAsia"/>
          <w:b/>
          <w:bCs/>
        </w:rPr>
        <w:t>亿元，</w:t>
      </w:r>
      <w:r w:rsidRPr="00DD6AE6">
        <w:rPr>
          <w:rFonts w:asciiTheme="minorEastAsia" w:eastAsiaTheme="minorEastAsia" w:hAnsiTheme="minorEastAsia" w:cs="宋体"/>
          <w:b/>
          <w:bCs/>
        </w:rPr>
        <w:t>资产托管业务规模13</w:t>
      </w:r>
      <w:proofErr w:type="gramStart"/>
      <w:r w:rsidRPr="00DD6AE6">
        <w:rPr>
          <w:rFonts w:asciiTheme="minorEastAsia" w:eastAsiaTheme="minorEastAsia" w:hAnsiTheme="minorEastAsia" w:cs="宋体" w:hint="eastAsia"/>
          <w:b/>
          <w:bCs/>
        </w:rPr>
        <w:t>万亿</w:t>
      </w:r>
      <w:proofErr w:type="gramEnd"/>
      <w:r w:rsidRPr="00DD6AE6">
        <w:rPr>
          <w:rFonts w:asciiTheme="minorEastAsia" w:eastAsiaTheme="minorEastAsia" w:hAnsiTheme="minorEastAsia" w:cs="宋体" w:hint="eastAsia"/>
          <w:b/>
          <w:bCs/>
        </w:rPr>
        <w:t>元。兴业银行杭州分行依法承担安全保管理财产品财产、监督管理人</w:t>
      </w:r>
      <w:r w:rsidRPr="00DD6AE6">
        <w:rPr>
          <w:rFonts w:asciiTheme="minorEastAsia" w:eastAsiaTheme="minorEastAsia" w:hAnsiTheme="minorEastAsia" w:cs="宋体" w:hint="eastAsia"/>
          <w:b/>
          <w:bCs/>
        </w:rPr>
        <w:lastRenderedPageBreak/>
        <w:t>依法合</w:t>
      </w:r>
      <w:proofErr w:type="gramStart"/>
      <w:r w:rsidRPr="00DD6AE6">
        <w:rPr>
          <w:rFonts w:asciiTheme="minorEastAsia" w:eastAsiaTheme="minorEastAsia" w:hAnsiTheme="minorEastAsia" w:cs="宋体" w:hint="eastAsia"/>
          <w:b/>
          <w:bCs/>
        </w:rPr>
        <w:t>规</w:t>
      </w:r>
      <w:proofErr w:type="gramEnd"/>
      <w:r w:rsidRPr="00DD6AE6">
        <w:rPr>
          <w:rFonts w:asciiTheme="minorEastAsia" w:eastAsiaTheme="minorEastAsia" w:hAnsiTheme="minorEastAsia" w:cs="宋体" w:hint="eastAsia"/>
          <w:b/>
          <w:bCs/>
        </w:rPr>
        <w:t>运作、复核产品净值、编制相关定期报告等职责。</w:t>
      </w:r>
      <w:r>
        <w:rPr>
          <w:rFonts w:ascii="宋体" w:hAnsi="宋体" w:cs="宋体" w:hint="eastAsia"/>
          <w:b/>
          <w:bCs/>
        </w:rPr>
        <w:t>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w:t>
      </w:r>
      <w:r w:rsidRPr="006D3301">
        <w:rPr>
          <w:rFonts w:ascii="宋体" w:hAnsi="宋体" w:cs="宋体" w:hint="eastAsia"/>
          <w:b/>
          <w:bCs/>
        </w:rPr>
        <w:lastRenderedPageBreak/>
        <w:t>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9E1CA9" w:rsidRDefault="009E1CA9" w:rsidP="009E1CA9">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9E1CA9" w:rsidRDefault="009E1CA9" w:rsidP="009E1CA9">
      <w:pPr>
        <w:spacing w:line="360" w:lineRule="auto"/>
        <w:jc w:val="center"/>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认购流程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drawing>
          <wp:inline distT="0" distB="0" distL="114300" distR="114300">
            <wp:extent cx="5273675" cy="1852930"/>
            <wp:effectExtent l="0" t="0" r="9525" b="127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2662807230"/>
                    <pic:cNvPicPr>
                      <a:picLocks noChangeAspect="1"/>
                    </pic:cNvPicPr>
                  </pic:nvPicPr>
                  <pic:blipFill>
                    <a:blip r:embed="rId7"/>
                    <a:stretch>
                      <a:fillRect/>
                    </a:stretch>
                  </pic:blipFill>
                  <pic:spPr>
                    <a:xfrm>
                      <a:off x="0" y="0"/>
                      <a:ext cx="5273675" cy="1852930"/>
                    </a:xfrm>
                    <a:prstGeom prst="rect">
                      <a:avLst/>
                    </a:prstGeom>
                  </pic:spPr>
                </pic:pic>
              </a:graphicData>
            </a:graphic>
          </wp:inline>
        </w:drawing>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客户风险测评采用《桐庐农商银行理财客户风险评估问卷》进行，您需回答涉及自身财务状况、投资经验、投资风格、风险承受能力四个方面共</w:t>
      </w:r>
      <w:r>
        <w:rPr>
          <w:rFonts w:asciiTheme="minorEastAsia" w:eastAsiaTheme="minorEastAsia" w:hAnsiTheme="minorEastAsia"/>
        </w:rPr>
        <w:t>11</w:t>
      </w:r>
      <w:r>
        <w:rPr>
          <w:rFonts w:asciiTheme="minorEastAsia" w:eastAsiaTheme="minorEastAsia" w:hAnsiTheme="minorEastAsia" w:hint="eastAsia"/>
        </w:rPr>
        <w:t>小题，得出风险测评结果。</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客户首次认购理财产品前必须在我行网点进行风险测评，有效期</w:t>
      </w:r>
      <w:r>
        <w:rPr>
          <w:rFonts w:asciiTheme="minorEastAsia" w:eastAsiaTheme="minorEastAsia" w:hAnsiTheme="minorEastAsia"/>
        </w:rPr>
        <w:t>1</w:t>
      </w:r>
      <w:r>
        <w:rPr>
          <w:rFonts w:asciiTheme="minorEastAsia" w:eastAsiaTheme="minorEastAsia" w:hAnsiTheme="minorEastAsia" w:hint="eastAsia"/>
        </w:rPr>
        <w:t>年，期间认购理财产品无需再次测评；若</w:t>
      </w:r>
      <w:proofErr w:type="gramStart"/>
      <w:r>
        <w:rPr>
          <w:rFonts w:asciiTheme="minorEastAsia" w:eastAsiaTheme="minorEastAsia" w:hAnsiTheme="minorEastAsia" w:hint="eastAsia"/>
        </w:rPr>
        <w:t>您超过</w:t>
      </w:r>
      <w:r>
        <w:rPr>
          <w:rFonts w:asciiTheme="minorEastAsia" w:eastAsiaTheme="minorEastAsia" w:hAnsiTheme="minorEastAsia"/>
        </w:rPr>
        <w:t>1</w:t>
      </w:r>
      <w:r>
        <w:rPr>
          <w:rFonts w:asciiTheme="minorEastAsia" w:eastAsiaTheme="minorEastAsia" w:hAnsiTheme="minorEastAsia" w:hint="eastAsia"/>
        </w:rPr>
        <w:t>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风险测评评级定义、及各评级与理财产品风险等级的匹配关系详见下表：</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lastRenderedPageBreak/>
        <w:drawing>
          <wp:inline distT="0" distB="0" distL="114300" distR="114300">
            <wp:extent cx="5264150" cy="5232400"/>
            <wp:effectExtent l="0" t="0" r="6350"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2663040418"/>
                    <pic:cNvPicPr>
                      <a:picLocks noChangeAspect="1"/>
                    </pic:cNvPicPr>
                  </pic:nvPicPr>
                  <pic:blipFill>
                    <a:blip r:embed="rId8"/>
                    <a:stretch>
                      <a:fillRect/>
                    </a:stretch>
                  </pic:blipFill>
                  <pic:spPr>
                    <a:xfrm>
                      <a:off x="0" y="0"/>
                      <a:ext cx="5264150" cy="5232400"/>
                    </a:xfrm>
                    <a:prstGeom prst="rect">
                      <a:avLst/>
                    </a:prstGeom>
                  </pic:spPr>
                </pic:pic>
              </a:graphicData>
            </a:graphic>
          </wp:inline>
        </w:drawing>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理财产品收益率、产品终止或提前终止、产品延期、产品清算、产品净值、结构性产品挂钩标的市场表现等信息，我行将在官方网站发布公告，请您及时登录桐庐农商银行网站（</w:t>
      </w:r>
      <w:r>
        <w:rPr>
          <w:rFonts w:asciiTheme="minorEastAsia" w:eastAsiaTheme="minorEastAsia" w:hAnsiTheme="minorEastAsia"/>
        </w:rPr>
        <w:t>http:// www.tlrcbk.com</w:t>
      </w:r>
      <w:r>
        <w:rPr>
          <w:rFonts w:asciiTheme="minorEastAsia" w:eastAsiaTheme="minorEastAsia" w:hAnsiTheme="minorEastAsia" w:hint="eastAsia"/>
        </w:rPr>
        <w:t>），或到桐庐农商银行各营业网点或拨打咨询热线</w:t>
      </w:r>
      <w:r>
        <w:rPr>
          <w:rFonts w:asciiTheme="minorEastAsia" w:eastAsiaTheme="minorEastAsia" w:hAnsiTheme="minorEastAsia"/>
        </w:rPr>
        <w:t>64296596</w:t>
      </w:r>
      <w:r>
        <w:rPr>
          <w:rFonts w:asciiTheme="minorEastAsia" w:eastAsiaTheme="minorEastAsia" w:hAnsiTheme="minorEastAsia" w:hint="eastAsia"/>
        </w:rPr>
        <w:t>进行咨询。</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重大事项披露和披露方式：对于我行认为已经、即将或可能对理财产品的全体投资者利益有重大影响的事项，桐庐农商银行将在</w:t>
      </w:r>
      <w:r>
        <w:rPr>
          <w:rFonts w:asciiTheme="minorEastAsia" w:eastAsiaTheme="minorEastAsia" w:hAnsiTheme="minorEastAsia"/>
        </w:rPr>
        <w:t>3</w:t>
      </w:r>
      <w:r>
        <w:rPr>
          <w:rFonts w:asciiTheme="minorEastAsia" w:eastAsiaTheme="minorEastAsia" w:hAnsiTheme="minorEastAsia" w:hint="eastAsia"/>
        </w:rPr>
        <w:t>个工作日内，通过官方网站或</w:t>
      </w:r>
      <w:r>
        <w:rPr>
          <w:rFonts w:asciiTheme="minorEastAsia" w:eastAsiaTheme="minorEastAsia" w:hAnsiTheme="minorEastAsia"/>
        </w:rPr>
        <w:t>/</w:t>
      </w:r>
      <w:r>
        <w:rPr>
          <w:rFonts w:asciiTheme="minorEastAsia" w:eastAsiaTheme="minorEastAsia" w:hAnsiTheme="minorEastAsia" w:hint="eastAsia"/>
        </w:rPr>
        <w:t>及银行认为适当的其他方式进行公告。</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特殊事项披露和披露方式：若遇需要单独告知或确认的特殊事项，我行将通过您的预留联系方式进行告知或确认。您预留在桐庐农商银行的有效联系方式变更的，应及时到我行营业柜台办理信息更新。</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lastRenderedPageBreak/>
        <w:t>若您在理财产品办理中有任何的疑问或不满，可拨打我行理财业务投诉热线</w:t>
      </w:r>
      <w:r>
        <w:rPr>
          <w:rFonts w:asciiTheme="minorEastAsia" w:eastAsiaTheme="minorEastAsia" w:hAnsiTheme="minorEastAsia"/>
        </w:rPr>
        <w:t>64296596</w:t>
      </w:r>
      <w:r>
        <w:rPr>
          <w:rFonts w:asciiTheme="minorEastAsia" w:eastAsiaTheme="minorEastAsia" w:hAnsiTheme="minorEastAsia" w:hint="eastAsia"/>
        </w:rPr>
        <w:t>进行咨询或投诉；或就近咨询桐庐农商银行网点理财经理。</w:t>
      </w:r>
      <w:bookmarkStart w:id="0" w:name="_GoBack"/>
      <w:bookmarkEnd w:id="0"/>
    </w:p>
    <w:p w:rsidR="009E1CA9" w:rsidRDefault="009E1CA9" w:rsidP="009E1CA9"/>
    <w:p w:rsidR="00A876E4" w:rsidRPr="009E1CA9" w:rsidRDefault="00A876E4" w:rsidP="00A876E4">
      <w:pPr>
        <w:spacing w:line="360" w:lineRule="auto"/>
        <w:rPr>
          <w:rFonts w:asciiTheme="minorEastAsia" w:eastAsiaTheme="minorEastAsia" w:hAnsiTheme="minorEastAsia"/>
        </w:rPr>
      </w:pPr>
    </w:p>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3A485E">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6BEF" w:rsidRDefault="00366BEF" w:rsidP="00E750E6">
      <w:r>
        <w:separator/>
      </w:r>
    </w:p>
  </w:endnote>
  <w:endnote w:type="continuationSeparator" w:id="1">
    <w:p w:rsidR="00366BEF" w:rsidRDefault="00366BEF"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077742"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077742"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3A485E">
      <w:rPr>
        <w:rStyle w:val="a6"/>
        <w:noProof/>
      </w:rPr>
      <w:t>14</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6BEF" w:rsidRDefault="00366BEF" w:rsidP="00E750E6">
      <w:r>
        <w:separator/>
      </w:r>
    </w:p>
  </w:footnote>
  <w:footnote w:type="continuationSeparator" w:id="1">
    <w:p w:rsidR="00366BEF" w:rsidRDefault="00366BEF"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77742"/>
    <w:rsid w:val="000E0D13"/>
    <w:rsid w:val="00117B1F"/>
    <w:rsid w:val="00121F34"/>
    <w:rsid w:val="00123B38"/>
    <w:rsid w:val="0012695E"/>
    <w:rsid w:val="00134FA3"/>
    <w:rsid w:val="0014427A"/>
    <w:rsid w:val="00152169"/>
    <w:rsid w:val="001618BE"/>
    <w:rsid w:val="001C2275"/>
    <w:rsid w:val="001C4F70"/>
    <w:rsid w:val="001C6DE5"/>
    <w:rsid w:val="001E0CC6"/>
    <w:rsid w:val="001E3C4D"/>
    <w:rsid w:val="00220213"/>
    <w:rsid w:val="0022402E"/>
    <w:rsid w:val="00234722"/>
    <w:rsid w:val="0026379D"/>
    <w:rsid w:val="002A2D56"/>
    <w:rsid w:val="002B63D7"/>
    <w:rsid w:val="002E0194"/>
    <w:rsid w:val="002F150B"/>
    <w:rsid w:val="002F1B1B"/>
    <w:rsid w:val="002F6C77"/>
    <w:rsid w:val="00301795"/>
    <w:rsid w:val="0032779B"/>
    <w:rsid w:val="00366BEF"/>
    <w:rsid w:val="00386ACF"/>
    <w:rsid w:val="003A485E"/>
    <w:rsid w:val="003C761D"/>
    <w:rsid w:val="003F16FF"/>
    <w:rsid w:val="003F23CD"/>
    <w:rsid w:val="003F7E23"/>
    <w:rsid w:val="0046650F"/>
    <w:rsid w:val="00496C69"/>
    <w:rsid w:val="004A41B7"/>
    <w:rsid w:val="004F4450"/>
    <w:rsid w:val="00510B96"/>
    <w:rsid w:val="00511AA1"/>
    <w:rsid w:val="00536AE4"/>
    <w:rsid w:val="00563A8A"/>
    <w:rsid w:val="00570374"/>
    <w:rsid w:val="00583F97"/>
    <w:rsid w:val="005926B2"/>
    <w:rsid w:val="005B353E"/>
    <w:rsid w:val="005E457B"/>
    <w:rsid w:val="006077EE"/>
    <w:rsid w:val="00624350"/>
    <w:rsid w:val="00630B76"/>
    <w:rsid w:val="00637E54"/>
    <w:rsid w:val="00687F54"/>
    <w:rsid w:val="006A11F8"/>
    <w:rsid w:val="006A3F49"/>
    <w:rsid w:val="006B073A"/>
    <w:rsid w:val="006C48E5"/>
    <w:rsid w:val="006E0334"/>
    <w:rsid w:val="006F24F1"/>
    <w:rsid w:val="00702C08"/>
    <w:rsid w:val="0070614B"/>
    <w:rsid w:val="007D403D"/>
    <w:rsid w:val="007E2C65"/>
    <w:rsid w:val="007F7588"/>
    <w:rsid w:val="00800EA5"/>
    <w:rsid w:val="0085029D"/>
    <w:rsid w:val="00857FC9"/>
    <w:rsid w:val="008622B0"/>
    <w:rsid w:val="008D03B5"/>
    <w:rsid w:val="008D3435"/>
    <w:rsid w:val="008E0336"/>
    <w:rsid w:val="00910331"/>
    <w:rsid w:val="009271A1"/>
    <w:rsid w:val="00933042"/>
    <w:rsid w:val="00935323"/>
    <w:rsid w:val="00935C4D"/>
    <w:rsid w:val="009377B5"/>
    <w:rsid w:val="00940287"/>
    <w:rsid w:val="009711F6"/>
    <w:rsid w:val="009C4FA0"/>
    <w:rsid w:val="009E1CA9"/>
    <w:rsid w:val="009F3020"/>
    <w:rsid w:val="00A330E5"/>
    <w:rsid w:val="00A53439"/>
    <w:rsid w:val="00A83BE1"/>
    <w:rsid w:val="00A876E4"/>
    <w:rsid w:val="00A90718"/>
    <w:rsid w:val="00AA0FE6"/>
    <w:rsid w:val="00AB069D"/>
    <w:rsid w:val="00AC7AA8"/>
    <w:rsid w:val="00B1073E"/>
    <w:rsid w:val="00B13AE5"/>
    <w:rsid w:val="00B62F8A"/>
    <w:rsid w:val="00B6623C"/>
    <w:rsid w:val="00B76C90"/>
    <w:rsid w:val="00BC7B79"/>
    <w:rsid w:val="00BF0291"/>
    <w:rsid w:val="00BF2DDD"/>
    <w:rsid w:val="00BF5104"/>
    <w:rsid w:val="00BF73F7"/>
    <w:rsid w:val="00C13CBD"/>
    <w:rsid w:val="00C3443A"/>
    <w:rsid w:val="00C4692A"/>
    <w:rsid w:val="00C61E48"/>
    <w:rsid w:val="00C76793"/>
    <w:rsid w:val="00C92C4D"/>
    <w:rsid w:val="00C95B95"/>
    <w:rsid w:val="00CB711A"/>
    <w:rsid w:val="00CD7D37"/>
    <w:rsid w:val="00CF2F79"/>
    <w:rsid w:val="00D10B09"/>
    <w:rsid w:val="00D1167D"/>
    <w:rsid w:val="00D53EBC"/>
    <w:rsid w:val="00D542D6"/>
    <w:rsid w:val="00D801A1"/>
    <w:rsid w:val="00DC34B8"/>
    <w:rsid w:val="00DD246B"/>
    <w:rsid w:val="00E01CDA"/>
    <w:rsid w:val="00E0768F"/>
    <w:rsid w:val="00E328FA"/>
    <w:rsid w:val="00E55EE8"/>
    <w:rsid w:val="00E62613"/>
    <w:rsid w:val="00E64D2D"/>
    <w:rsid w:val="00E6550D"/>
    <w:rsid w:val="00E7377E"/>
    <w:rsid w:val="00E750E6"/>
    <w:rsid w:val="00EC197D"/>
    <w:rsid w:val="00ED4224"/>
    <w:rsid w:val="00F04FF7"/>
    <w:rsid w:val="00F20A60"/>
    <w:rsid w:val="00F75699"/>
    <w:rsid w:val="00F92CE8"/>
    <w:rsid w:val="00F96340"/>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14</Pages>
  <Words>1830</Words>
  <Characters>10431</Characters>
  <Application>Microsoft Office Word</Application>
  <DocSecurity>0</DocSecurity>
  <Lines>86</Lines>
  <Paragraphs>24</Paragraphs>
  <ScaleCrop>false</ScaleCrop>
  <Company>hh</Company>
  <LinksUpToDate>false</LinksUpToDate>
  <CharactersWithSpaces>12237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50</cp:revision>
  <cp:lastPrinted>2019-07-05T00:32:00Z</cp:lastPrinted>
  <dcterms:created xsi:type="dcterms:W3CDTF">2016-06-14T08:24:00Z</dcterms:created>
  <dcterms:modified xsi:type="dcterms:W3CDTF">2024-02-23T08:16:00Z</dcterms:modified>
</cp:coreProperties>
</file>