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ind w:left="-821" w:leftChars="-342" w:right="-792" w:rightChars="-330"/>
        <w:jc w:val="center"/>
        <w:rPr>
          <w:rFonts w:ascii="黑体" w:hAnsi="楷体_GB2312" w:eastAsia="黑体" w:cs="黑体"/>
          <w:b/>
          <w:bCs/>
          <w:color w:val="000000" w:themeColor="text1"/>
          <w14:textFill>
            <w14:solidFill>
              <w14:schemeClr w14:val="tx1"/>
            </w14:solidFill>
          </w14:textFill>
        </w:rPr>
      </w:pPr>
      <w:r>
        <w:rPr>
          <w:rFonts w:hint="eastAsia" w:ascii="黑体" w:hAnsi="楷体_GB2312" w:eastAsia="黑体" w:cs="黑体"/>
          <w:b/>
          <w:bCs/>
          <w:color w:val="000000" w:themeColor="text1"/>
          <w14:textFill>
            <w14:solidFill>
              <w14:schemeClr w14:val="tx1"/>
            </w14:solidFill>
          </w14:textFill>
        </w:rPr>
        <w:t>信银理财理财产品风险揭示书</w:t>
      </w:r>
    </w:p>
    <w:p>
      <w:pPr>
        <w:spacing w:line="300" w:lineRule="exact"/>
        <w:ind w:left="-821" w:leftChars="-342" w:right="-792" w:rightChars="-330"/>
        <w:jc w:val="center"/>
        <w:rPr>
          <w:rFonts w:ascii="楷体_GB2312" w:eastAsia="楷体_GB2312"/>
          <w:color w:val="000000" w:themeColor="text1"/>
          <w14:textFill>
            <w14:solidFill>
              <w14:schemeClr w14:val="tx1"/>
            </w14:solidFill>
          </w14:textFill>
        </w:rPr>
      </w:pPr>
      <w:r>
        <w:rPr>
          <w:rFonts w:ascii="黑体" w:eastAsia="黑体"/>
          <w:b/>
          <w:bCs/>
          <w:color w:val="000000" w:themeColor="text1"/>
          <w14:textFill>
            <w14:solidFill>
              <w14:schemeClr w14:val="tx1"/>
            </w14:solidFill>
          </w14:textFill>
        </w:rPr>
        <w:t> </w:t>
      </w:r>
    </w:p>
    <w:p>
      <w:pPr>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尊敬的客户：</w:t>
      </w:r>
      <w:r>
        <w:rPr>
          <w:rFonts w:ascii="楷体_GB2312" w:hAnsi="Arial" w:eastAsia="楷体_GB2312" w:cs="楷体_GB2312"/>
          <w:color w:val="000000" w:themeColor="text1"/>
          <w14:textFill>
            <w14:solidFill>
              <w14:schemeClr w14:val="tx1"/>
            </w14:solidFill>
          </w14:textFill>
        </w:rPr>
        <w:t xml:space="preserve"> </w:t>
      </w:r>
    </w:p>
    <w:p>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hint="eastAsia" w:ascii="楷体_GB2312" w:hAnsi="Arial" w:eastAsia="楷体_GB2312" w:cs="楷体_GB2312"/>
          <w:b/>
          <w:color w:val="000000" w:themeColor="text1"/>
          <w14:textFill>
            <w14:solidFill>
              <w14:schemeClr w14:val="tx1"/>
            </w14:solidFill>
          </w14:textFill>
        </w:rPr>
        <w:t>理财本金全部损失风险</w:t>
      </w:r>
      <w:r>
        <w:rPr>
          <w:rFonts w:ascii="楷体_GB2312" w:hAnsi="Arial" w:eastAsia="楷体_GB2312" w:cs="楷体_GB2312"/>
          <w:b/>
          <w:color w:val="000000" w:themeColor="text1"/>
          <w14:textFill>
            <w14:solidFill>
              <w14:schemeClr w14:val="tx1"/>
            </w14:solidFill>
          </w14:textFill>
        </w:rPr>
        <w:t>、合作销售机构</w:t>
      </w:r>
      <w:r>
        <w:rPr>
          <w:rFonts w:hint="eastAsia" w:ascii="楷体_GB2312" w:hAnsi="Arial" w:eastAsia="楷体_GB2312" w:cs="楷体_GB2312"/>
          <w:b/>
          <w:color w:val="000000" w:themeColor="text1"/>
          <w14:textFill>
            <w14:solidFill>
              <w14:schemeClr w14:val="tx1"/>
            </w14:solidFill>
          </w14:textFill>
        </w:rPr>
        <w:t>（代销机构）</w:t>
      </w:r>
      <w:r>
        <w:rPr>
          <w:rFonts w:ascii="楷体_GB2312" w:hAnsi="Arial" w:eastAsia="楷体_GB2312" w:cs="楷体_GB2312"/>
          <w:b/>
          <w:color w:val="000000" w:themeColor="text1"/>
          <w14:textFill>
            <w14:solidFill>
              <w14:schemeClr w14:val="tx1"/>
            </w14:solidFill>
          </w14:textFill>
        </w:rPr>
        <w:t>风险、操作风险</w:t>
      </w:r>
      <w:r>
        <w:rPr>
          <w:rFonts w:hint="eastAsia" w:ascii="楷体_GB2312" w:hAnsi="Arial" w:eastAsia="楷体_GB2312" w:cs="楷体_GB2312"/>
          <w:b/>
          <w:color w:val="000000" w:themeColor="text1"/>
          <w14:textFill>
            <w14:solidFill>
              <w14:schemeClr w14:val="tx1"/>
            </w14:solidFill>
          </w14:textFill>
        </w:rPr>
        <w:t>、关联交易风险</w:t>
      </w:r>
      <w:r>
        <w:rPr>
          <w:rFonts w:ascii="楷体_GB2312" w:hAnsi="Arial" w:eastAsia="楷体_GB2312" w:cs="楷体_GB2312"/>
          <w:b/>
          <w:color w:val="000000" w:themeColor="text1"/>
          <w14:textFill>
            <w14:solidFill>
              <w14:schemeClr w14:val="tx1"/>
            </w14:solidFill>
          </w14:textFill>
        </w:rPr>
        <w:t>等风险。具体风险的含义，请您认真阅读本理财产品说明书中相应的风险揭示部分。</w:t>
      </w:r>
    </w:p>
    <w:p>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14:textFill>
            <w14:solidFill>
              <w14:schemeClr w14:val="tx1"/>
            </w14:solidFill>
          </w14:textFill>
        </w:rPr>
        <w:t>。</w:t>
      </w:r>
    </w:p>
    <w:p>
      <w:pPr>
        <w:ind w:firstLine="480" w:firstLineChars="200"/>
        <w:jc w:val="both"/>
        <w:rPr>
          <w:rFonts w:ascii="楷体_GB2312" w:eastAsia="楷体_GB2312"/>
          <w:color w:val="000000" w:themeColor="text1"/>
          <w14:textFill>
            <w14:solidFill>
              <w14:schemeClr w14:val="tx1"/>
            </w14:solidFill>
          </w14:textFill>
        </w:rPr>
      </w:pPr>
    </w:p>
    <w:p>
      <w:pPr>
        <w:ind w:firstLine="480" w:firstLineChars="200"/>
        <w:jc w:val="both"/>
        <w:rPr>
          <w:rFonts w:ascii="楷体_GB2312" w:hAnsi="Arial" w:eastAsia="楷体_GB2312" w:cs="楷体_GB2312"/>
          <w:color w:val="000000"/>
        </w:rPr>
      </w:pPr>
      <w:r>
        <w:rPr>
          <w:rFonts w:hint="eastAsia" w:ascii="Arial" w:hAnsi="Arial" w:eastAsia="楷体_GB2312" w:cs="楷体_GB2312"/>
          <w:color w:val="000000" w:themeColor="text1"/>
          <w14:textFill>
            <w14:solidFill>
              <w14:schemeClr w14:val="tx1"/>
            </w14:solidFill>
          </w14:textFill>
        </w:rPr>
        <w:t>本理财产品名称为</w:t>
      </w:r>
      <w:r>
        <w:rPr>
          <w:rFonts w:hint="eastAsia" w:ascii="楷体_GB2312" w:hAnsi="楷体_GB2312" w:eastAsia="楷体_GB2312" w:cs="楷体_GB2312"/>
          <w:b/>
          <w:bCs/>
          <w:color w:val="000000" w:themeColor="text1"/>
          <w14:textFill>
            <w14:solidFill>
              <w14:schemeClr w14:val="tx1"/>
            </w14:solidFill>
          </w14:textFill>
        </w:rPr>
        <w:t>【</w:t>
      </w:r>
      <w:r>
        <w:rPr>
          <w:rFonts w:hint="eastAsia" w:ascii="楷体_GB2312" w:hAnsi="楷体_GB2312" w:eastAsia="楷体_GB2312" w:cs="楷体_GB2312"/>
          <w:b/>
          <w:bCs/>
          <w:color w:val="000000"/>
        </w:rPr>
        <w:t>信银理财安盈象固收稳健丰收封闭式23号理财产品</w:t>
      </w:r>
      <w:r>
        <w:rPr>
          <w:rFonts w:ascii="楷体_GB2312" w:hAnsi="楷体_GB2312" w:eastAsia="楷体_GB2312" w:cs="楷体_GB2312"/>
          <w:b/>
          <w:bCs/>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，产品代码为【</w:t>
      </w:r>
      <w:r>
        <w:rPr>
          <w:rFonts w:ascii="楷体_GB2312" w:hAnsi="Arial" w:eastAsia="楷体_GB2312" w:cs="楷体_GB2312"/>
          <w:color w:val="000000"/>
        </w:rPr>
        <w:t>AF245300</w:t>
      </w:r>
      <w:r>
        <w:rPr>
          <w:rFonts w:hint="eastAsia" w:ascii="楷体_GB2312" w:hAnsi="Arial" w:eastAsia="楷体_GB2312" w:cs="楷体_GB2312"/>
          <w:color w:val="000000" w:themeColor="text1"/>
          <w14:textFill>
            <w14:solidFill>
              <w14:schemeClr w14:val="tx1"/>
            </w14:solidFill>
          </w14:textFill>
        </w:rPr>
        <w:t>】，类型为公募、【固定收益类</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、封闭式产品，期限为【279】天，</w:t>
      </w:r>
      <w:r>
        <w:rPr>
          <w:rFonts w:hint="eastAsia" w:ascii="楷体_GB2312" w:hAnsi="Arial" w:eastAsia="楷体_GB2312" w:cs="楷体_GB2312"/>
          <w:color w:val="000000"/>
        </w:rPr>
        <w:t>风险评级为【</w:t>
      </w:r>
      <w:r>
        <w:rPr>
          <w:rFonts w:hint="eastAsia" w:ascii="楷体_GB2312" w:hAnsi="Arial" w:eastAsia="楷体_GB2312" w:cs="楷体_GB2312"/>
        </w:rPr>
        <w:t>PR</w:t>
      </w:r>
      <w:r>
        <w:rPr>
          <w:rFonts w:ascii="楷体_GB2312" w:hAnsi="Arial" w:eastAsia="楷体_GB2312" w:cs="楷体_GB2312"/>
        </w:rPr>
        <w:t>2</w:t>
      </w:r>
      <w:r>
        <w:rPr>
          <w:rFonts w:hint="eastAsia" w:ascii="楷体_GB2312" w:hAnsi="Arial" w:eastAsia="楷体_GB2312" w:cs="楷体_GB2312"/>
          <w:color w:val="000000"/>
        </w:rPr>
        <w:t>】，适合购买客户为风险承受能力为 【</w:t>
      </w:r>
      <w:r>
        <w:rPr>
          <w:rFonts w:hint="eastAsia" w:ascii="楷体_GB2312" w:hAnsi="Arial" w:eastAsia="楷体_GB2312" w:cs="楷体_GB2312"/>
        </w:rPr>
        <w:t>稳健型</w:t>
      </w:r>
      <w:r>
        <w:rPr>
          <w:rFonts w:hint="eastAsia" w:ascii="楷体_GB2312" w:hAnsi="Arial" w:eastAsia="楷体_GB2312" w:cs="楷体_GB2312"/>
          <w:color w:val="000000"/>
        </w:rPr>
        <w:t>】</w:t>
      </w:r>
      <w:r>
        <w:rPr>
          <w:rFonts w:ascii="楷体_GB2312" w:hAnsi="Arial" w:eastAsia="楷体_GB2312" w:cs="楷体_GB2312"/>
          <w:color w:val="000000"/>
        </w:rPr>
        <w:t xml:space="preserve"> </w:t>
      </w:r>
      <w:r>
        <w:rPr>
          <w:rFonts w:hint="eastAsia" w:ascii="楷体_GB2312" w:hAnsi="Arial" w:eastAsia="楷体_GB2312" w:cs="楷体_GB2312"/>
          <w:color w:val="000000"/>
        </w:rPr>
        <w:t>及以上的客户。【</w:t>
      </w:r>
      <w:r>
        <w:rPr>
          <w:rFonts w:hint="eastAsia" w:ascii="楷体_GB2312" w:hAnsi="Arial" w:eastAsia="楷体_GB2312"/>
          <w:color w:val="000000"/>
        </w:rPr>
        <w:t>固定收益类产品仅是按照投资性质分类，并非指收益固定或保本。】</w:t>
      </w:r>
    </w:p>
    <w:p>
      <w:pPr>
        <w:ind w:firstLine="480" w:firstLineChars="200"/>
        <w:jc w:val="both"/>
        <w:rPr>
          <w:rFonts w:ascii="楷体_GB2312" w:hAnsi="Arial" w:eastAsia="楷体_GB2312" w:cs="楷体_GB2312"/>
          <w:color w:val="000000" w:themeColor="text1"/>
          <w14:textFill>
            <w14:solidFill>
              <w14:schemeClr w14:val="tx1"/>
            </w14:solidFill>
          </w14:textFill>
        </w:rPr>
      </w:pPr>
    </w:p>
    <w:p>
      <w:pPr>
        <w:ind w:firstLine="480" w:firstLineChars="200"/>
        <w:jc w:val="both"/>
        <w:rPr>
          <w:rFonts w:ascii="楷体_GB2312" w:hAnsi="Arial" w:eastAsia="楷体_GB2312"/>
          <w:color w:val="000000" w:themeColor="text1"/>
          <w14:textFill>
            <w14:solidFill>
              <w14:schemeClr w14:val="tx1"/>
            </w14:solidFill>
          </w14:textFill>
        </w:rPr>
      </w:pPr>
      <w:r>
        <w:rPr>
          <w:rFonts w:hint="eastAsia" w:ascii="黑体" w:hAnsi="Times New Roman" w:eastAsia="黑体" w:cs="黑体"/>
          <w:color w:val="000000" w:themeColor="text1"/>
          <w14:textFill>
            <w14:solidFill>
              <w14:schemeClr w14:val="tx1"/>
            </w14:solidFill>
          </w14:textFill>
        </w:rPr>
        <w:t>重要提示</w:t>
      </w:r>
      <w:r>
        <w:rPr>
          <w:rFonts w:hint="eastAsia" w:ascii="楷体_GB2312" w:hAnsi="Arial" w:eastAsia="楷体_GB2312" w:cs="楷体_GB2312"/>
          <w:color w:val="000000" w:themeColor="text1"/>
          <w14:textFill>
            <w14:solidFill>
              <w14:schemeClr w14:val="tx1"/>
            </w14:solidFill>
          </w14:textFill>
        </w:rPr>
        <w:t>：信银理财</w:t>
      </w:r>
      <w:r>
        <w:rPr>
          <w:rFonts w:ascii="楷体_GB2312" w:hAnsi="Arial" w:eastAsia="楷体_GB2312" w:cs="楷体_GB2312"/>
          <w:color w:val="000000" w:themeColor="text1"/>
          <w14:textFill>
            <w14:solidFill>
              <w14:schemeClr w14:val="tx1"/>
            </w14:solidFill>
          </w14:textFill>
        </w:rPr>
        <w:t>作为本理财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管理人承诺以诚实守信、</w:t>
      </w:r>
      <w:r>
        <w:rPr>
          <w:rFonts w:hint="eastAsia" w:ascii="楷体_GB2312" w:hAnsi="Arial" w:eastAsia="楷体_GB2312" w:cs="楷体_GB2312"/>
          <w:color w:val="000000" w:themeColor="text1"/>
          <w14:textFill>
            <w14:solidFill>
              <w14:schemeClr w14:val="tx1"/>
            </w14:solidFill>
          </w14:textFill>
        </w:rPr>
        <w:t>勤勉</w:t>
      </w:r>
      <w:r>
        <w:rPr>
          <w:rFonts w:ascii="楷体_GB2312" w:hAnsi="Arial" w:eastAsia="楷体_GB2312" w:cs="楷体_GB2312"/>
          <w:color w:val="000000" w:themeColor="text1"/>
          <w14:textFill>
            <w14:solidFill>
              <w14:schemeClr w14:val="tx1"/>
            </w14:solidFill>
          </w14:textFill>
        </w:rPr>
        <w:t>尽职的原则管理和运用理财产品</w:t>
      </w:r>
      <w:r>
        <w:rPr>
          <w:rFonts w:hint="eastAsia" w:ascii="楷体_GB2312" w:hAnsi="Arial" w:eastAsia="楷体_GB2312" w:cs="楷体_GB2312"/>
          <w:color w:val="000000" w:themeColor="text1"/>
          <w14:textFill>
            <w14:solidFill>
              <w14:schemeClr w14:val="tx1"/>
            </w14:solidFill>
          </w14:textFill>
        </w:rPr>
        <w:t>资金</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但</w:t>
      </w:r>
      <w:r>
        <w:rPr>
          <w:rFonts w:ascii="楷体_GB2312" w:hAnsi="Arial" w:eastAsia="楷体_GB2312" w:cs="楷体_GB2312"/>
          <w:b/>
          <w:color w:val="000000" w:themeColor="text1"/>
          <w14:textFill>
            <w14:solidFill>
              <w14:schemeClr w14:val="tx1"/>
            </w14:solidFill>
          </w14:textFill>
        </w:rPr>
        <w:t>不保证</w:t>
      </w:r>
      <w:r>
        <w:rPr>
          <w:rFonts w:hint="eastAsia" w:ascii="楷体_GB2312" w:hAnsi="Arial" w:eastAsia="楷体_GB2312" w:cs="楷体_GB2312"/>
          <w:b/>
          <w:color w:val="000000" w:themeColor="text1"/>
          <w14:textFill>
            <w14:solidFill>
              <w14:schemeClr w14:val="tx1"/>
            </w14:solidFill>
          </w14:textFill>
        </w:rPr>
        <w:t>本金和</w:t>
      </w:r>
      <w:r>
        <w:rPr>
          <w:rFonts w:ascii="楷体_GB2312" w:hAnsi="Arial" w:eastAsia="楷体_GB2312" w:cs="楷体_GB2312"/>
          <w:b/>
          <w:color w:val="000000" w:themeColor="text1"/>
          <w14:textFill>
            <w14:solidFill>
              <w14:schemeClr w14:val="tx1"/>
            </w14:solidFill>
          </w14:textFill>
        </w:rPr>
        <w:t>收益，您可能因市场变动</w:t>
      </w:r>
      <w:r>
        <w:rPr>
          <w:rFonts w:hint="eastAsia" w:ascii="楷体_GB2312" w:hAnsi="Arial" w:eastAsia="楷体_GB2312" w:cs="楷体_GB2312"/>
          <w:b/>
          <w:color w:val="000000" w:themeColor="text1"/>
          <w14:textFill>
            <w14:solidFill>
              <w14:schemeClr w14:val="tx1"/>
            </w14:solidFill>
          </w14:textFill>
        </w:rPr>
        <w:t>而</w:t>
      </w:r>
      <w:r>
        <w:rPr>
          <w:rFonts w:ascii="楷体_GB2312" w:hAnsi="Arial" w:eastAsia="楷体_GB2312" w:cs="楷体_GB2312"/>
          <w:b/>
          <w:color w:val="000000" w:themeColor="text1"/>
          <w14:textFill>
            <w14:solidFill>
              <w14:schemeClr w14:val="tx1"/>
            </w14:solidFill>
          </w14:textFill>
        </w:rPr>
        <w:t>损失全部本金</w:t>
      </w:r>
      <w:r>
        <w:rPr>
          <w:rFonts w:hint="eastAsia" w:ascii="楷体_GB2312" w:hAnsi="Arial" w:eastAsia="楷体_GB2312" w:cs="楷体_GB2312"/>
          <w:b/>
          <w:color w:val="000000" w:themeColor="text1"/>
          <w14:textFill>
            <w14:solidFill>
              <w14:schemeClr w14:val="tx1"/>
            </w14:solidFill>
          </w14:textFill>
        </w:rPr>
        <w:t>且</w:t>
      </w:r>
      <w:r>
        <w:rPr>
          <w:rFonts w:ascii="楷体_GB2312" w:hAnsi="Arial" w:eastAsia="楷体_GB2312" w:cs="楷体_GB2312"/>
          <w:b/>
          <w:color w:val="000000" w:themeColor="text1"/>
          <w14:textFill>
            <w14:solidFill>
              <w14:schemeClr w14:val="tx1"/>
            </w14:solidFill>
          </w14:textFill>
        </w:rPr>
        <w:t>无法取得任何收益</w:t>
      </w:r>
      <w:r>
        <w:rPr>
          <w:rFonts w:hint="eastAsia" w:ascii="楷体_GB2312" w:hAnsi="Arial" w:eastAsia="楷体_GB2312" w:cs="楷体_GB2312"/>
          <w:color w:val="000000" w:themeColor="text1"/>
          <w14:textFill>
            <w14:solidFill>
              <w14:schemeClr w14:val="tx1"/>
            </w14:solidFill>
          </w14:textFill>
        </w:rPr>
        <w:t>。</w:t>
      </w:r>
      <w:r>
        <w:rPr>
          <w:rFonts w:hint="eastAsia" w:ascii="楷体" w:hAnsi="楷体" w:eastAsia="楷体"/>
          <w:b/>
        </w:rPr>
        <w:t>理财产品过往业绩不代表其未来表现，不等于理财产品实际收益，投资须谨慎。</w:t>
      </w:r>
      <w:r>
        <w:rPr>
          <w:rFonts w:ascii="楷体_GB2312" w:hAnsi="Arial" w:eastAsia="楷体_GB2312" w:cs="楷体_GB2312"/>
          <w:color w:val="000000" w:themeColor="text1"/>
          <w14:textFill>
            <w14:solidFill>
              <w14:schemeClr w14:val="tx1"/>
            </w14:solidFill>
          </w14:textFill>
        </w:rPr>
        <w:t>信银理财</w:t>
      </w:r>
      <w:r>
        <w:rPr>
          <w:rFonts w:hint="eastAsia" w:ascii="楷体_GB2312" w:hAnsi="Arial" w:eastAsia="楷体_GB2312" w:cs="楷体_GB2312"/>
          <w:color w:val="000000" w:themeColor="text1"/>
          <w14:textFill>
            <w14:solidFill>
              <w14:schemeClr w14:val="tx1"/>
            </w14:solidFill>
          </w14:textFill>
        </w:rPr>
        <w:t>提醒您</w:t>
      </w:r>
      <w:r>
        <w:rPr>
          <w:rFonts w:ascii="楷体_GB2312" w:hAnsi="Arial" w:eastAsia="楷体_GB2312" w:cs="楷体_GB2312"/>
          <w:color w:val="000000" w:themeColor="text1"/>
          <w14:textFill>
            <w14:solidFill>
              <w14:schemeClr w14:val="tx1"/>
            </w14:solidFill>
          </w14:textFill>
        </w:rPr>
        <w:t>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投资</w:t>
      </w:r>
      <w:r>
        <w:rPr>
          <w:rFonts w:hint="eastAsia" w:ascii="楷体_GB2312" w:hAnsi="Arial" w:eastAsia="楷体_GB2312" w:cs="楷体_GB2312"/>
          <w:color w:val="000000" w:themeColor="text1"/>
          <w14:textFill>
            <w14:solidFill>
              <w14:schemeClr w14:val="tx1"/>
            </w14:solidFill>
          </w14:textFill>
        </w:rPr>
        <w:t>风险</w:t>
      </w:r>
      <w:r>
        <w:rPr>
          <w:rFonts w:ascii="楷体_GB2312" w:hAnsi="Arial" w:eastAsia="楷体_GB2312" w:cs="楷体_GB2312"/>
          <w:color w:val="000000" w:themeColor="text1"/>
          <w14:textFill>
            <w14:solidFill>
              <w14:schemeClr w14:val="tx1"/>
            </w14:solidFill>
          </w14:textFill>
        </w:rPr>
        <w:t>由</w:t>
      </w:r>
      <w:r>
        <w:rPr>
          <w:rFonts w:hint="eastAsia" w:ascii="楷体_GB2312" w:hAnsi="Arial" w:eastAsia="楷体_GB2312" w:cs="楷体_GB2312"/>
          <w:color w:val="000000" w:themeColor="text1"/>
          <w14:textFill>
            <w14:solidFill>
              <w14:schemeClr w14:val="tx1"/>
            </w14:solidFill>
          </w14:textFill>
        </w:rPr>
        <w:t>买者自负</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您应充分认识投资风险，谨慎投资！</w:t>
      </w:r>
      <w:r>
        <w:rPr>
          <w:rFonts w:ascii="楷体_GB2312" w:hAnsi="Arial" w:eastAsia="楷体_GB2312"/>
          <w:color w:val="000000" w:themeColor="text1"/>
          <w14:textFill>
            <w14:solidFill>
              <w14:schemeClr w14:val="tx1"/>
            </w14:solidFill>
          </w14:textFill>
        </w:rPr>
        <w:t> </w:t>
      </w:r>
    </w:p>
    <w:p>
      <w:pPr>
        <w:ind w:firstLine="480" w:firstLineChars="200"/>
        <w:jc w:val="both"/>
        <w:rPr>
          <w:rFonts w:ascii="楷体_GB2312" w:hAnsi="Arial" w:eastAsia="楷体_GB2312"/>
          <w:color w:val="000000" w:themeColor="text1"/>
          <w14:textFill>
            <w14:solidFill>
              <w14:schemeClr w14:val="tx1"/>
            </w14:solidFill>
          </w14:textFill>
        </w:rPr>
      </w:pPr>
    </w:p>
    <w:p>
      <w:pPr>
        <w:ind w:firstLine="482" w:firstLineChars="200"/>
        <w:jc w:val="both"/>
        <w:rPr>
          <w:rFonts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14:textFill>
            <w14:solidFill>
              <w14:schemeClr w14:val="tx1"/>
            </w14:solidFill>
          </w14:textFill>
        </w:rPr>
        <w:t>1</w:t>
      </w:r>
      <w:r>
        <w:rPr>
          <w:rFonts w:hint="eastAsia" w:ascii="楷体_GB2312" w:hAnsi="楷体_GB2312" w:eastAsia="楷体_GB2312" w:cs="楷体_GB2312"/>
          <w:b/>
          <w:bCs/>
          <w:color w:val="000000" w:themeColor="text1"/>
          <w14:textFill>
            <w14:solidFill>
              <w14:schemeClr w14:val="tx1"/>
            </w14:solidFill>
          </w14:textFill>
        </w:rPr>
        <w:t>.00亿元，在最不利情况下，理财本金及收益全部损失。</w:t>
      </w:r>
    </w:p>
    <w:p>
      <w:pPr>
        <w:jc w:val="both"/>
        <w:rPr>
          <w:rFonts w:ascii="楷体_GB2312" w:hAnsi="楷体_GB2312" w:eastAsia="楷体_GB2312" w:cs="楷体_GB2312"/>
          <w:b/>
          <w:bCs/>
          <w:color w:val="000000" w:themeColor="text1"/>
          <w14:textFill>
            <w14:solidFill>
              <w14:schemeClr w14:val="tx1"/>
            </w14:solidFill>
          </w14:textFill>
        </w:rPr>
      </w:pPr>
    </w:p>
    <w:p>
      <w:pPr>
        <w:ind w:firstLine="482" w:firstLineChars="200"/>
        <w:jc w:val="both"/>
        <w:rPr>
          <w:rFonts w:ascii="黑体" w:hAnsi="黑体" w:eastAsia="黑体"/>
          <w:b/>
          <w:color w:val="000000" w:themeColor="text1"/>
          <w14:textFill>
            <w14:solidFill>
              <w14:schemeClr w14:val="tx1"/>
            </w14:solidFill>
          </w14:textFill>
        </w:rPr>
      </w:pPr>
      <w:r>
        <w:rPr>
          <w:rFonts w:hint="eastAsia" w:ascii="黑体" w:hAnsi="黑体" w:eastAsia="黑体"/>
          <w:b/>
          <w:color w:val="000000" w:themeColor="text1"/>
          <w14:textFill>
            <w14:solidFill>
              <w14:schemeClr w14:val="tx1"/>
            </w14:solidFill>
          </w14:textFill>
        </w:rPr>
        <w:t>理财非存款</w:t>
      </w:r>
      <w:r>
        <w:rPr>
          <w:rFonts w:ascii="黑体" w:hAnsi="黑体" w:eastAsia="黑体"/>
          <w:b/>
          <w:color w:val="000000" w:themeColor="text1"/>
          <w14:textFill>
            <w14:solidFill>
              <w14:schemeClr w14:val="tx1"/>
            </w14:solidFill>
          </w14:textFill>
        </w:rPr>
        <w:t>、产品</w:t>
      </w:r>
      <w:r>
        <w:rPr>
          <w:rFonts w:hint="eastAsia" w:ascii="黑体" w:hAnsi="黑体" w:eastAsia="黑体"/>
          <w:b/>
          <w:color w:val="000000" w:themeColor="text1"/>
          <w14:textFill>
            <w14:solidFill>
              <w14:schemeClr w14:val="tx1"/>
            </w14:solidFill>
          </w14:textFill>
        </w:rPr>
        <w:t>有</w:t>
      </w:r>
      <w:r>
        <w:rPr>
          <w:rFonts w:ascii="黑体" w:hAnsi="黑体" w:eastAsia="黑体"/>
          <w:b/>
          <w:color w:val="000000" w:themeColor="text1"/>
          <w14:textFill>
            <w14:solidFill>
              <w14:schemeClr w14:val="tx1"/>
            </w14:solidFill>
          </w14:textFill>
        </w:rPr>
        <w:t>风险、投资须谨慎</w:t>
      </w:r>
      <w:r>
        <w:rPr>
          <w:rFonts w:hint="eastAsia" w:ascii="黑体" w:hAnsi="黑体" w:eastAsia="黑体"/>
          <w:b/>
          <w:color w:val="000000" w:themeColor="text1"/>
          <w14:textFill>
            <w14:solidFill>
              <w14:schemeClr w14:val="tx1"/>
            </w14:solidFill>
          </w14:textFill>
        </w:rPr>
        <w:t>！</w:t>
      </w:r>
    </w:p>
    <w:p>
      <w:pPr>
        <w:ind w:firstLine="482" w:firstLineChars="200"/>
        <w:jc w:val="both"/>
        <w:rPr>
          <w:rFonts w:ascii="黑体" w:hAnsi="黑体" w:eastAsia="黑体"/>
          <w:b/>
          <w:color w:val="000000" w:themeColor="text1"/>
          <w14:textFill>
            <w14:solidFill>
              <w14:schemeClr w14:val="tx1"/>
            </w14:solidFill>
          </w14:textFill>
        </w:rPr>
      </w:pPr>
    </w:p>
    <w:p>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如影响您风险承受能力的因素发生变化，请及时告知信银理财或</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并重新进行风险承受能力评估。</w:t>
      </w:r>
      <w:r>
        <w:rPr>
          <w:rFonts w:ascii="楷体_GB2312" w:hAnsi="Arial" w:eastAsia="楷体_GB2312" w:cs="楷体_GB2312"/>
          <w:color w:val="000000" w:themeColor="text1"/>
          <w14:textFill>
            <w14:solidFill>
              <w14:schemeClr w14:val="tx1"/>
            </w14:solidFill>
          </w14:textFill>
        </w:rPr>
        <w:t xml:space="preserve"> </w:t>
      </w:r>
    </w:p>
    <w:p>
      <w:pPr>
        <w:jc w:val="right"/>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风险揭示方：</w:t>
      </w:r>
      <w:r>
        <w:rPr>
          <w:rFonts w:ascii="楷体_GB2312" w:hAnsi="Arial" w:eastAsia="楷体_GB2312" w:cs="楷体_GB2312"/>
          <w:color w:val="000000" w:themeColor="text1"/>
          <w14:textFill>
            <w14:solidFill>
              <w14:schemeClr w14:val="tx1"/>
            </w14:solidFill>
          </w14:textFill>
        </w:rPr>
        <w:t xml:space="preserve"> </w:t>
      </w:r>
      <w:r>
        <w:rPr>
          <w:rFonts w:hint="eastAsia" w:ascii="楷体_GB2312" w:hAnsi="Arial" w:eastAsia="楷体_GB2312" w:cs="楷体_GB2312"/>
          <w:color w:val="000000" w:themeColor="text1"/>
          <w14:textFill>
            <w14:solidFill>
              <w14:schemeClr w14:val="tx1"/>
            </w14:solidFill>
          </w14:textFill>
        </w:rPr>
        <w:t>信银理财有限责任公司</w:t>
      </w:r>
    </w:p>
    <w:p>
      <w:pPr>
        <w:jc w:val="center"/>
        <w:rPr>
          <w:rFonts w:ascii="楷体_GB2312" w:hAnsi="Arial" w:eastAsia="楷体_GB2312" w:cs="楷体_GB2312"/>
          <w:b/>
          <w:bCs/>
          <w:color w:val="000000" w:themeColor="text1"/>
          <w:u w:val="single"/>
          <w14:textFill>
            <w14:solidFill>
              <w14:schemeClr w14:val="tx1"/>
            </w14:solidFill>
          </w14:textFill>
        </w:rPr>
      </w:pPr>
    </w:p>
    <w:p>
      <w:pPr>
        <w:jc w:val="center"/>
        <w:rPr>
          <w:rFonts w:ascii="楷体_GB2312" w:hAnsi="Arial" w:eastAsia="楷体_GB2312" w:cs="楷体_GB2312"/>
          <w:b/>
          <w:bCs/>
          <w:color w:val="000000" w:themeColor="text1"/>
          <w:u w:val="single"/>
          <w14:textFill>
            <w14:solidFill>
              <w14:schemeClr w14:val="tx1"/>
            </w14:solidFill>
          </w14:textFill>
        </w:rPr>
      </w:pPr>
    </w:p>
    <w:p>
      <w:pPr>
        <w:jc w:val="center"/>
        <w:rPr>
          <w:rFonts w:ascii="楷体_GB2312" w:hAnsi="Arial" w:eastAsia="楷体_GB2312" w:cs="楷体_GB2312"/>
          <w:b/>
          <w:bCs/>
          <w:color w:val="000000" w:themeColor="text1"/>
          <w:u w:val="single"/>
          <w14:textFill>
            <w14:solidFill>
              <w14:schemeClr w14:val="tx1"/>
            </w14:solidFill>
          </w14:textFill>
        </w:rPr>
      </w:pPr>
    </w:p>
    <w:p>
      <w:pPr>
        <w:jc w:val="center"/>
        <w:rPr>
          <w:rFonts w:ascii="楷体_GB2312" w:hAnsi="Arial" w:eastAsia="楷体_GB2312" w:cs="楷体_GB2312"/>
          <w:b/>
          <w:bCs/>
          <w:color w:val="000000" w:themeColor="text1"/>
          <w:u w:val="single"/>
          <w14:textFill>
            <w14:solidFill>
              <w14:schemeClr w14:val="tx1"/>
            </w14:solidFill>
          </w14:textFill>
        </w:rPr>
      </w:pPr>
    </w:p>
    <w:p>
      <w:pPr>
        <w:jc w:val="center"/>
        <w:rPr>
          <w:rFonts w:ascii="楷体_GB2312" w:eastAsia="楷体_GB2312"/>
          <w:color w:val="000000" w:themeColor="text1"/>
          <w14:textFill>
            <w14:solidFill>
              <w14:schemeClr w14:val="tx1"/>
            </w14:solidFill>
          </w14:textFill>
        </w:rPr>
      </w:pPr>
      <w:r>
        <w:rPr>
          <w:rFonts w:hint="eastAsia" w:ascii="楷体_GB2312" w:hAnsi="Arial" w:eastAsia="楷体_GB2312" w:cs="楷体_GB2312"/>
          <w:b/>
          <w:bCs/>
          <w:color w:val="000000" w:themeColor="text1"/>
          <w:u w:val="single"/>
          <w14:textFill>
            <w14:solidFill>
              <w14:schemeClr w14:val="tx1"/>
            </w14:solidFill>
          </w14:textFill>
        </w:rPr>
        <w:t>客</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户</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确</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认</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栏</w:t>
      </w:r>
    </w:p>
    <w:p>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hAnsi="Arial" w:eastAsia="楷体_GB2312" w:cs="楷体_GB2312"/>
          <w:color w:val="000000" w:themeColor="text1"/>
          <w14:textFill>
            <w14:solidFill>
              <w14:schemeClr w14:val="tx1"/>
            </w14:solidFill>
          </w14:textFill>
        </w:rPr>
        <w:t>单位</w:t>
      </w:r>
      <w:r>
        <w:rPr>
          <w:rFonts w:hint="eastAsia" w:ascii="楷体_GB2312" w:hAnsi="Arial" w:eastAsia="楷体_GB2312" w:cs="楷体_GB2312"/>
          <w:color w:val="000000" w:themeColor="text1"/>
          <w14:textFill>
            <w14:solidFill>
              <w14:schemeClr w14:val="tx1"/>
            </w14:solidFill>
          </w14:textFill>
        </w:rPr>
        <w:t>予以说明，本人/本单位已完全理解并自愿接受。</w:t>
      </w:r>
      <w:r>
        <w:rPr>
          <w:rFonts w:ascii="楷体_GB2312" w:hAnsi="Arial" w:eastAsia="楷体_GB2312" w:cs="楷体_GB2312"/>
          <w:color w:val="000000" w:themeColor="text1"/>
          <w14:textFill>
            <w14:solidFill>
              <w14:schemeClr w14:val="tx1"/>
            </w14:solidFill>
          </w14:textFill>
        </w:rPr>
        <w:t xml:space="preserve"> </w:t>
      </w:r>
    </w:p>
    <w:p>
      <w:pPr>
        <w:pStyle w:val="6"/>
        <w:ind w:firstLine="480" w:firstLineChars="0"/>
        <w:jc w:val="both"/>
        <w:rPr>
          <w:rFonts w:ascii="楷体_GB2312" w:eastAsia="楷体_GB2312"/>
          <w:color w:val="000000" w:themeColor="text1"/>
          <w14:textFill>
            <w14:solidFill>
              <w14:schemeClr w14:val="tx1"/>
            </w14:solidFill>
          </w14:textFill>
        </w:rPr>
      </w:pPr>
    </w:p>
    <w:p>
      <w:pPr>
        <w:pStyle w:val="6"/>
        <w:ind w:firstLine="480" w:firstLineChars="0"/>
        <w:jc w:val="both"/>
        <w:rPr>
          <w:rFonts w:ascii="楷体_GB2312" w:eastAsia="楷体_GB2312"/>
          <w:b/>
          <w:color w:val="000000" w:themeColor="text1"/>
          <w14:textFill>
            <w14:solidFill>
              <w14:schemeClr w14:val="tx1"/>
            </w14:solidFill>
          </w14:textFill>
        </w:rPr>
      </w:pPr>
      <w:r>
        <w:rPr>
          <w:rFonts w:hint="eastAsia" w:ascii="楷体_GB2312" w:eastAsia="楷体_GB2312"/>
          <w:b/>
          <w:color w:val="000000" w:themeColor="text1"/>
          <w14:textFill>
            <w14:solidFill>
              <w14:schemeClr w14:val="tx1"/>
            </w14:solidFill>
          </w14:textFill>
        </w:rPr>
        <w:t>本人</w:t>
      </w:r>
      <w:r>
        <w:rPr>
          <w:rFonts w:hint="eastAsia" w:ascii="楷体_GB2312" w:hAnsi="Arial" w:eastAsia="楷体_GB2312" w:cs="楷体_GB2312"/>
          <w:b/>
          <w:color w:val="000000" w:themeColor="text1"/>
          <w14:textFill>
            <w14:solidFill>
              <w14:schemeClr w14:val="tx1"/>
            </w14:solidFill>
          </w14:textFill>
        </w:rPr>
        <w:t>/本单位</w:t>
      </w:r>
      <w:r>
        <w:rPr>
          <w:rFonts w:hint="eastAsia" w:ascii="楷体_GB2312" w:eastAsia="楷体_GB2312"/>
          <w:b/>
          <w:color w:val="000000" w:themeColor="text1"/>
          <w14:textFill>
            <w14:solidFill>
              <w14:schemeClr w14:val="tx1"/>
            </w14:solidFill>
          </w14:textFill>
        </w:rPr>
        <w:t>确认，将向本理财产品销售机构真实提供信息，自主作出认购等决定，独立对销售文件进行签字</w:t>
      </w:r>
      <w:r>
        <w:rPr>
          <w:rFonts w:ascii="楷体_GB2312" w:eastAsia="楷体_GB2312"/>
          <w:b/>
          <w:color w:val="000000" w:themeColor="text1"/>
          <w14:textFill>
            <w14:solidFill>
              <w14:schemeClr w14:val="tx1"/>
            </w14:solidFill>
          </w14:textFill>
        </w:rPr>
        <w:t>/盖章确认，自主承担投资风险。本人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拒绝向销售机构提供或者未按照要求提供信息的，销售机构有权告知本人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相应的后果和责任，并有权拒绝向本人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提供销售服务。</w:t>
      </w:r>
    </w:p>
    <w:p>
      <w:pPr>
        <w:pStyle w:val="6"/>
        <w:ind w:firstLine="480" w:firstLineChars="0"/>
        <w:jc w:val="both"/>
        <w:rPr>
          <w:rFonts w:ascii="楷体_GB2312" w:eastAsia="楷体_GB2312"/>
          <w:color w:val="000000" w:themeColor="text1"/>
          <w14:textFill>
            <w14:solidFill>
              <w14:schemeClr w14:val="tx1"/>
            </w14:solidFill>
          </w14:textFill>
        </w:rPr>
      </w:pPr>
      <w:r>
        <w:rPr>
          <w:rFonts w:hint="eastAsia" w:ascii="楷体_GB2312" w:eastAsia="楷体_GB2312"/>
          <w:color w:val="000000" w:themeColor="text1"/>
          <w14:textFill>
            <w14:solidFill>
              <w14:schemeClr w14:val="tx1"/>
            </w14:solidFill>
          </w14:textFill>
        </w:rPr>
        <w:t>本人</w:t>
      </w:r>
      <w:r>
        <w:rPr>
          <w:rFonts w:hint="eastAsia" w:ascii="楷体_GB2312" w:hAnsi="Arial" w:eastAsia="楷体_GB2312" w:cs="楷体_GB2312"/>
          <w:color w:val="000000" w:themeColor="text1"/>
          <w14:textFill>
            <w14:solidFill>
              <w14:schemeClr w14:val="tx1"/>
            </w14:solidFill>
          </w14:textFill>
        </w:rPr>
        <w:t>/本单位</w:t>
      </w:r>
      <w:r>
        <w:rPr>
          <w:rFonts w:hint="eastAsia" w:ascii="楷体_GB2312" w:eastAsia="楷体_GB2312"/>
          <w:color w:val="000000" w:themeColor="text1"/>
          <w14:textFill>
            <w14:solidFill>
              <w14:schemeClr w14:val="tx1"/>
            </w14:solidFill>
          </w14:textFill>
        </w:rPr>
        <w:t>确认</w:t>
      </w:r>
      <w:r>
        <w:rPr>
          <w:rFonts w:ascii="楷体_GB2312" w:eastAsia="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投资</w:t>
      </w:r>
      <w:r>
        <w:rPr>
          <w:rFonts w:ascii="楷体_GB2312" w:eastAsia="楷体_GB2312"/>
          <w:color w:val="000000" w:themeColor="text1"/>
          <w14:textFill>
            <w14:solidFill>
              <w14:schemeClr w14:val="tx1"/>
            </w14:solidFill>
          </w14:textFill>
        </w:rPr>
        <w:t>本理财产品的</w:t>
      </w:r>
      <w:r>
        <w:rPr>
          <w:rFonts w:hint="eastAsia" w:ascii="楷体_GB2312" w:eastAsia="楷体_GB2312"/>
          <w:color w:val="000000" w:themeColor="text1"/>
          <w14:textFill>
            <w14:solidFill>
              <w14:schemeClr w14:val="tx1"/>
            </w14:solidFill>
          </w14:textFill>
        </w:rPr>
        <w:t>资金非贷款</w:t>
      </w:r>
      <w:r>
        <w:rPr>
          <w:rFonts w:ascii="楷体_GB2312" w:eastAsia="楷体_GB2312"/>
          <w:color w:val="000000" w:themeColor="text1"/>
          <w14:textFill>
            <w14:solidFill>
              <w14:schemeClr w14:val="tx1"/>
            </w14:solidFill>
          </w14:textFill>
        </w:rPr>
        <w:t>、发行债券等募集的非自有资金。</w:t>
      </w:r>
    </w:p>
    <w:p>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本人/本单位确认已阅知客户权益须知，完全清楚理财产品购买流程、风险评估、产品评级含义、信息披露方式及渠道、信银</w:t>
      </w:r>
      <w:r>
        <w:rPr>
          <w:rFonts w:ascii="楷体_GB2312" w:hAnsi="Arial" w:eastAsia="楷体_GB2312" w:cs="楷体_GB2312"/>
          <w:color w:val="000000" w:themeColor="text1"/>
          <w14:textFill>
            <w14:solidFill>
              <w14:schemeClr w14:val="tx1"/>
            </w14:solidFill>
          </w14:textFill>
        </w:rPr>
        <w:t>理财及代销机构</w:t>
      </w:r>
      <w:r>
        <w:rPr>
          <w:rFonts w:hint="eastAsia" w:ascii="楷体_GB2312" w:hAnsi="Arial" w:eastAsia="楷体_GB2312" w:cs="楷体_GB2312"/>
          <w:color w:val="000000" w:themeColor="text1"/>
          <w14:textFill>
            <w14:solidFill>
              <w14:schemeClr w14:val="tx1"/>
            </w14:solidFill>
          </w14:textFill>
        </w:rPr>
        <w:t>的联系方式及投诉程序等内容。</w:t>
      </w:r>
    </w:p>
    <w:p>
      <w:pPr>
        <w:ind w:firstLine="480" w:firstLineChars="200"/>
        <w:jc w:val="both"/>
        <w:rPr>
          <w:rFonts w:ascii="楷体_GB2312" w:hAnsi="Arial" w:eastAsia="楷体_GB2312" w:cs="楷体_GB2312"/>
          <w:color w:val="000000" w:themeColor="text1"/>
          <w14:textFill>
            <w14:solidFill>
              <w14:schemeClr w14:val="tx1"/>
            </w14:solidFill>
          </w14:textFill>
        </w:rPr>
      </w:pPr>
    </w:p>
    <w:p>
      <w:pPr>
        <w:ind w:firstLine="480" w:firstLineChars="200"/>
        <w:jc w:val="both"/>
        <w:rPr>
          <w:color w:val="000000" w:themeColor="text1"/>
          <w14:textFill>
            <w14:solidFill>
              <w14:schemeClr w14:val="tx1"/>
            </w14:solidFill>
          </w14:textFill>
        </w:rPr>
      </w:pPr>
    </w:p>
    <w:p>
      <w:pPr>
        <w:ind w:firstLine="480" w:firstLineChars="200"/>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本人/本单位确认如下：</w:t>
      </w:r>
      <w:r>
        <w:rPr>
          <w:rFonts w:ascii="楷体_GB2312" w:hAnsi="Arial" w:eastAsia="楷体_GB2312" w:cs="楷体_GB2312"/>
          <w:color w:val="000000" w:themeColor="text1"/>
          <w14:textFill>
            <w14:solidFill>
              <w14:schemeClr w14:val="tx1"/>
            </w14:solidFill>
          </w14:textFill>
        </w:rPr>
        <w:t xml:space="preserve"> </w:t>
      </w:r>
    </w:p>
    <w:p>
      <w:pPr>
        <w:ind w:firstLine="480" w:firstLineChars="200"/>
        <w:jc w:val="both"/>
        <w:rPr>
          <w:rFonts w:ascii="楷体_GB2312" w:hAnsi="Arial" w:eastAsia="楷体_GB2312" w:cs="楷体_GB2312"/>
          <w:color w:val="000000" w:themeColor="text1"/>
          <w14:textFill>
            <w14:solidFill>
              <w14:schemeClr w14:val="tx1"/>
            </w14:solidFill>
          </w14:textFill>
        </w:rPr>
      </w:pPr>
    </w:p>
    <w:p>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本理财产品可能委托信银理财的关联方【中信银行股份有限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】系信银理财的【唯一股东】，【中信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公司】系中信银行股份有限公司控股子公司，与信银</w:t>
      </w:r>
      <w:r>
        <w:rPr>
          <w:rFonts w:ascii="楷体_GB2312" w:hAnsi="Arial" w:eastAsia="楷体_GB2312" w:cs="楷体_GB2312"/>
          <w:b/>
          <w:bCs/>
          <w:color w:val="000000" w:themeColor="text1"/>
          <w14:textFill>
            <w14:solidFill>
              <w14:schemeClr w14:val="tx1"/>
            </w14:solidFill>
          </w14:textFill>
        </w:rPr>
        <w:t>理财</w:t>
      </w:r>
      <w:r>
        <w:rPr>
          <w:rFonts w:hint="eastAsia" w:ascii="楷体_GB2312" w:hAnsi="Arial" w:eastAsia="楷体_GB2312" w:cs="楷体_GB2312"/>
          <w:b/>
          <w:bCs/>
          <w:color w:val="000000" w:themeColor="text1"/>
          <w14:textFill>
            <w14:solidFill>
              <w14:schemeClr w14:val="tx1"/>
            </w14:solidFill>
          </w14:textFill>
        </w:rPr>
        <w:t>具有关联关系。信银理财委托【中信银行股份有限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公司】销售本理财产品的，存在关联交易风险，请投资者仔细阅读</w:t>
      </w:r>
      <w:r>
        <w:rPr>
          <w:rFonts w:hint="eastAsia" w:ascii="楷体_GB2312" w:hAnsi="Arial" w:eastAsia="楷体_GB2312" w:cs="楷体_GB2312"/>
          <w:b/>
          <w:color w:val="000000" w:themeColor="text1"/>
          <w14:textFill>
            <w14:solidFill>
              <w14:schemeClr w14:val="tx1"/>
            </w14:solidFill>
          </w14:textFill>
        </w:rPr>
        <w:t>理财产品说明书中相应风险揭示部分</w:t>
      </w:r>
      <w:r>
        <w:rPr>
          <w:rFonts w:hint="eastAsia" w:ascii="楷体_GB2312" w:hAnsi="Arial" w:eastAsia="楷体_GB2312" w:cs="楷体_GB2312"/>
          <w:b/>
          <w:bCs/>
          <w:color w:val="000000" w:themeColor="text1"/>
          <w14:textFill>
            <w14:solidFill>
              <w14:schemeClr w14:val="tx1"/>
            </w14:solidFill>
          </w14:textFill>
        </w:rPr>
        <w:t>。</w:t>
      </w:r>
    </w:p>
    <w:p>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本人/本单位确认，已知悉上述关联交易，愿意承担相应投资风险。</w:t>
      </w:r>
    </w:p>
    <w:p>
      <w:pPr>
        <w:rPr>
          <w:rFonts w:ascii="楷体_GB2312" w:eastAsia="楷体_GB2312"/>
          <w:color w:val="000000" w:themeColor="text1"/>
          <w14:textFill>
            <w14:solidFill>
              <w14:schemeClr w14:val="tx1"/>
            </w14:solidFill>
          </w14:textFill>
        </w:rPr>
      </w:pPr>
    </w:p>
    <w:p>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本人/本单位风险承受能力评级为（由个人客户本人/机构客户授权经办人填写）：</w:t>
      </w:r>
      <w:r>
        <w:rPr>
          <w:rFonts w:ascii="楷体_GB2312" w:hAnsi="Arial" w:eastAsia="楷体_GB2312"/>
          <w:color w:val="000000" w:themeColor="text1"/>
          <w14:textFill>
            <w14:solidFill>
              <w14:schemeClr w14:val="tx1"/>
            </w14:solidFill>
          </w14:textFill>
        </w:rPr>
        <w:t> </w:t>
      </w:r>
      <w:r>
        <w:rPr>
          <w:rFonts w:ascii="Arial" w:hAnsi="Arial" w:cs="Arial"/>
          <w:color w:val="000000" w:themeColor="text1"/>
          <w:sz w:val="18"/>
          <w:szCs w:val="18"/>
          <w14:textFill>
            <w14:solidFill>
              <w14:schemeClr w14:val="tx1"/>
            </w14:solidFill>
          </w14:textFill>
        </w:rPr>
        <w:t> </w:t>
      </w:r>
    </w:p>
    <w:p>
      <w:pPr>
        <w:snapToGrid w:val="0"/>
        <w:jc w:val="both"/>
        <w:rPr>
          <w:rFonts w:ascii="楷体_GB2312" w:eastAsia="楷体_GB2312"/>
          <w:color w:val="000000" w:themeColor="text1"/>
          <w14:textFill>
            <w14:solidFill>
              <w14:schemeClr w14:val="tx1"/>
            </w14:solidFill>
          </w14:textFill>
        </w:rPr>
      </w:pPr>
      <w:r>
        <w:rPr>
          <w:rFonts w:hint="eastAsia" w:ascii="楷体_GB2312"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14:textFill>
            <w14:solidFill>
              <w14:schemeClr w14:val="tx1"/>
            </w14:solidFill>
          </w14:textFill>
        </w:rPr>
        <w:t>：</w:t>
      </w:r>
      <w:r>
        <w:rPr>
          <w:rFonts w:hint="eastAsia" w:ascii="楷体_GB2312" w:eastAsia="楷体_GB2312" w:cs="楷体_GB2312"/>
          <w:b/>
          <w:bCs/>
          <w:color w:val="000000" w:themeColor="text1"/>
          <w14:textFill>
            <w14:solidFill>
              <w14:schemeClr w14:val="tx1"/>
            </w14:solidFill>
          </w14:textFill>
        </w:rPr>
        <w:t>本人/本单位已经阅读风险揭示，愿意承担投资风险</w:t>
      </w:r>
      <w:r>
        <w:rPr>
          <w:rFonts w:hint="eastAsia" w:ascii="楷体_GB2312" w:eastAsia="楷体_GB2312" w:cs="楷体_GB2312"/>
          <w:color w:val="000000" w:themeColor="text1"/>
          <w14:textFill>
            <w14:solidFill>
              <w14:schemeClr w14:val="tx1"/>
            </w14:solidFill>
          </w14:textFill>
        </w:rPr>
        <w:t>。）</w:t>
      </w:r>
      <w:r>
        <w:rPr>
          <w:rFonts w:ascii="楷体_GB2312" w:eastAsia="楷体_GB2312" w:cs="楷体_GB2312"/>
          <w:color w:val="000000" w:themeColor="text1"/>
          <w14:textFill>
            <w14:solidFill>
              <w14:schemeClr w14:val="tx1"/>
            </w14:solidFill>
          </w14:textFill>
        </w:rPr>
        <w:t xml:space="preserve"> </w:t>
      </w:r>
    </w:p>
    <w:p>
      <w:pPr>
        <w:snapToGrid w:val="0"/>
        <w:rPr>
          <w:rFonts w:ascii="楷体_GB2312" w:eastAsia="楷体_GB2312"/>
          <w:color w:val="000000" w:themeColor="text1"/>
          <w14:textFill>
            <w14:solidFill>
              <w14:schemeClr w14:val="tx1"/>
            </w14:solidFill>
          </w14:textFill>
        </w:rPr>
      </w:pPr>
      <w:r>
        <w:rPr>
          <w:rFonts w:ascii="楷体_GB2312" w:eastAsia="楷体_GB2312"/>
          <w:color w:val="000000" w:themeColor="text1"/>
          <w:u w:val="single"/>
          <w14:textFill>
            <w14:solidFill>
              <w14:schemeClr w14:val="tx1"/>
            </w14:solidFill>
          </w14:textFill>
        </w:rPr>
        <w:t>                                 </w:t>
      </w:r>
    </w:p>
    <w:p>
      <w:pPr>
        <w:snapToGrid w:val="0"/>
        <w:ind w:right="440"/>
        <w:rPr>
          <w:rFonts w:ascii="楷体_GB2312" w:eastAsia="楷体_GB2312" w:cs="楷体_GB2312"/>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个人客户（签字）：                机构客户（盖章）：</w:t>
      </w:r>
    </w:p>
    <w:p>
      <w:pPr>
        <w:snapToGrid w:val="0"/>
        <w:ind w:left="-426" w:right="440"/>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                               法定代表人或负责人（签字或签章）：</w:t>
      </w:r>
    </w:p>
    <w:p>
      <w:pPr>
        <w:snapToGrid w:val="0"/>
        <w:ind w:right="440"/>
        <w:rPr>
          <w:color w:val="000000" w:themeColor="text1"/>
          <w14:textFill>
            <w14:solidFill>
              <w14:schemeClr w14:val="tx1"/>
            </w14:solidFill>
          </w14:textFill>
        </w:rPr>
      </w:pPr>
      <w:r>
        <w:rPr>
          <w:color w:val="000000" w:themeColor="text1"/>
          <w14:textFill>
            <w14:solidFill>
              <w14:schemeClr w14:val="tx1"/>
            </w14:solidFill>
          </w14:textFill>
        </w:rPr>
        <w:t> </w:t>
      </w:r>
    </w:p>
    <w:p>
      <w:pPr>
        <w:snapToGrid w:val="0"/>
        <w:ind w:right="440"/>
        <w:rPr>
          <w:rFonts w:ascii="黑体" w:hAnsi="Times New Roman" w:eastAsia="黑体" w:cs="Arial"/>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日期：年 月 日                    日期：年 月 日</w:t>
      </w:r>
    </w:p>
    <w:p>
      <w:pPr>
        <w:snapToGrid w:val="0"/>
        <w:ind w:right="440"/>
        <w:rPr>
          <w:color w:val="000000" w:themeColor="text1"/>
          <w14:textFill>
            <w14:solidFill>
              <w14:schemeClr w14:val="tx1"/>
            </w14:solidFill>
          </w14:textFill>
        </w:rPr>
      </w:pPr>
    </w:p>
    <w:p>
      <w:pPr>
        <w:spacing w:line="300" w:lineRule="exact"/>
        <w:ind w:right="-792" w:rightChars="-330"/>
        <w:jc w:val="center"/>
        <w:rPr>
          <w:rFonts w:ascii="黑体" w:eastAsia="黑体"/>
          <w:b/>
          <w:bCs/>
          <w:color w:val="000000" w:themeColor="text1"/>
          <w14:textFill>
            <w14:solidFill>
              <w14:schemeClr w14:val="tx1"/>
            </w14:solidFill>
          </w14:textFill>
        </w:rPr>
      </w:pPr>
    </w:p>
    <w:p>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351"/>
        <w:tab w:val="right" w:pos="8426"/>
      </w:tabs>
      <w:jc w:val="left"/>
    </w:pPr>
    <w:r>
      <w:rPr>
        <w:rFonts w:hint="eastAsia"/>
      </w:rPr>
      <w:t>本产品风险评级为【P</w:t>
    </w:r>
    <w:r>
      <w:t>R</w:t>
    </w:r>
    <w:r>
      <w:rPr>
        <w:rFonts w:hint="eastAsia"/>
        <w:lang w:val="en-US" w:eastAsia="zh-CN"/>
      </w:rPr>
      <w:t>2</w:t>
    </w:r>
    <w:r>
      <w:rPr>
        <w:rFonts w:hint="eastAsia"/>
      </w:rPr>
      <w:t>】</w:t>
    </w:r>
    <w:r>
      <w:t xml:space="preserve"> </w:t>
    </w:r>
    <w:r>
      <w:rPr>
        <w:rFonts w:hint="eastAsia"/>
        <w:color w:val="000000" w:themeColor="text1"/>
        <w:lang w:eastAsia="zh-CN"/>
        <w14:textFill>
          <w14:solidFill>
            <w14:schemeClr w14:val="tx1"/>
          </w14:solidFill>
        </w14:textFill>
      </w:rPr>
      <w:tab/>
    </w:r>
    <w:r>
      <w:rPr>
        <w:rFonts w:hint="eastAsia"/>
        <w:color w:val="000000" w:themeColor="text1"/>
        <w:lang w:eastAsia="zh-CN"/>
        <w14:textFill>
          <w14:solidFill>
            <w14:schemeClr w14:val="tx1"/>
          </w14:solidFill>
        </w14:textFill>
      </w:rPr>
      <w:tab/>
    </w:r>
    <w:r>
      <w:rPr>
        <w:color w:val="000000" w:themeColor="text1"/>
        <w14:textFill>
          <w14:solidFill>
            <w14:schemeClr w14:val="tx1"/>
          </w14:solidFill>
        </w14:textFill>
      </w:rPr>
      <w:t>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jQ1ZjY4YWJlYWRiNDZhNmVhNzM0NzE4MTQ2ZWEifQ=="/>
  </w:docVars>
  <w:rsids>
    <w:rsidRoot w:val="7BC72437"/>
    <w:rsid w:val="14D00A45"/>
    <w:rsid w:val="165A60F2"/>
    <w:rsid w:val="29FD7F15"/>
    <w:rsid w:val="2CC93F2A"/>
    <w:rsid w:val="5339151D"/>
    <w:rsid w:val="56991149"/>
    <w:rsid w:val="59031627"/>
    <w:rsid w:val="65C04ABB"/>
    <w:rsid w:val="68F0042D"/>
    <w:rsid w:val="7BC724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2023-12-27T08:42:00Z</dcterms:created>
  <dc:creator>陈晨</dc:creator>
  <cp:lastModifiedBy>妄</cp:lastModifiedBy>
  <dcterms:modified xsi:type="dcterms:W3CDTF">2024-02-21T06:40:18Z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AABD3543E51041899200E22C180F939D_11</vt:lpwstr>
  </property>
</Properties>
</file>