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5D3" w:rsidRDefault="00FD45D3" w:rsidP="00FD45D3">
      <w:pPr>
        <w:spacing w:line="360" w:lineRule="exact"/>
        <w:jc w:val="center"/>
        <w:outlineLvl w:val="1"/>
        <w:rPr>
          <w:rFonts w:ascii="方正小标宋_GBK" w:eastAsia="方正小标宋_GBK" w:hAnsi="宋体"/>
          <w:bCs/>
          <w:sz w:val="32"/>
          <w:szCs w:val="32"/>
        </w:rPr>
      </w:pPr>
      <w:bookmarkStart w:id="0" w:name="_GoBack"/>
      <w:bookmarkEnd w:id="0"/>
      <w:r>
        <w:rPr>
          <w:rFonts w:ascii="方正小标宋_GBK" w:eastAsia="方正小标宋_GBK" w:hAnsi="宋体" w:hint="eastAsia"/>
          <w:bCs/>
          <w:sz w:val="32"/>
          <w:szCs w:val="32"/>
        </w:rPr>
        <w:t>桐庐农商银行丰收信福封闭净值型</w:t>
      </w:r>
      <w:r w:rsidR="004A5054">
        <w:rPr>
          <w:rFonts w:ascii="方正小标宋_GBK" w:eastAsia="方正小标宋_GBK" w:hAnsi="宋体" w:hint="eastAsia"/>
          <w:bCs/>
          <w:sz w:val="32"/>
          <w:szCs w:val="32"/>
        </w:rPr>
        <w:t>2024</w:t>
      </w:r>
      <w:r>
        <w:rPr>
          <w:rFonts w:ascii="方正小标宋_GBK" w:eastAsia="方正小标宋_GBK" w:hAnsi="宋体" w:hint="eastAsia"/>
          <w:bCs/>
          <w:sz w:val="32"/>
          <w:szCs w:val="32"/>
        </w:rPr>
        <w:t>年第</w:t>
      </w:r>
      <w:r w:rsidR="00C820F1">
        <w:rPr>
          <w:rFonts w:ascii="方正小标宋_GBK" w:eastAsia="方正小标宋_GBK" w:hAnsi="宋体" w:hint="eastAsia"/>
          <w:bCs/>
          <w:sz w:val="32"/>
          <w:szCs w:val="32"/>
        </w:rPr>
        <w:t>20</w:t>
      </w:r>
      <w:r>
        <w:rPr>
          <w:rFonts w:ascii="方正小标宋_GBK" w:eastAsia="方正小标宋_GBK" w:hAnsi="宋体" w:hint="eastAsia"/>
          <w:bCs/>
          <w:sz w:val="32"/>
          <w:szCs w:val="32"/>
        </w:rPr>
        <w:t>期</w:t>
      </w:r>
    </w:p>
    <w:p w:rsidR="00FD45D3" w:rsidRDefault="00FD45D3" w:rsidP="00013E37">
      <w:pPr>
        <w:spacing w:beforeLines="150" w:afterLines="50" w:line="360" w:lineRule="exact"/>
        <w:jc w:val="center"/>
        <w:outlineLvl w:val="1"/>
        <w:rPr>
          <w:rFonts w:ascii="方正小标宋_GBK" w:eastAsia="方正小标宋_GBK" w:hAnsi="宋体" w:cs="宋体"/>
          <w:sz w:val="32"/>
          <w:szCs w:val="32"/>
        </w:rPr>
      </w:pPr>
      <w:r>
        <w:rPr>
          <w:rFonts w:ascii="方正小标宋_GBK" w:eastAsia="方正小标宋_GBK" w:hAnsi="宋体" w:hint="eastAsia"/>
          <w:bCs/>
          <w:sz w:val="32"/>
          <w:szCs w:val="32"/>
        </w:rPr>
        <w:t>理财产品</w:t>
      </w:r>
      <w:r>
        <w:rPr>
          <w:rFonts w:ascii="方正小标宋_GBK" w:eastAsia="方正小标宋_GBK" w:hAnsi="宋体" w:cs="宋体" w:hint="eastAsia"/>
          <w:sz w:val="32"/>
          <w:szCs w:val="32"/>
        </w:rPr>
        <w:t>说明书</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重要提示</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1.本理财产品（也称理财计划，下同）不等同于银行存款和预期收益型理财产品。</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2.本产品仅向依据中华人民共和国有关法律法规及本产品说明书规定可以购买本理财计划的投资者发售。</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3.在购买本理财计划前，请投资者确保完全明白本理财计划的性质、其中涉及的风险以及投资者的自身情况。投资者若对本产品说明书的内容有任何疑问，请向桐庐农商银行各营业网点咨询。</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4.本产品是非保本净值型产品。桐庐农商银行对本理财产品的本金和收益不提供保证承诺。您应充分认识投资风险，谨慎投资。本产品主要风险为理财本金及收益风险，在极端市场情况下，投资者将损失本金。请投资者基于自身的独立判断进行投资决策。</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5.投资者在桐庐农商银行签署理财合约认购本产品前，应当仔细阅读本说明书及其他相关销售文件的全部内容，同时向桐庐农商银行了解本产品的具体信息，确保自身完全了解该项投资的性质、投资所涉及的风险以及自身的风险承受能力，在慎重考虑后独立做出认购决定。</w:t>
      </w:r>
      <w:r>
        <w:rPr>
          <w:rFonts w:ascii="宋体" w:hAnsi="宋体" w:hint="eastAsia"/>
          <w:b/>
          <w:bCs/>
          <w:color w:val="auto"/>
          <w:sz w:val="21"/>
          <w:szCs w:val="21"/>
        </w:rPr>
        <w:t>《风险揭示书》、《客户权益须知》、《产品说明书》、《</w:t>
      </w:r>
      <w:r>
        <w:rPr>
          <w:rFonts w:ascii="宋体" w:hAnsi="宋体" w:cs="楷体_GB2312" w:hint="eastAsia"/>
          <w:b/>
          <w:color w:val="auto"/>
          <w:sz w:val="22"/>
          <w:szCs w:val="28"/>
        </w:rPr>
        <w:t>产品协议</w:t>
      </w:r>
      <w:r>
        <w:rPr>
          <w:rFonts w:ascii="宋体" w:hAnsi="宋体" w:hint="eastAsia"/>
          <w:b/>
          <w:bCs/>
          <w:color w:val="auto"/>
          <w:sz w:val="21"/>
          <w:szCs w:val="21"/>
        </w:rPr>
        <w:t>》及业务凭证</w:t>
      </w:r>
      <w:r>
        <w:rPr>
          <w:rFonts w:ascii="宋体" w:hAnsi="宋体" w:cs="宋体" w:hint="eastAsia"/>
          <w:b/>
          <w:color w:val="auto"/>
          <w:sz w:val="21"/>
          <w:szCs w:val="21"/>
        </w:rPr>
        <w:t>，将共同构成客户与桐庐农商银行之间的理财计划交易合同。通过线上电子渠道购买视同认可产品协议。</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6.投资者在认购本产品后，应随时关注本产品的信息披露情况，及时获取相关信息。如对本产品有任何疑问、异议或意见，请联系桐庐农商银行客户经理或反馈至银行营业网点。</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7.桐庐农商银行有权依法对本产品说明书进行解释。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释义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本说明书中，除非另有明确说明，否则下列词语或简称具有如下含义：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理财产品/理财计划：指桐庐农商银行丰收信福封闭净值型理财产品。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发行银行：指浙江桐庐农村商业银行股份有限公司。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销售银行：指浙江桐庐农村商业银行股份有限公司。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产品管理人：指浙江桐庐农村商业银行股份有限公司。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产品托管人：</w:t>
      </w:r>
      <w:r w:rsidR="00AA0206" w:rsidRPr="006D3301">
        <w:rPr>
          <w:rFonts w:ascii="宋体" w:hAnsi="宋体" w:cs="宋体" w:hint="eastAsia"/>
          <w:color w:val="auto"/>
          <w:sz w:val="21"/>
          <w:szCs w:val="21"/>
        </w:rPr>
        <w:t>指</w:t>
      </w:r>
      <w:r w:rsidR="00AA0206">
        <w:rPr>
          <w:rFonts w:ascii="宋体" w:hAnsi="宋体" w:cs="宋体" w:hint="eastAsia"/>
          <w:color w:val="auto"/>
          <w:sz w:val="21"/>
          <w:szCs w:val="21"/>
        </w:rPr>
        <w:t>兴业</w:t>
      </w:r>
      <w:r w:rsidR="00AA0206" w:rsidRPr="006D3301">
        <w:rPr>
          <w:rFonts w:ascii="宋体" w:hAnsi="宋体" w:cs="宋体" w:hint="eastAsia"/>
          <w:color w:val="auto"/>
          <w:sz w:val="21"/>
          <w:szCs w:val="21"/>
        </w:rPr>
        <w:t>银行股份有限公司杭州分行</w:t>
      </w:r>
      <w:r>
        <w:rPr>
          <w:rFonts w:ascii="宋体" w:hAnsi="宋体" w:cs="宋体" w:hint="eastAsia"/>
          <w:color w:val="auto"/>
          <w:sz w:val="21"/>
          <w:szCs w:val="21"/>
        </w:rPr>
        <w:t>。</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Times New Roman" w:hint="eastAsia"/>
          <w:color w:val="auto"/>
          <w:sz w:val="21"/>
          <w:szCs w:val="21"/>
        </w:rPr>
        <w:t>估值外包服务机构：</w:t>
      </w:r>
      <w:r w:rsidR="00AA0206" w:rsidRPr="006D3301">
        <w:rPr>
          <w:rFonts w:ascii="宋体" w:hAnsi="宋体" w:cs="宋体" w:hint="eastAsia"/>
          <w:color w:val="auto"/>
          <w:sz w:val="21"/>
          <w:szCs w:val="21"/>
        </w:rPr>
        <w:t>指</w:t>
      </w:r>
      <w:r w:rsidR="00AA0206">
        <w:rPr>
          <w:rFonts w:ascii="宋体" w:hAnsi="宋体" w:cs="宋体" w:hint="eastAsia"/>
          <w:color w:val="auto"/>
          <w:sz w:val="21"/>
          <w:szCs w:val="21"/>
        </w:rPr>
        <w:t>兴业</w:t>
      </w:r>
      <w:r w:rsidR="00AA0206" w:rsidRPr="006D3301">
        <w:rPr>
          <w:rFonts w:ascii="宋体" w:hAnsi="宋体" w:cs="宋体" w:hint="eastAsia"/>
          <w:color w:val="auto"/>
          <w:sz w:val="21"/>
          <w:szCs w:val="21"/>
        </w:rPr>
        <w:t>银行股份有限公司杭州分行</w:t>
      </w:r>
      <w:r>
        <w:rPr>
          <w:rFonts w:ascii="宋体" w:hAnsi="宋体" w:cs="宋体" w:hint="eastAsia"/>
          <w:color w:val="auto"/>
          <w:sz w:val="21"/>
          <w:szCs w:val="21"/>
        </w:rPr>
        <w:t>。</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理财产品认购期</w:t>
      </w:r>
      <w:r>
        <w:rPr>
          <w:rFonts w:ascii="宋体" w:hAnsi="宋体" w:cs="宋体"/>
          <w:color w:val="auto"/>
          <w:sz w:val="21"/>
          <w:szCs w:val="21"/>
        </w:rPr>
        <w:t>/</w:t>
      </w:r>
      <w:r>
        <w:rPr>
          <w:rFonts w:ascii="宋体" w:hAnsi="宋体" w:cs="宋体" w:hint="eastAsia"/>
          <w:color w:val="auto"/>
          <w:sz w:val="21"/>
          <w:szCs w:val="21"/>
        </w:rPr>
        <w:t>募集期：是指银行接受客户认购本理财产品的起止期限。</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工作日：除双休日和国家法定假日外的法定工作日。</w:t>
      </w:r>
    </w:p>
    <w:p w:rsidR="00FD45D3" w:rsidRDefault="00FD45D3" w:rsidP="00FD45D3">
      <w:pPr>
        <w:pStyle w:val="ac"/>
        <w:numPr>
          <w:ilvl w:val="0"/>
          <w:numId w:val="7"/>
        </w:numPr>
        <w:spacing w:before="0" w:after="0" w:line="360" w:lineRule="exact"/>
        <w:ind w:firstLine="560"/>
        <w:jc w:val="both"/>
        <w:outlineLvl w:val="9"/>
        <w:rPr>
          <w:rFonts w:ascii="宋体" w:hAnsi="宋体"/>
          <w:sz w:val="28"/>
          <w:szCs w:val="28"/>
        </w:rPr>
      </w:pPr>
      <w:r>
        <w:rPr>
          <w:rFonts w:ascii="宋体" w:hAnsi="宋体" w:cs="宋体" w:hint="eastAsia"/>
          <w:sz w:val="28"/>
          <w:szCs w:val="28"/>
        </w:rPr>
        <w:t>产品风险等级：</w:t>
      </w:r>
      <w:r>
        <w:rPr>
          <w:rFonts w:ascii="宋体" w:hAnsi="宋体"/>
          <w:sz w:val="28"/>
          <w:szCs w:val="28"/>
        </w:rPr>
        <w:t>PR2</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产品风险评级由桐庐农商银行根据产品投资对象、实际的风险控制情况、投资运作情况等合理确定。根据桐庐农商银行内部风险评级标准，本产品的风险等级为</w:t>
      </w:r>
      <w:r>
        <w:rPr>
          <w:rFonts w:ascii="宋体" w:hAnsi="宋体" w:cs="宋体"/>
          <w:color w:val="auto"/>
          <w:sz w:val="21"/>
          <w:szCs w:val="21"/>
        </w:rPr>
        <w:t>PR2</w:t>
      </w:r>
      <w:r>
        <w:rPr>
          <w:rFonts w:ascii="宋体" w:hAnsi="宋体" w:cs="宋体" w:hint="eastAsia"/>
          <w:color w:val="auto"/>
          <w:sz w:val="21"/>
          <w:szCs w:val="21"/>
        </w:rPr>
        <w:t>，中低风险。该评级仅是桐庐农商银行内部测评结果，仅供投资者参考，不具有任何法律约束力。</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产品投资</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lastRenderedPageBreak/>
        <w:t>（一）投资范围</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本理财产品为固定收益类产品，本金主要投资于以下符合监管要求的各类资产：</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固定收益类资产，包括但不限于各类债券（含可转债、可交债）、存款、货币市场金融工具等高流动性资产、债券基金、质押式及买断式回购、债券借贷等；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sz w:val="21"/>
          <w:szCs w:val="21"/>
        </w:rPr>
        <w:t>其他符合监管要求的资产及以上述资产为投资标的资产管理产品。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（二）投资比例</w:t>
      </w:r>
    </w:p>
    <w:tbl>
      <w:tblPr>
        <w:tblW w:w="6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3332"/>
        <w:gridCol w:w="2288"/>
      </w:tblGrid>
      <w:tr w:rsidR="00FD45D3" w:rsidTr="002B3855">
        <w:trPr>
          <w:trHeight w:val="270"/>
          <w:jc w:val="center"/>
        </w:trPr>
        <w:tc>
          <w:tcPr>
            <w:tcW w:w="1227"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资产类别</w:t>
            </w:r>
          </w:p>
        </w:tc>
        <w:tc>
          <w:tcPr>
            <w:tcW w:w="3332"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资产种类</w:t>
            </w:r>
          </w:p>
        </w:tc>
        <w:tc>
          <w:tcPr>
            <w:tcW w:w="2288"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投资比例</w:t>
            </w:r>
          </w:p>
        </w:tc>
      </w:tr>
      <w:tr w:rsidR="00FD45D3" w:rsidTr="002B3855">
        <w:trPr>
          <w:trHeight w:val="270"/>
          <w:jc w:val="center"/>
        </w:trPr>
        <w:tc>
          <w:tcPr>
            <w:tcW w:w="1227"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固定收益类</w:t>
            </w: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现金等货币市场工具类</w:t>
            </w:r>
          </w:p>
        </w:tc>
        <w:tc>
          <w:tcPr>
            <w:tcW w:w="2288" w:type="dxa"/>
            <w:shd w:val="clear" w:color="auto" w:fill="auto"/>
            <w:noWrap/>
            <w:vAlign w:val="center"/>
          </w:tcPr>
          <w:p w:rsidR="00FD45D3" w:rsidRDefault="00FD45D3" w:rsidP="002B3855">
            <w:pPr>
              <w:widowControl/>
              <w:spacing w:line="360" w:lineRule="exact"/>
              <w:jc w:val="center"/>
              <w:rPr>
                <w:rFonts w:ascii="宋体" w:hAnsi="宋体" w:cs="宋体"/>
                <w:kern w:val="0"/>
                <w:sz w:val="20"/>
              </w:rPr>
            </w:pPr>
            <w:r>
              <w:rPr>
                <w:rFonts w:ascii="宋体" w:hAnsi="宋体" w:cs="宋体" w:hint="eastAsia"/>
                <w:kern w:val="0"/>
                <w:sz w:val="20"/>
              </w:rPr>
              <w:t>0-2</w:t>
            </w:r>
            <w:r>
              <w:rPr>
                <w:rFonts w:ascii="宋体" w:hAnsi="宋体" w:cs="宋体"/>
                <w:kern w:val="0"/>
                <w:sz w:val="20"/>
              </w:rPr>
              <w:t>0</w:t>
            </w:r>
            <w:r>
              <w:rPr>
                <w:rFonts w:ascii="宋体" w:hAnsi="宋体" w:cs="宋体" w:hint="eastAsia"/>
                <w:kern w:val="0"/>
                <w:sz w:val="20"/>
              </w:rPr>
              <w:t>%</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债券类</w:t>
            </w:r>
          </w:p>
        </w:tc>
        <w:tc>
          <w:tcPr>
            <w:tcW w:w="2288"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80%-100%</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其他符合监管要求的债权类资产、</w:t>
            </w:r>
            <w:r>
              <w:rPr>
                <w:rFonts w:ascii="宋体" w:hAnsi="宋体" w:cs="宋体" w:hint="eastAsia"/>
                <w:color w:val="000000"/>
                <w:kern w:val="0"/>
                <w:sz w:val="18"/>
                <w:szCs w:val="18"/>
              </w:rPr>
              <w:t>资产管理产品</w:t>
            </w:r>
          </w:p>
        </w:tc>
        <w:tc>
          <w:tcPr>
            <w:tcW w:w="2288" w:type="dxa"/>
            <w:vMerge/>
            <w:vAlign w:val="center"/>
          </w:tcPr>
          <w:p w:rsidR="00FD45D3" w:rsidRDefault="00FD45D3" w:rsidP="002B3855">
            <w:pPr>
              <w:widowControl/>
              <w:spacing w:line="360" w:lineRule="exact"/>
              <w:jc w:val="center"/>
              <w:rPr>
                <w:rFonts w:ascii="宋体" w:hAnsi="宋体" w:cs="宋体"/>
                <w:kern w:val="0"/>
                <w:sz w:val="18"/>
                <w:szCs w:val="18"/>
              </w:rPr>
            </w:pPr>
          </w:p>
        </w:tc>
      </w:tr>
    </w:tbl>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（三）投资目标</w:t>
      </w:r>
    </w:p>
    <w:p w:rsidR="00FD45D3" w:rsidRDefault="00FD45D3" w:rsidP="00FD45D3">
      <w:pPr>
        <w:pStyle w:val="ac"/>
        <w:spacing w:before="0" w:after="0" w:line="360" w:lineRule="exact"/>
        <w:ind w:firstLineChars="200" w:firstLine="420"/>
        <w:jc w:val="both"/>
        <w:outlineLvl w:val="9"/>
        <w:rPr>
          <w:rFonts w:ascii="宋体" w:hAnsi="宋体" w:cs="宋体"/>
          <w:b w:val="0"/>
          <w:bCs w:val="0"/>
          <w:kern w:val="0"/>
          <w:sz w:val="21"/>
          <w:szCs w:val="21"/>
        </w:rPr>
      </w:pPr>
      <w:r>
        <w:rPr>
          <w:rFonts w:ascii="宋体" w:hAnsi="宋体" w:cs="宋体" w:hint="eastAsia"/>
          <w:b w:val="0"/>
          <w:bCs w:val="0"/>
          <w:kern w:val="0"/>
          <w:sz w:val="21"/>
          <w:szCs w:val="21"/>
        </w:rPr>
        <w:t>本集合计划的投资目标为：重点投资于债权类资产，在严格控制风险、保障流动性、追求安全性的前提下，争取获得相对稳定的投资收益。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产品概述</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33"/>
        <w:gridCol w:w="8505"/>
      </w:tblGrid>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产品名称</w:t>
            </w:r>
          </w:p>
        </w:tc>
        <w:tc>
          <w:tcPr>
            <w:tcW w:w="8505" w:type="dxa"/>
            <w:tcMar>
              <w:top w:w="15" w:type="dxa"/>
              <w:left w:w="15" w:type="dxa"/>
              <w:bottom w:w="0" w:type="dxa"/>
              <w:right w:w="15" w:type="dxa"/>
            </w:tcMar>
            <w:vAlign w:val="center"/>
          </w:tcPr>
          <w:p w:rsidR="00FD45D3" w:rsidRDefault="00FD45D3" w:rsidP="00C820F1">
            <w:pPr>
              <w:spacing w:line="360" w:lineRule="exact"/>
              <w:rPr>
                <w:rFonts w:ascii="宋体" w:hAnsi="宋体"/>
                <w:kern w:val="0"/>
                <w:sz w:val="18"/>
                <w:szCs w:val="18"/>
              </w:rPr>
            </w:pPr>
            <w:r>
              <w:rPr>
                <w:rFonts w:ascii="宋体" w:hAnsi="宋体" w:cs="宋体" w:hint="eastAsia"/>
                <w:kern w:val="0"/>
                <w:sz w:val="18"/>
                <w:szCs w:val="18"/>
              </w:rPr>
              <w:t>桐庐农商银行丰收信福封闭净值型</w:t>
            </w:r>
            <w:r w:rsidR="004A5054">
              <w:rPr>
                <w:rFonts w:ascii="宋体" w:hAnsi="宋体" w:cs="宋体" w:hint="eastAsia"/>
                <w:kern w:val="0"/>
                <w:sz w:val="18"/>
                <w:szCs w:val="18"/>
              </w:rPr>
              <w:t>2024</w:t>
            </w:r>
            <w:r>
              <w:rPr>
                <w:rFonts w:ascii="宋体" w:hAnsi="宋体" w:cs="宋体" w:hint="eastAsia"/>
                <w:kern w:val="0"/>
                <w:sz w:val="18"/>
                <w:szCs w:val="18"/>
              </w:rPr>
              <w:t>年第</w:t>
            </w:r>
            <w:r w:rsidR="00C820F1">
              <w:rPr>
                <w:rFonts w:ascii="宋体" w:hAnsi="宋体" w:cs="宋体" w:hint="eastAsia"/>
                <w:kern w:val="0"/>
                <w:sz w:val="18"/>
                <w:szCs w:val="18"/>
              </w:rPr>
              <w:t>20</w:t>
            </w:r>
            <w:r>
              <w:rPr>
                <w:rFonts w:ascii="宋体" w:hAnsi="宋体" w:cs="宋体" w:hint="eastAsia"/>
                <w:kern w:val="0"/>
                <w:sz w:val="18"/>
                <w:szCs w:val="18"/>
              </w:rPr>
              <w:t>期理财产品</w:t>
            </w:r>
          </w:p>
        </w:tc>
      </w:tr>
      <w:tr w:rsidR="00FD45D3" w:rsidTr="002B3855">
        <w:trPr>
          <w:trHeight w:val="227"/>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产品编号</w:t>
            </w:r>
          </w:p>
        </w:tc>
        <w:tc>
          <w:tcPr>
            <w:tcW w:w="8505" w:type="dxa"/>
            <w:tcMar>
              <w:top w:w="15" w:type="dxa"/>
              <w:left w:w="15" w:type="dxa"/>
              <w:bottom w:w="0" w:type="dxa"/>
              <w:right w:w="15" w:type="dxa"/>
            </w:tcMar>
            <w:vAlign w:val="center"/>
          </w:tcPr>
          <w:p w:rsidR="00FD45D3" w:rsidRDefault="00FD45D3" w:rsidP="00C820F1">
            <w:pPr>
              <w:spacing w:line="360" w:lineRule="exact"/>
              <w:rPr>
                <w:rFonts w:ascii="宋体" w:hAnsi="宋体"/>
                <w:kern w:val="0"/>
                <w:sz w:val="18"/>
                <w:szCs w:val="18"/>
              </w:rPr>
            </w:pPr>
            <w:r w:rsidRPr="005A5FA5">
              <w:rPr>
                <w:rFonts w:asciiTheme="minorEastAsia" w:eastAsiaTheme="minorEastAsia" w:hAnsiTheme="minorEastAsia"/>
                <w:color w:val="000000"/>
                <w:kern w:val="0"/>
                <w:sz w:val="18"/>
                <w:szCs w:val="18"/>
              </w:rPr>
              <w:t>TLFS</w:t>
            </w:r>
            <w:r>
              <w:rPr>
                <w:rFonts w:asciiTheme="minorEastAsia" w:eastAsiaTheme="minorEastAsia" w:hAnsiTheme="minorEastAsia" w:hint="eastAsia"/>
                <w:color w:val="000000"/>
                <w:kern w:val="0"/>
                <w:sz w:val="18"/>
                <w:szCs w:val="18"/>
              </w:rPr>
              <w:t>XF</w:t>
            </w:r>
            <w:r w:rsidRPr="005A5FA5">
              <w:rPr>
                <w:rFonts w:asciiTheme="minorEastAsia" w:eastAsiaTheme="minorEastAsia" w:hAnsiTheme="minorEastAsia"/>
                <w:color w:val="000000"/>
                <w:kern w:val="0"/>
                <w:sz w:val="18"/>
                <w:szCs w:val="18"/>
              </w:rPr>
              <w:t>FB807</w:t>
            </w:r>
            <w:r w:rsidR="004A5054">
              <w:rPr>
                <w:rFonts w:asciiTheme="minorEastAsia" w:eastAsiaTheme="minorEastAsia" w:hAnsiTheme="minorEastAsia"/>
                <w:color w:val="000000"/>
                <w:kern w:val="0"/>
                <w:sz w:val="18"/>
                <w:szCs w:val="18"/>
              </w:rPr>
              <w:t>2024</w:t>
            </w:r>
            <w:r>
              <w:rPr>
                <w:rFonts w:asciiTheme="minorEastAsia" w:eastAsiaTheme="minorEastAsia" w:hAnsiTheme="minorEastAsia" w:hint="eastAsia"/>
                <w:color w:val="000000"/>
                <w:kern w:val="0"/>
                <w:sz w:val="18"/>
                <w:szCs w:val="18"/>
              </w:rPr>
              <w:t>00</w:t>
            </w:r>
            <w:r w:rsidR="00C820F1">
              <w:rPr>
                <w:rFonts w:asciiTheme="minorEastAsia" w:eastAsiaTheme="minorEastAsia" w:hAnsiTheme="minorEastAsia" w:cs="宋体" w:hint="eastAsia"/>
                <w:color w:val="000000"/>
                <w:kern w:val="0"/>
                <w:sz w:val="18"/>
                <w:szCs w:val="18"/>
              </w:rPr>
              <w:t>20</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产品登记编码</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hint="eastAsia"/>
                <w:kern w:val="0"/>
                <w:sz w:val="18"/>
                <w:szCs w:val="18"/>
              </w:rPr>
              <w:t>该产品在全国银行业理财信息登记系统的登记编码是</w:t>
            </w:r>
            <w:r w:rsidR="00013E37" w:rsidRPr="00013E37">
              <w:rPr>
                <w:rFonts w:ascii="宋体" w:hAnsi="宋体" w:cs="宋体"/>
                <w:kern w:val="0"/>
                <w:sz w:val="18"/>
                <w:szCs w:val="18"/>
              </w:rPr>
              <w:t>C1123124000019</w:t>
            </w:r>
            <w:r>
              <w:rPr>
                <w:rFonts w:ascii="宋体" w:hAnsi="宋体" w:cs="宋体" w:hint="eastAsia"/>
                <w:kern w:val="0"/>
                <w:sz w:val="18"/>
                <w:szCs w:val="18"/>
              </w:rPr>
              <w:t>，客户可依据该编码在“中国理财网（</w:t>
            </w:r>
            <w:r>
              <w:rPr>
                <w:rFonts w:ascii="宋体" w:hAnsi="宋体" w:cs="宋体"/>
                <w:kern w:val="0"/>
                <w:sz w:val="18"/>
                <w:szCs w:val="18"/>
              </w:rPr>
              <w:t>www.chinawealth.com.cn</w:t>
            </w:r>
            <w:r>
              <w:rPr>
                <w:rFonts w:ascii="宋体" w:hAnsi="宋体" w:cs="宋体" w:hint="eastAsia"/>
                <w:kern w:val="0"/>
                <w:sz w:val="18"/>
                <w:szCs w:val="18"/>
              </w:rPr>
              <w:t>）”查询该产品信息。</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适用客户</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本理财产品适合机构投资者及谨慎型、稳健型、进取型、激进型的个人投资者。</w:t>
            </w:r>
          </w:p>
        </w:tc>
      </w:tr>
      <w:tr w:rsidR="00FD45D3" w:rsidTr="002B3855">
        <w:trPr>
          <w:trHeight w:val="289"/>
          <w:jc w:val="center"/>
        </w:trPr>
        <w:tc>
          <w:tcPr>
            <w:tcW w:w="1533" w:type="dxa"/>
            <w:tcMar>
              <w:top w:w="15" w:type="dxa"/>
              <w:left w:w="15" w:type="dxa"/>
              <w:bottom w:w="0" w:type="dxa"/>
              <w:right w:w="15" w:type="dxa"/>
            </w:tcMar>
            <w:vAlign w:val="center"/>
          </w:tcPr>
          <w:p w:rsidR="00FD45D3" w:rsidRPr="006D3301" w:rsidRDefault="00FD45D3" w:rsidP="002B3855">
            <w:pPr>
              <w:spacing w:line="360" w:lineRule="exact"/>
              <w:jc w:val="center"/>
              <w:rPr>
                <w:rFonts w:ascii="宋体" w:hAnsi="宋体"/>
                <w:b/>
                <w:bCs/>
                <w:kern w:val="0"/>
              </w:rPr>
            </w:pPr>
            <w:r w:rsidRPr="006D3301">
              <w:rPr>
                <w:rFonts w:ascii="宋体" w:hAnsi="宋体" w:cs="宋体" w:hint="eastAsia"/>
                <w:b/>
                <w:bCs/>
                <w:kern w:val="0"/>
                <w:sz w:val="18"/>
                <w:szCs w:val="18"/>
              </w:rPr>
              <w:t>销售渠道</w:t>
            </w:r>
          </w:p>
        </w:tc>
        <w:tc>
          <w:tcPr>
            <w:tcW w:w="8505" w:type="dxa"/>
            <w:tcMar>
              <w:top w:w="15" w:type="dxa"/>
              <w:left w:w="15" w:type="dxa"/>
              <w:bottom w:w="0" w:type="dxa"/>
              <w:right w:w="15" w:type="dxa"/>
            </w:tcMar>
            <w:vAlign w:val="center"/>
          </w:tcPr>
          <w:p w:rsidR="00FD45D3" w:rsidRPr="00F75566" w:rsidRDefault="00FD45D3" w:rsidP="002B3855">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个人客户可通过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的营业网点、手机银行等渠道购买。</w:t>
            </w:r>
          </w:p>
          <w:p w:rsidR="00FD45D3" w:rsidRPr="006D3301" w:rsidRDefault="00FD45D3" w:rsidP="002B3855">
            <w:pPr>
              <w:spacing w:line="360" w:lineRule="exact"/>
              <w:rPr>
                <w:rFonts w:ascii="宋体" w:hAnsi="宋体"/>
                <w:kern w:val="0"/>
              </w:rPr>
            </w:pPr>
            <w:r w:rsidRPr="00D56A8B">
              <w:rPr>
                <w:rFonts w:asciiTheme="minorEastAsia" w:eastAsiaTheme="minorEastAsia" w:hAnsiTheme="minorEastAsia" w:cs="宋体" w:hint="eastAsia"/>
                <w:color w:val="000000"/>
                <w:kern w:val="0"/>
                <w:sz w:val="18"/>
                <w:szCs w:val="18"/>
              </w:rPr>
              <w:t>机构客户可通过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w:t>
            </w:r>
            <w:r>
              <w:rPr>
                <w:rFonts w:asciiTheme="minorEastAsia" w:eastAsiaTheme="minorEastAsia" w:hAnsiTheme="minorEastAsia" w:cs="宋体" w:hint="eastAsia"/>
                <w:color w:val="000000"/>
                <w:kern w:val="0"/>
                <w:sz w:val="18"/>
                <w:szCs w:val="18"/>
              </w:rPr>
              <w:t>、网银</w:t>
            </w:r>
            <w:r w:rsidRPr="00D56A8B">
              <w:rPr>
                <w:rFonts w:asciiTheme="minorEastAsia" w:eastAsiaTheme="minorEastAsia" w:hAnsiTheme="minorEastAsia" w:cs="宋体" w:hint="eastAsia"/>
                <w:color w:val="000000"/>
                <w:kern w:val="0"/>
                <w:sz w:val="18"/>
                <w:szCs w:val="18"/>
              </w:rPr>
              <w:t>渠道购买。</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交易币种</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人民币</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起点认购金额</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sidRPr="0056144F">
              <w:rPr>
                <w:rFonts w:asciiTheme="minorEastAsia" w:eastAsiaTheme="minorEastAsia" w:hAnsiTheme="minorEastAsia" w:cs="宋体" w:hint="eastAsia"/>
                <w:color w:val="000000"/>
                <w:kern w:val="0"/>
                <w:sz w:val="18"/>
                <w:szCs w:val="18"/>
              </w:rPr>
              <w:t>个人投资者</w:t>
            </w:r>
            <w:r w:rsidRPr="0056144F">
              <w:rPr>
                <w:rFonts w:asciiTheme="minorEastAsia" w:eastAsiaTheme="minorEastAsia" w:hAnsiTheme="minorEastAsia" w:cs="宋体"/>
                <w:color w:val="000000"/>
                <w:kern w:val="0"/>
                <w:sz w:val="18"/>
                <w:szCs w:val="18"/>
              </w:rPr>
              <w:t>5</w:t>
            </w:r>
            <w:r w:rsidRPr="0056144F">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万元的整数倍递增。机构投资者</w:t>
            </w:r>
            <w:r w:rsidRPr="00F75566">
              <w:rPr>
                <w:rFonts w:asciiTheme="minorEastAsia" w:eastAsiaTheme="minorEastAsia" w:hAnsiTheme="minorEastAsia" w:cs="宋体"/>
                <w:color w:val="000000"/>
                <w:kern w:val="0"/>
                <w:sz w:val="18"/>
                <w:szCs w:val="18"/>
              </w:rPr>
              <w:t>50</w:t>
            </w:r>
            <w:r w:rsidRPr="00F75566">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color w:val="000000"/>
                <w:kern w:val="0"/>
                <w:sz w:val="18"/>
                <w:szCs w:val="18"/>
              </w:rPr>
              <w:t>,</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产品类型</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固定收益类非保本封闭式净值型理财产品</w:t>
            </w:r>
          </w:p>
        </w:tc>
      </w:tr>
      <w:tr w:rsidR="00FD45D3" w:rsidTr="002B3855">
        <w:trPr>
          <w:cantSplit/>
          <w:trHeight w:val="731"/>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产品规模</w:t>
            </w:r>
          </w:p>
        </w:tc>
        <w:tc>
          <w:tcPr>
            <w:tcW w:w="8505" w:type="dxa"/>
            <w:tcMar>
              <w:top w:w="15" w:type="dxa"/>
              <w:left w:w="15" w:type="dxa"/>
              <w:bottom w:w="0" w:type="dxa"/>
              <w:right w:w="15" w:type="dxa"/>
            </w:tcMar>
            <w:vAlign w:val="center"/>
          </w:tcPr>
          <w:p w:rsidR="00FD45D3" w:rsidRDefault="00FD45D3" w:rsidP="00647DC9">
            <w:pPr>
              <w:spacing w:line="360" w:lineRule="exact"/>
              <w:rPr>
                <w:rFonts w:ascii="宋体" w:hAnsi="宋体"/>
                <w:kern w:val="0"/>
              </w:rPr>
            </w:pPr>
            <w:r>
              <w:rPr>
                <w:rFonts w:ascii="宋体" w:hAnsi="宋体" w:cs="宋体" w:hint="eastAsia"/>
                <w:kern w:val="0"/>
                <w:sz w:val="18"/>
                <w:szCs w:val="18"/>
              </w:rPr>
              <w:t>规模下限为</w:t>
            </w:r>
            <w:r>
              <w:rPr>
                <w:rFonts w:ascii="宋体" w:hAnsi="宋体" w:cs="宋体"/>
                <w:kern w:val="0"/>
                <w:sz w:val="18"/>
                <w:szCs w:val="18"/>
              </w:rPr>
              <w:t>30</w:t>
            </w:r>
            <w:r>
              <w:rPr>
                <w:rFonts w:ascii="宋体" w:hAnsi="宋体" w:cs="宋体" w:hint="eastAsia"/>
                <w:kern w:val="0"/>
                <w:sz w:val="18"/>
                <w:szCs w:val="18"/>
              </w:rPr>
              <w:t>万元</w:t>
            </w:r>
            <w:r w:rsidR="00AA0206">
              <w:rPr>
                <w:rFonts w:ascii="宋体" w:hAnsi="宋体" w:cs="宋体" w:hint="eastAsia"/>
                <w:kern w:val="0"/>
                <w:sz w:val="18"/>
                <w:szCs w:val="18"/>
              </w:rPr>
              <w:t>，上限为</w:t>
            </w:r>
            <w:r w:rsidR="00647DC9">
              <w:rPr>
                <w:rFonts w:ascii="宋体" w:hAnsi="宋体" w:cs="宋体" w:hint="eastAsia"/>
                <w:kern w:val="0"/>
                <w:sz w:val="18"/>
                <w:szCs w:val="18"/>
              </w:rPr>
              <w:t>1</w:t>
            </w:r>
            <w:r w:rsidR="00AA0206">
              <w:rPr>
                <w:rFonts w:ascii="宋体" w:hAnsi="宋体" w:cs="宋体" w:hint="eastAsia"/>
                <w:kern w:val="0"/>
                <w:sz w:val="18"/>
                <w:szCs w:val="18"/>
              </w:rPr>
              <w:t>000万元</w:t>
            </w:r>
            <w:r>
              <w:rPr>
                <w:rFonts w:ascii="宋体" w:hAnsi="宋体" w:cs="宋体" w:hint="eastAsia"/>
                <w:kern w:val="0"/>
                <w:sz w:val="18"/>
                <w:szCs w:val="18"/>
              </w:rPr>
              <w:t>。若认购金额未达规模下限则产品不成立，发行银行有权根据市场行情暂停接受认购申请。</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产品首发认购期</w:t>
            </w:r>
          </w:p>
        </w:tc>
        <w:tc>
          <w:tcPr>
            <w:tcW w:w="8505" w:type="dxa"/>
            <w:tcMar>
              <w:top w:w="15" w:type="dxa"/>
              <w:left w:w="15" w:type="dxa"/>
              <w:bottom w:w="0" w:type="dxa"/>
              <w:right w:w="15" w:type="dxa"/>
            </w:tcMar>
            <w:vAlign w:val="center"/>
          </w:tcPr>
          <w:p w:rsidR="00FD45D3" w:rsidRPr="00C820F1" w:rsidRDefault="00C820F1" w:rsidP="002B3855">
            <w:pPr>
              <w:spacing w:line="360" w:lineRule="exact"/>
              <w:rPr>
                <w:rFonts w:asciiTheme="minorEastAsia" w:eastAsiaTheme="minorEastAsia" w:hAnsiTheme="minorEastAsia" w:cs="宋体"/>
                <w:color w:val="000000"/>
                <w:kern w:val="0"/>
                <w:sz w:val="18"/>
                <w:szCs w:val="18"/>
              </w:rPr>
            </w:pPr>
            <w:r w:rsidRPr="00C820F1">
              <w:rPr>
                <w:rFonts w:asciiTheme="minorEastAsia" w:eastAsiaTheme="minorEastAsia" w:hAnsiTheme="minorEastAsia" w:cs="宋体"/>
                <w:color w:val="000000"/>
                <w:kern w:val="0"/>
                <w:sz w:val="18"/>
                <w:szCs w:val="18"/>
              </w:rPr>
              <w:t>2024</w:t>
            </w:r>
            <w:r w:rsidRPr="00C820F1">
              <w:rPr>
                <w:rFonts w:asciiTheme="minorEastAsia" w:eastAsiaTheme="minorEastAsia" w:hAnsiTheme="minorEastAsia" w:cs="宋体" w:hint="eastAsia"/>
                <w:color w:val="000000"/>
                <w:kern w:val="0"/>
                <w:sz w:val="18"/>
                <w:szCs w:val="18"/>
              </w:rPr>
              <w:t>年</w:t>
            </w:r>
            <w:r w:rsidRPr="00C820F1">
              <w:rPr>
                <w:rFonts w:asciiTheme="minorEastAsia" w:eastAsiaTheme="minorEastAsia" w:hAnsiTheme="minorEastAsia" w:cs="宋体"/>
                <w:color w:val="000000"/>
                <w:kern w:val="0"/>
                <w:sz w:val="18"/>
                <w:szCs w:val="18"/>
              </w:rPr>
              <w:t>5</w:t>
            </w:r>
            <w:r w:rsidRPr="00C820F1">
              <w:rPr>
                <w:rFonts w:asciiTheme="minorEastAsia" w:eastAsiaTheme="minorEastAsia" w:hAnsiTheme="minorEastAsia" w:cs="宋体" w:hint="eastAsia"/>
                <w:color w:val="000000"/>
                <w:kern w:val="0"/>
                <w:sz w:val="18"/>
                <w:szCs w:val="18"/>
              </w:rPr>
              <w:t>月</w:t>
            </w:r>
            <w:r w:rsidRPr="00C820F1">
              <w:rPr>
                <w:rFonts w:asciiTheme="minorEastAsia" w:eastAsiaTheme="minorEastAsia" w:hAnsiTheme="minorEastAsia" w:cs="宋体"/>
                <w:color w:val="000000"/>
                <w:kern w:val="0"/>
                <w:sz w:val="18"/>
                <w:szCs w:val="18"/>
              </w:rPr>
              <w:t>13</w:t>
            </w:r>
            <w:r w:rsidRPr="00C820F1">
              <w:rPr>
                <w:rFonts w:asciiTheme="minorEastAsia" w:eastAsiaTheme="minorEastAsia" w:hAnsiTheme="minorEastAsia" w:cs="宋体" w:hint="eastAsia"/>
                <w:color w:val="000000"/>
                <w:kern w:val="0"/>
                <w:sz w:val="18"/>
                <w:szCs w:val="18"/>
              </w:rPr>
              <w:t>日至</w:t>
            </w:r>
            <w:r w:rsidRPr="00C820F1">
              <w:rPr>
                <w:rFonts w:asciiTheme="minorEastAsia" w:eastAsiaTheme="minorEastAsia" w:hAnsiTheme="minorEastAsia" w:cs="宋体"/>
                <w:color w:val="000000"/>
                <w:kern w:val="0"/>
                <w:sz w:val="18"/>
                <w:szCs w:val="18"/>
              </w:rPr>
              <w:t>2024</w:t>
            </w:r>
            <w:r w:rsidRPr="00C820F1">
              <w:rPr>
                <w:rFonts w:asciiTheme="minorEastAsia" w:eastAsiaTheme="minorEastAsia" w:hAnsiTheme="minorEastAsia" w:cs="宋体" w:hint="eastAsia"/>
                <w:color w:val="000000"/>
                <w:kern w:val="0"/>
                <w:sz w:val="18"/>
                <w:szCs w:val="18"/>
              </w:rPr>
              <w:t>年</w:t>
            </w:r>
            <w:r w:rsidRPr="00C820F1">
              <w:rPr>
                <w:rFonts w:asciiTheme="minorEastAsia" w:eastAsiaTheme="minorEastAsia" w:hAnsiTheme="minorEastAsia" w:cs="宋体"/>
                <w:color w:val="000000"/>
                <w:kern w:val="0"/>
                <w:sz w:val="18"/>
                <w:szCs w:val="18"/>
              </w:rPr>
              <w:t>5</w:t>
            </w:r>
            <w:r w:rsidRPr="00C820F1">
              <w:rPr>
                <w:rFonts w:asciiTheme="minorEastAsia" w:eastAsiaTheme="minorEastAsia" w:hAnsiTheme="minorEastAsia" w:cs="宋体" w:hint="eastAsia"/>
                <w:color w:val="000000"/>
                <w:kern w:val="0"/>
                <w:sz w:val="18"/>
                <w:szCs w:val="18"/>
              </w:rPr>
              <w:t>月</w:t>
            </w:r>
            <w:r w:rsidRPr="00C820F1">
              <w:rPr>
                <w:rFonts w:asciiTheme="minorEastAsia" w:eastAsiaTheme="minorEastAsia" w:hAnsiTheme="minorEastAsia" w:cs="宋体"/>
                <w:color w:val="000000"/>
                <w:kern w:val="0"/>
                <w:sz w:val="18"/>
                <w:szCs w:val="18"/>
              </w:rPr>
              <w:t>19</w:t>
            </w:r>
            <w:r w:rsidRPr="00C820F1">
              <w:rPr>
                <w:rFonts w:asciiTheme="minorEastAsia" w:eastAsiaTheme="minorEastAsia" w:hAnsiTheme="minorEastAsia" w:cs="宋体" w:hint="eastAsia"/>
                <w:color w:val="000000"/>
                <w:kern w:val="0"/>
                <w:sz w:val="18"/>
                <w:szCs w:val="18"/>
              </w:rPr>
              <w:t>日</w:t>
            </w:r>
            <w:r w:rsidR="00FD45D3" w:rsidRPr="00C820F1">
              <w:rPr>
                <w:rFonts w:asciiTheme="minorEastAsia" w:eastAsiaTheme="minorEastAsia" w:hAnsiTheme="minorEastAsia" w:cs="宋体" w:hint="eastAsia"/>
                <w:color w:val="000000"/>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产品成立日</w:t>
            </w:r>
          </w:p>
        </w:tc>
        <w:tc>
          <w:tcPr>
            <w:tcW w:w="8505" w:type="dxa"/>
            <w:tcMar>
              <w:top w:w="15" w:type="dxa"/>
              <w:left w:w="15" w:type="dxa"/>
              <w:bottom w:w="0" w:type="dxa"/>
              <w:right w:w="15" w:type="dxa"/>
            </w:tcMar>
            <w:vAlign w:val="center"/>
          </w:tcPr>
          <w:p w:rsidR="00FD45D3" w:rsidRPr="00C820F1" w:rsidRDefault="00C820F1" w:rsidP="002B3855">
            <w:pPr>
              <w:spacing w:line="360" w:lineRule="exact"/>
              <w:rPr>
                <w:rFonts w:asciiTheme="minorEastAsia" w:eastAsiaTheme="minorEastAsia" w:hAnsiTheme="minorEastAsia" w:cs="宋体"/>
                <w:color w:val="000000"/>
                <w:kern w:val="0"/>
                <w:sz w:val="18"/>
                <w:szCs w:val="18"/>
              </w:rPr>
            </w:pPr>
            <w:r w:rsidRPr="00C820F1">
              <w:rPr>
                <w:rFonts w:asciiTheme="minorEastAsia" w:eastAsiaTheme="minorEastAsia" w:hAnsiTheme="minorEastAsia" w:cs="宋体"/>
                <w:color w:val="000000"/>
                <w:kern w:val="0"/>
                <w:sz w:val="18"/>
                <w:szCs w:val="18"/>
              </w:rPr>
              <w:t>2024</w:t>
            </w:r>
            <w:r w:rsidRPr="00C820F1">
              <w:rPr>
                <w:rFonts w:asciiTheme="minorEastAsia" w:eastAsiaTheme="minorEastAsia" w:hAnsiTheme="minorEastAsia" w:cs="宋体" w:hint="eastAsia"/>
                <w:color w:val="000000"/>
                <w:kern w:val="0"/>
                <w:sz w:val="18"/>
                <w:szCs w:val="18"/>
              </w:rPr>
              <w:t>年</w:t>
            </w:r>
            <w:r w:rsidRPr="00C820F1">
              <w:rPr>
                <w:rFonts w:asciiTheme="minorEastAsia" w:eastAsiaTheme="minorEastAsia" w:hAnsiTheme="minorEastAsia" w:cs="宋体"/>
                <w:color w:val="000000"/>
                <w:kern w:val="0"/>
                <w:sz w:val="18"/>
                <w:szCs w:val="18"/>
              </w:rPr>
              <w:t>5</w:t>
            </w:r>
            <w:r w:rsidRPr="00C820F1">
              <w:rPr>
                <w:rFonts w:asciiTheme="minorEastAsia" w:eastAsiaTheme="minorEastAsia" w:hAnsiTheme="minorEastAsia" w:cs="宋体" w:hint="eastAsia"/>
                <w:color w:val="000000"/>
                <w:kern w:val="0"/>
                <w:sz w:val="18"/>
                <w:szCs w:val="18"/>
              </w:rPr>
              <w:t>月</w:t>
            </w:r>
            <w:r w:rsidRPr="00C820F1">
              <w:rPr>
                <w:rFonts w:asciiTheme="minorEastAsia" w:eastAsiaTheme="minorEastAsia" w:hAnsiTheme="minorEastAsia" w:cs="宋体"/>
                <w:color w:val="000000"/>
                <w:kern w:val="0"/>
                <w:sz w:val="18"/>
                <w:szCs w:val="18"/>
              </w:rPr>
              <w:t>20</w:t>
            </w:r>
            <w:r w:rsidRPr="00C820F1">
              <w:rPr>
                <w:rFonts w:asciiTheme="minorEastAsia" w:eastAsiaTheme="minorEastAsia" w:hAnsiTheme="minorEastAsia" w:cs="宋体" w:hint="eastAsia"/>
                <w:color w:val="000000"/>
                <w:kern w:val="0"/>
                <w:sz w:val="18"/>
                <w:szCs w:val="18"/>
              </w:rPr>
              <w:t>日</w:t>
            </w:r>
            <w:r w:rsidR="00FD45D3" w:rsidRPr="00C820F1">
              <w:rPr>
                <w:rFonts w:asciiTheme="minorEastAsia" w:eastAsiaTheme="minorEastAsia" w:hAnsiTheme="minorEastAsia" w:cs="宋体" w:hint="eastAsia"/>
                <w:color w:val="000000"/>
                <w:kern w:val="0"/>
                <w:sz w:val="18"/>
                <w:szCs w:val="18"/>
              </w:rPr>
              <w:t>。</w:t>
            </w:r>
          </w:p>
        </w:tc>
      </w:tr>
      <w:tr w:rsidR="00FD45D3" w:rsidTr="002B3855">
        <w:trPr>
          <w:cantSplit/>
          <w:trHeight w:val="5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产品到期日</w:t>
            </w:r>
          </w:p>
        </w:tc>
        <w:tc>
          <w:tcPr>
            <w:tcW w:w="8505" w:type="dxa"/>
            <w:tcMar>
              <w:top w:w="15" w:type="dxa"/>
              <w:left w:w="15" w:type="dxa"/>
              <w:bottom w:w="0" w:type="dxa"/>
              <w:right w:w="15" w:type="dxa"/>
            </w:tcMar>
            <w:vAlign w:val="center"/>
          </w:tcPr>
          <w:p w:rsidR="00FD45D3" w:rsidRPr="00C820F1" w:rsidRDefault="00C820F1" w:rsidP="004A5054">
            <w:pPr>
              <w:spacing w:line="360" w:lineRule="exact"/>
              <w:rPr>
                <w:rFonts w:asciiTheme="minorEastAsia" w:eastAsiaTheme="minorEastAsia" w:hAnsiTheme="minorEastAsia" w:cs="宋体"/>
                <w:color w:val="000000"/>
                <w:kern w:val="0"/>
                <w:sz w:val="18"/>
                <w:szCs w:val="18"/>
              </w:rPr>
            </w:pPr>
            <w:r w:rsidRPr="00C820F1">
              <w:rPr>
                <w:rFonts w:asciiTheme="minorEastAsia" w:eastAsiaTheme="minorEastAsia" w:hAnsiTheme="minorEastAsia" w:cs="宋体"/>
                <w:color w:val="000000"/>
                <w:kern w:val="0"/>
                <w:sz w:val="18"/>
                <w:szCs w:val="18"/>
              </w:rPr>
              <w:t>2025</w:t>
            </w:r>
            <w:r w:rsidRPr="00C820F1">
              <w:rPr>
                <w:rFonts w:asciiTheme="minorEastAsia" w:eastAsiaTheme="minorEastAsia" w:hAnsiTheme="minorEastAsia" w:cs="宋体" w:hint="eastAsia"/>
                <w:color w:val="000000"/>
                <w:kern w:val="0"/>
                <w:sz w:val="18"/>
                <w:szCs w:val="18"/>
              </w:rPr>
              <w:t>年</w:t>
            </w:r>
            <w:r w:rsidRPr="00C820F1">
              <w:rPr>
                <w:rFonts w:asciiTheme="minorEastAsia" w:eastAsiaTheme="minorEastAsia" w:hAnsiTheme="minorEastAsia" w:cs="宋体"/>
                <w:color w:val="000000"/>
                <w:kern w:val="0"/>
                <w:sz w:val="18"/>
                <w:szCs w:val="18"/>
              </w:rPr>
              <w:t>5</w:t>
            </w:r>
            <w:r w:rsidRPr="00C820F1">
              <w:rPr>
                <w:rFonts w:asciiTheme="minorEastAsia" w:eastAsiaTheme="minorEastAsia" w:hAnsiTheme="minorEastAsia" w:cs="宋体" w:hint="eastAsia"/>
                <w:color w:val="000000"/>
                <w:kern w:val="0"/>
                <w:sz w:val="18"/>
                <w:szCs w:val="18"/>
              </w:rPr>
              <w:t>月</w:t>
            </w:r>
            <w:r w:rsidRPr="00C820F1">
              <w:rPr>
                <w:rFonts w:asciiTheme="minorEastAsia" w:eastAsiaTheme="minorEastAsia" w:hAnsiTheme="minorEastAsia" w:cs="宋体"/>
                <w:color w:val="000000"/>
                <w:kern w:val="0"/>
                <w:sz w:val="18"/>
                <w:szCs w:val="18"/>
              </w:rPr>
              <w:t>15</w:t>
            </w:r>
            <w:r w:rsidRPr="00C820F1">
              <w:rPr>
                <w:rFonts w:asciiTheme="minorEastAsia" w:eastAsiaTheme="minorEastAsia" w:hAnsiTheme="minorEastAsia" w:cs="宋体" w:hint="eastAsia"/>
                <w:color w:val="000000"/>
                <w:kern w:val="0"/>
                <w:sz w:val="18"/>
                <w:szCs w:val="18"/>
              </w:rPr>
              <w:t>日</w:t>
            </w:r>
            <w:r w:rsidR="00FD45D3" w:rsidRPr="00C820F1">
              <w:rPr>
                <w:rFonts w:asciiTheme="minorEastAsia" w:eastAsiaTheme="minorEastAsia" w:hAnsiTheme="minorEastAsia" w:cs="宋体" w:hint="eastAsia"/>
                <w:color w:val="000000"/>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产品期限</w:t>
            </w:r>
          </w:p>
        </w:tc>
        <w:tc>
          <w:tcPr>
            <w:tcW w:w="8505" w:type="dxa"/>
            <w:tcMar>
              <w:top w:w="15" w:type="dxa"/>
              <w:left w:w="15" w:type="dxa"/>
              <w:bottom w:w="0" w:type="dxa"/>
              <w:right w:w="15" w:type="dxa"/>
            </w:tcMar>
            <w:vAlign w:val="center"/>
          </w:tcPr>
          <w:p w:rsidR="00FD45D3" w:rsidRDefault="00C820F1" w:rsidP="002B3855">
            <w:pPr>
              <w:adjustRightInd w:val="0"/>
              <w:snapToGrid w:val="0"/>
              <w:spacing w:line="276" w:lineRule="auto"/>
              <w:rPr>
                <w:sz w:val="18"/>
                <w:szCs w:val="18"/>
              </w:rPr>
            </w:pPr>
            <w:r>
              <w:rPr>
                <w:rFonts w:ascii="宋体" w:hAnsi="宋体" w:cs="宋体" w:hint="eastAsia"/>
                <w:kern w:val="0"/>
                <w:sz w:val="18"/>
                <w:szCs w:val="18"/>
              </w:rPr>
              <w:t>360</w:t>
            </w:r>
            <w:r w:rsidR="00FD45D3">
              <w:rPr>
                <w:rFonts w:hint="eastAsia"/>
                <w:sz w:val="18"/>
                <w:szCs w:val="18"/>
              </w:rPr>
              <w:t>天。</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资金到账</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bCs/>
                <w:kern w:val="0"/>
                <w:sz w:val="18"/>
                <w:szCs w:val="18"/>
              </w:rPr>
              <w:t>正常兑付情况下投资收益及理财本金将于理财产品到期日后的2个工作日内到账。理财产品到期日至投资者资金到账日之间不计利息。</w:t>
            </w:r>
          </w:p>
        </w:tc>
      </w:tr>
      <w:tr w:rsidR="00FD45D3" w:rsidTr="002B3855">
        <w:trPr>
          <w:trHeight w:val="107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单位净值</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hint="eastAsia"/>
                <w:sz w:val="18"/>
                <w:szCs w:val="18"/>
              </w:rPr>
              <w:t>理财产品端初始募集单位净值：</w:t>
            </w:r>
            <w:r>
              <w:rPr>
                <w:rFonts w:hint="eastAsia"/>
                <w:sz w:val="18"/>
                <w:szCs w:val="18"/>
              </w:rPr>
              <w:t>1.00</w:t>
            </w:r>
            <w:r>
              <w:rPr>
                <w:rFonts w:hint="eastAsia"/>
                <w:sz w:val="18"/>
                <w:szCs w:val="18"/>
              </w:rPr>
              <w:t>元</w:t>
            </w:r>
            <w:r>
              <w:rPr>
                <w:rFonts w:hint="eastAsia"/>
                <w:sz w:val="18"/>
                <w:szCs w:val="18"/>
              </w:rPr>
              <w:t>/</w:t>
            </w:r>
            <w:r>
              <w:rPr>
                <w:rFonts w:hint="eastAsia"/>
                <w:sz w:val="18"/>
                <w:szCs w:val="18"/>
              </w:rPr>
              <w:t>份；产品单位净值将随投资资产收益或价格的变化而变化，为</w:t>
            </w:r>
            <w:r>
              <w:rPr>
                <w:rFonts w:ascii="宋体" w:hAnsi="宋体" w:cs="宋体" w:hint="eastAsia"/>
                <w:kern w:val="0"/>
                <w:sz w:val="18"/>
                <w:szCs w:val="18"/>
              </w:rPr>
              <w:t>扣减托管费、固定管理费、销售服务费及相关税费后的单位理财计划份额的净值。理财计划单位净值保留至小数点后第8位，小数点8位以后去尾。</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b/>
                <w:bCs/>
              </w:rPr>
            </w:pPr>
            <w:r>
              <w:rPr>
                <w:rFonts w:ascii="宋体" w:hAnsi="宋体" w:cs="宋体" w:hint="eastAsia"/>
                <w:b/>
                <w:bCs/>
                <w:kern w:val="0"/>
                <w:sz w:val="18"/>
                <w:szCs w:val="18"/>
              </w:rPr>
              <w:lastRenderedPageBreak/>
              <w:t>业绩比较基准区间</w:t>
            </w:r>
          </w:p>
        </w:tc>
        <w:tc>
          <w:tcPr>
            <w:tcW w:w="8505" w:type="dxa"/>
            <w:tcMar>
              <w:top w:w="15" w:type="dxa"/>
              <w:left w:w="15" w:type="dxa"/>
              <w:bottom w:w="0" w:type="dxa"/>
              <w:right w:w="15" w:type="dxa"/>
            </w:tcMar>
            <w:vAlign w:val="center"/>
          </w:tcPr>
          <w:p w:rsidR="00FD45D3" w:rsidRPr="00C820F1" w:rsidRDefault="00FD45D3" w:rsidP="002B3855">
            <w:pPr>
              <w:widowControl/>
              <w:spacing w:line="360" w:lineRule="exact"/>
              <w:rPr>
                <w:rFonts w:ascii="宋体" w:hAnsi="宋体"/>
              </w:rPr>
            </w:pPr>
            <w:r w:rsidRPr="00C820F1">
              <w:rPr>
                <w:rFonts w:asciiTheme="minorEastAsia" w:eastAsiaTheme="minorEastAsia" w:hAnsiTheme="minorEastAsia" w:cs="宋体" w:hint="eastAsia"/>
                <w:kern w:val="0"/>
                <w:sz w:val="18"/>
                <w:szCs w:val="18"/>
              </w:rPr>
              <w:t>本理财产品业绩比较基准区间为</w:t>
            </w:r>
            <w:r w:rsidR="009B557B" w:rsidRPr="00C820F1">
              <w:rPr>
                <w:rFonts w:ascii="宋体" w:hAnsi="宋体" w:cs="宋体"/>
                <w:kern w:val="0"/>
                <w:sz w:val="18"/>
                <w:szCs w:val="18"/>
              </w:rPr>
              <w:t>2.8%-4.1%</w:t>
            </w:r>
            <w:r w:rsidRPr="00C820F1">
              <w:rPr>
                <w:rFonts w:ascii="宋体" w:hAnsi="宋体" w:cs="宋体" w:hint="eastAsia"/>
                <w:kern w:val="0"/>
                <w:sz w:val="18"/>
                <w:szCs w:val="18"/>
              </w:rPr>
              <w:t>。本产品为净值型理财产品，没有预期收益率。本行提醒投资者关注，</w:t>
            </w:r>
            <w:r w:rsidRPr="00C820F1">
              <w:rPr>
                <w:rFonts w:asciiTheme="minorEastAsia" w:eastAsiaTheme="minorEastAsia" w:hAnsiTheme="minorEastAsia" w:cs="宋体" w:hint="eastAsia"/>
                <w:kern w:val="0"/>
                <w:sz w:val="18"/>
                <w:szCs w:val="18"/>
              </w:rPr>
              <w:t>业绩比较基准区间</w:t>
            </w:r>
            <w:r w:rsidRPr="00C820F1">
              <w:rPr>
                <w:rFonts w:ascii="宋体" w:hAnsi="宋体" w:cs="宋体" w:hint="eastAsia"/>
                <w:kern w:val="0"/>
                <w:sz w:val="18"/>
                <w:szCs w:val="18"/>
              </w:rPr>
              <w:t>并不代表实际收益率。</w:t>
            </w:r>
            <w:r w:rsidRPr="00C820F1">
              <w:rPr>
                <w:rFonts w:asciiTheme="minorEastAsia" w:eastAsiaTheme="minorEastAsia" w:hAnsiTheme="minorEastAsia" w:cs="宋体" w:hint="eastAsia"/>
                <w:kern w:val="0"/>
                <w:sz w:val="18"/>
                <w:szCs w:val="18"/>
              </w:rPr>
              <w:t>业绩比较基准区间测算：根据本产品各类资产的拟投资比例、资产信用利差、久期敞口以及流动性溢价，结合当前宏观环境及各类资产价格所处位置，参考历史经验和回测结果。产品主要投资货币市场工具、标准化债权类资产，以投资信用债</w:t>
            </w:r>
            <w:r w:rsidRPr="00C820F1">
              <w:rPr>
                <w:rFonts w:asciiTheme="minorEastAsia" w:eastAsiaTheme="minorEastAsia" w:hAnsiTheme="minorEastAsia" w:cs="宋体"/>
                <w:kern w:val="0"/>
                <w:sz w:val="18"/>
                <w:szCs w:val="18"/>
              </w:rPr>
              <w:t>80</w:t>
            </w:r>
            <w:r w:rsidRPr="00C820F1">
              <w:rPr>
                <w:rFonts w:asciiTheme="minorEastAsia" w:eastAsiaTheme="minorEastAsia" w:hAnsiTheme="minorEastAsia" w:cs="宋体" w:hint="eastAsia"/>
                <w:kern w:val="0"/>
                <w:sz w:val="18"/>
                <w:szCs w:val="18"/>
              </w:rPr>
              <w:t>%-</w:t>
            </w:r>
            <w:r w:rsidRPr="00C820F1">
              <w:rPr>
                <w:rFonts w:asciiTheme="minorEastAsia" w:eastAsiaTheme="minorEastAsia" w:hAnsiTheme="minorEastAsia" w:cs="宋体"/>
                <w:kern w:val="0"/>
                <w:sz w:val="18"/>
                <w:szCs w:val="18"/>
              </w:rPr>
              <w:t>95</w:t>
            </w:r>
            <w:r w:rsidRPr="00C820F1">
              <w:rPr>
                <w:rFonts w:asciiTheme="minorEastAsia" w:eastAsiaTheme="minorEastAsia" w:hAnsiTheme="minorEastAsia" w:cs="宋体" w:hint="eastAsia"/>
                <w:kern w:val="0"/>
                <w:sz w:val="18"/>
                <w:szCs w:val="18"/>
              </w:rPr>
              <w:t>%，货币市场工具5%-</w:t>
            </w:r>
            <w:r w:rsidRPr="00C820F1">
              <w:rPr>
                <w:rFonts w:asciiTheme="minorEastAsia" w:eastAsiaTheme="minorEastAsia" w:hAnsiTheme="minorEastAsia" w:cs="宋体"/>
                <w:kern w:val="0"/>
                <w:sz w:val="18"/>
                <w:szCs w:val="18"/>
              </w:rPr>
              <w:t>20</w:t>
            </w:r>
            <w:r w:rsidRPr="00C820F1">
              <w:rPr>
                <w:rFonts w:asciiTheme="minorEastAsia" w:eastAsiaTheme="minorEastAsia" w:hAnsiTheme="minorEastAsia" w:cs="宋体" w:hint="eastAsia"/>
                <w:kern w:val="0"/>
                <w:sz w:val="18"/>
                <w:szCs w:val="18"/>
              </w:rPr>
              <w:t>%，债券型基金0-</w:t>
            </w:r>
            <w:r w:rsidRPr="00C820F1">
              <w:rPr>
                <w:rFonts w:asciiTheme="minorEastAsia" w:eastAsiaTheme="minorEastAsia" w:hAnsiTheme="minorEastAsia" w:cs="宋体"/>
                <w:kern w:val="0"/>
                <w:sz w:val="18"/>
                <w:szCs w:val="18"/>
              </w:rPr>
              <w:t>10</w:t>
            </w:r>
            <w:r w:rsidRPr="00C820F1">
              <w:rPr>
                <w:rFonts w:asciiTheme="minorEastAsia" w:eastAsiaTheme="minorEastAsia" w:hAnsiTheme="minorEastAsia" w:cs="宋体" w:hint="eastAsia"/>
                <w:kern w:val="0"/>
                <w:sz w:val="18"/>
                <w:szCs w:val="18"/>
              </w:rPr>
              <w:t>%，杠杆率1</w:t>
            </w:r>
            <w:r w:rsidRPr="00C820F1">
              <w:rPr>
                <w:rFonts w:asciiTheme="minorEastAsia" w:eastAsiaTheme="minorEastAsia" w:hAnsiTheme="minorEastAsia" w:cs="宋体"/>
                <w:kern w:val="0"/>
                <w:sz w:val="18"/>
                <w:szCs w:val="18"/>
              </w:rPr>
              <w:t>30</w:t>
            </w:r>
            <w:r w:rsidRPr="00C820F1">
              <w:rPr>
                <w:rFonts w:asciiTheme="minorEastAsia" w:eastAsiaTheme="minorEastAsia" w:hAnsiTheme="minorEastAsia" w:cs="宋体" w:hint="eastAsia"/>
                <w:kern w:val="0"/>
                <w:sz w:val="18"/>
                <w:szCs w:val="18"/>
              </w:rPr>
              <w:t>%为例，业绩基准参考中债新综合指数（1-</w:t>
            </w:r>
            <w:r w:rsidRPr="00C820F1">
              <w:rPr>
                <w:rFonts w:asciiTheme="minorEastAsia" w:eastAsiaTheme="minorEastAsia" w:hAnsiTheme="minorEastAsia" w:cs="宋体"/>
                <w:kern w:val="0"/>
                <w:sz w:val="18"/>
                <w:szCs w:val="18"/>
              </w:rPr>
              <w:t>3</w:t>
            </w:r>
            <w:r w:rsidRPr="00C820F1">
              <w:rPr>
                <w:rFonts w:asciiTheme="minorEastAsia" w:eastAsiaTheme="minorEastAsia" w:hAnsiTheme="minorEastAsia" w:cs="宋体" w:hint="eastAsia"/>
                <w:kern w:val="0"/>
                <w:sz w:val="18"/>
                <w:szCs w:val="18"/>
              </w:rPr>
              <w:t>年）收益率，考虑资本利得并结合投资策略，扣除各类税费，测算业绩比较基准为上述区间，不代表产品未来表现和实际收益。（示例仅供参考，具体投资比例可根据各类资产的收益水平、流动性特征、信用风险等因素动态调整。）</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业绩计提基准</w:t>
            </w:r>
          </w:p>
        </w:tc>
        <w:tc>
          <w:tcPr>
            <w:tcW w:w="8505" w:type="dxa"/>
            <w:tcMar>
              <w:top w:w="15" w:type="dxa"/>
              <w:left w:w="15" w:type="dxa"/>
              <w:bottom w:w="0" w:type="dxa"/>
              <w:right w:w="15" w:type="dxa"/>
            </w:tcMar>
            <w:vAlign w:val="center"/>
          </w:tcPr>
          <w:p w:rsidR="00FD45D3" w:rsidRPr="00C820F1" w:rsidRDefault="009B557B" w:rsidP="009B4BB8">
            <w:pPr>
              <w:widowControl/>
              <w:spacing w:line="360" w:lineRule="exact"/>
              <w:rPr>
                <w:rFonts w:ascii="宋体" w:hAnsi="宋体" w:cs="宋体"/>
                <w:kern w:val="0"/>
                <w:sz w:val="18"/>
                <w:szCs w:val="18"/>
              </w:rPr>
            </w:pPr>
            <w:r w:rsidRPr="00C820F1">
              <w:rPr>
                <w:rFonts w:ascii="宋体" w:hAnsi="宋体" w:cs="宋体" w:hint="eastAsia"/>
                <w:kern w:val="0"/>
                <w:sz w:val="18"/>
                <w:szCs w:val="18"/>
              </w:rPr>
              <w:t>2.8</w:t>
            </w:r>
            <w:r w:rsidR="00FD45D3" w:rsidRPr="00C820F1">
              <w:rPr>
                <w:rFonts w:ascii="宋体" w:hAnsi="宋体" w:cs="宋体" w:hint="eastAsia"/>
                <w:kern w:val="0"/>
                <w:sz w:val="18"/>
                <w:szCs w:val="18"/>
              </w:rPr>
              <w:t>%，</w:t>
            </w:r>
            <w:r w:rsidR="00FD45D3" w:rsidRPr="00C820F1">
              <w:rPr>
                <w:rFonts w:asciiTheme="minorEastAsia" w:eastAsiaTheme="minorEastAsia" w:hAnsiTheme="minorEastAsia" w:cs="宋体" w:hint="eastAsia"/>
                <w:kern w:val="0"/>
                <w:sz w:val="18"/>
                <w:szCs w:val="18"/>
              </w:rPr>
              <w:t>当收益超过该值时，本行有权提取超额收益。</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产品分红</w:t>
            </w:r>
          </w:p>
        </w:tc>
        <w:tc>
          <w:tcPr>
            <w:tcW w:w="8505" w:type="dxa"/>
            <w:tcMar>
              <w:top w:w="15" w:type="dxa"/>
              <w:left w:w="15" w:type="dxa"/>
              <w:bottom w:w="0" w:type="dxa"/>
              <w:right w:w="15" w:type="dxa"/>
            </w:tcMar>
            <w:vAlign w:val="center"/>
          </w:tcPr>
          <w:p w:rsidR="00FD45D3" w:rsidRPr="00C820F1" w:rsidRDefault="00FD45D3" w:rsidP="002B3855">
            <w:pPr>
              <w:widowControl/>
              <w:spacing w:line="360" w:lineRule="exact"/>
              <w:rPr>
                <w:rFonts w:ascii="宋体" w:hAnsi="宋体" w:cs="宋体"/>
                <w:kern w:val="0"/>
                <w:sz w:val="18"/>
                <w:szCs w:val="18"/>
              </w:rPr>
            </w:pPr>
            <w:r w:rsidRPr="00C820F1">
              <w:rPr>
                <w:rFonts w:ascii="宋体" w:hAnsi="宋体" w:cs="宋体" w:hint="eastAsia"/>
                <w:kern w:val="0"/>
                <w:sz w:val="18"/>
                <w:szCs w:val="18"/>
              </w:rPr>
              <w:t>本产品存续期间不分红。</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本金和理财收益</w:t>
            </w:r>
          </w:p>
        </w:tc>
        <w:tc>
          <w:tcPr>
            <w:tcW w:w="8505" w:type="dxa"/>
            <w:tcMar>
              <w:top w:w="15" w:type="dxa"/>
              <w:left w:w="15" w:type="dxa"/>
              <w:bottom w:w="0" w:type="dxa"/>
              <w:right w:w="15" w:type="dxa"/>
            </w:tcMar>
            <w:vAlign w:val="center"/>
          </w:tcPr>
          <w:p w:rsidR="00FD45D3" w:rsidRPr="00C820F1" w:rsidRDefault="00FD45D3" w:rsidP="002B3855">
            <w:pPr>
              <w:widowControl/>
              <w:spacing w:line="360" w:lineRule="exact"/>
              <w:rPr>
                <w:rFonts w:asciiTheme="minorEastAsia" w:eastAsiaTheme="minorEastAsia" w:hAnsiTheme="minorEastAsia" w:cs="宋体"/>
                <w:kern w:val="0"/>
                <w:sz w:val="18"/>
                <w:szCs w:val="18"/>
              </w:rPr>
            </w:pPr>
            <w:r w:rsidRPr="00C820F1">
              <w:rPr>
                <w:rFonts w:asciiTheme="minorEastAsia" w:eastAsiaTheme="minorEastAsia" w:hAnsiTheme="minorEastAsia" w:cs="宋体" w:hint="eastAsia"/>
                <w:kern w:val="0"/>
                <w:sz w:val="18"/>
                <w:szCs w:val="18"/>
              </w:rPr>
              <w:t>本理财产品不保障本金和收益。</w:t>
            </w:r>
          </w:p>
          <w:p w:rsidR="00FD45D3" w:rsidRPr="00C820F1" w:rsidRDefault="00FD45D3" w:rsidP="002B3855">
            <w:pPr>
              <w:spacing w:line="360" w:lineRule="exact"/>
              <w:rPr>
                <w:rFonts w:ascii="宋体" w:hAnsi="宋体" w:cs="宋体"/>
                <w:kern w:val="0"/>
                <w:sz w:val="18"/>
                <w:szCs w:val="18"/>
              </w:rPr>
            </w:pPr>
            <w:r w:rsidRPr="00C820F1">
              <w:rPr>
                <w:rFonts w:asciiTheme="minorEastAsia" w:eastAsiaTheme="minorEastAsia" w:hAnsiTheme="minorEastAsia" w:cs="宋体" w:hint="eastAsia"/>
                <w:kern w:val="0"/>
                <w:sz w:val="18"/>
                <w:szCs w:val="18"/>
              </w:rPr>
              <w:t>投资者理财收益＝理财产品投资份额×理财产品到期时单位净值（扣减托管费、固定管理费、销售服务费及相关税费后）</w:t>
            </w:r>
            <w:r w:rsidRPr="00C820F1">
              <w:rPr>
                <w:rFonts w:asciiTheme="minorEastAsia" w:eastAsiaTheme="minorEastAsia" w:hAnsiTheme="minorEastAsia" w:cs="宋体"/>
                <w:kern w:val="0"/>
                <w:sz w:val="18"/>
                <w:szCs w:val="18"/>
              </w:rPr>
              <w:t>-</w:t>
            </w:r>
            <w:r w:rsidRPr="00C820F1">
              <w:rPr>
                <w:rFonts w:asciiTheme="minorEastAsia" w:eastAsiaTheme="minorEastAsia" w:hAnsiTheme="minorEastAsia" w:cs="宋体" w:hint="eastAsia"/>
                <w:kern w:val="0"/>
                <w:sz w:val="18"/>
                <w:szCs w:val="18"/>
              </w:rPr>
              <w:t>客户投资本金-浮动管理费（如有）。</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相关税费</w:t>
            </w:r>
          </w:p>
        </w:tc>
        <w:tc>
          <w:tcPr>
            <w:tcW w:w="8505" w:type="dxa"/>
            <w:tcMar>
              <w:top w:w="15" w:type="dxa"/>
              <w:left w:w="15" w:type="dxa"/>
              <w:bottom w:w="0" w:type="dxa"/>
              <w:right w:w="15" w:type="dxa"/>
            </w:tcMar>
            <w:vAlign w:val="center"/>
          </w:tcPr>
          <w:p w:rsidR="00AA0206" w:rsidRPr="00C820F1" w:rsidRDefault="00AA0206" w:rsidP="00AA0206">
            <w:pPr>
              <w:spacing w:line="360" w:lineRule="exact"/>
              <w:rPr>
                <w:rFonts w:ascii="宋体" w:hAnsi="宋体"/>
                <w:kern w:val="0"/>
                <w:sz w:val="18"/>
                <w:szCs w:val="18"/>
              </w:rPr>
            </w:pPr>
            <w:r w:rsidRPr="00C820F1">
              <w:rPr>
                <w:rFonts w:ascii="宋体" w:hAnsi="宋体" w:cs="宋体" w:hint="eastAsia"/>
                <w:kern w:val="0"/>
                <w:sz w:val="18"/>
                <w:szCs w:val="18"/>
              </w:rPr>
              <w:t>本产品不收取认购费。</w:t>
            </w:r>
          </w:p>
          <w:p w:rsidR="00AA0206" w:rsidRPr="00C820F1" w:rsidRDefault="00AA0206" w:rsidP="00AA0206">
            <w:pPr>
              <w:spacing w:line="360" w:lineRule="exact"/>
              <w:rPr>
                <w:rFonts w:ascii="宋体" w:hAnsi="宋体" w:cs="宋体"/>
                <w:kern w:val="0"/>
                <w:sz w:val="18"/>
                <w:szCs w:val="18"/>
              </w:rPr>
            </w:pPr>
            <w:r w:rsidRPr="00C820F1">
              <w:rPr>
                <w:rFonts w:ascii="宋体" w:hAnsi="宋体" w:cs="宋体" w:hint="eastAsia"/>
                <w:kern w:val="0"/>
                <w:sz w:val="18"/>
                <w:szCs w:val="18"/>
              </w:rPr>
              <w:t>本产品托管人按照理财产品资产净值收取托管费，费率为年化</w:t>
            </w:r>
            <w:r w:rsidRPr="00C820F1">
              <w:rPr>
                <w:rFonts w:ascii="宋体" w:hAnsi="宋体" w:cs="宋体"/>
                <w:kern w:val="0"/>
                <w:sz w:val="18"/>
                <w:szCs w:val="18"/>
              </w:rPr>
              <w:t>0.01%</w:t>
            </w:r>
            <w:r w:rsidRPr="00C820F1">
              <w:rPr>
                <w:rFonts w:ascii="宋体" w:hAnsi="宋体" w:cs="宋体" w:hint="eastAsia"/>
                <w:kern w:val="0"/>
                <w:sz w:val="18"/>
                <w:szCs w:val="18"/>
              </w:rPr>
              <w:t>，每日计提，在收益分配日及产品到期日支付。</w:t>
            </w:r>
          </w:p>
          <w:p w:rsidR="00FD45D3" w:rsidRPr="00C820F1" w:rsidRDefault="00AA0206" w:rsidP="00AA0206">
            <w:pPr>
              <w:spacing w:line="360" w:lineRule="exact"/>
              <w:rPr>
                <w:rFonts w:ascii="宋体" w:hAnsi="宋体" w:cs="宋体"/>
                <w:kern w:val="0"/>
                <w:sz w:val="18"/>
                <w:szCs w:val="18"/>
              </w:rPr>
            </w:pPr>
            <w:r w:rsidRPr="00C820F1">
              <w:rPr>
                <w:rFonts w:ascii="宋体" w:hAnsi="宋体" w:cs="宋体" w:hint="eastAsia"/>
                <w:kern w:val="0"/>
                <w:sz w:val="18"/>
                <w:szCs w:val="18"/>
              </w:rPr>
              <w:t>本产品估值外包服务机构按照理财产品资产净值收取服务费，费率为年化</w:t>
            </w:r>
            <w:r w:rsidRPr="00C820F1">
              <w:rPr>
                <w:rFonts w:ascii="宋体" w:hAnsi="宋体" w:cs="宋体"/>
                <w:kern w:val="0"/>
                <w:sz w:val="18"/>
                <w:szCs w:val="18"/>
              </w:rPr>
              <w:t>0.005%</w:t>
            </w:r>
            <w:r w:rsidRPr="00C820F1">
              <w:rPr>
                <w:rFonts w:ascii="宋体" w:hAnsi="宋体" w:cs="宋体" w:hint="eastAsia"/>
                <w:kern w:val="0"/>
                <w:sz w:val="18"/>
                <w:szCs w:val="18"/>
              </w:rPr>
              <w:t>，每日计提，在收益分配日及产品到期日支付。</w:t>
            </w:r>
          </w:p>
          <w:p w:rsidR="00FD45D3" w:rsidRPr="00C820F1" w:rsidRDefault="009B557B" w:rsidP="002B3855">
            <w:pPr>
              <w:spacing w:line="360" w:lineRule="exact"/>
              <w:rPr>
                <w:rFonts w:ascii="宋体" w:hAnsi="宋体" w:cs="宋体"/>
                <w:kern w:val="0"/>
                <w:sz w:val="18"/>
                <w:szCs w:val="18"/>
              </w:rPr>
            </w:pPr>
            <w:r w:rsidRPr="00C820F1">
              <w:rPr>
                <w:rFonts w:ascii="宋体" w:hAnsi="宋体" w:cs="宋体" w:hint="eastAsia"/>
                <w:kern w:val="0"/>
                <w:sz w:val="18"/>
                <w:szCs w:val="18"/>
              </w:rPr>
              <w:t>管理人根据理财计划投资情况计算浮动管理费。当投资资产组合净值扣除托管费、外包服务费超过2.8</w:t>
            </w:r>
            <w:r w:rsidRPr="00C820F1">
              <w:rPr>
                <w:rFonts w:ascii="宋体" w:hAnsi="宋体" w:cs="宋体"/>
                <w:kern w:val="0"/>
                <w:sz w:val="18"/>
                <w:szCs w:val="18"/>
              </w:rPr>
              <w:t>%</w:t>
            </w:r>
            <w:r w:rsidRPr="00C820F1">
              <w:rPr>
                <w:rFonts w:ascii="宋体" w:hAnsi="宋体" w:cs="宋体" w:hint="eastAsia"/>
                <w:kern w:val="0"/>
                <w:sz w:val="18"/>
                <w:szCs w:val="18"/>
              </w:rPr>
              <w:t>时，本行有权提取投资管理费。若投资资产组合净值不超过3.1</w:t>
            </w:r>
            <w:r w:rsidRPr="00C820F1">
              <w:rPr>
                <w:rFonts w:ascii="宋体" w:hAnsi="宋体" w:cs="宋体"/>
                <w:kern w:val="0"/>
                <w:sz w:val="18"/>
                <w:szCs w:val="18"/>
              </w:rPr>
              <w:t>%</w:t>
            </w:r>
            <w:r w:rsidRPr="00C820F1">
              <w:rPr>
                <w:rFonts w:ascii="宋体" w:hAnsi="宋体" w:cs="宋体" w:hint="eastAsia"/>
                <w:kern w:val="0"/>
                <w:sz w:val="18"/>
                <w:szCs w:val="18"/>
              </w:rPr>
              <w:t>，按超出部分作为投资管理费；若投资资产组合净值超过3.1</w:t>
            </w:r>
            <w:r w:rsidRPr="00C820F1">
              <w:rPr>
                <w:rFonts w:ascii="宋体" w:hAnsi="宋体" w:cs="宋体"/>
                <w:kern w:val="0"/>
                <w:sz w:val="18"/>
                <w:szCs w:val="18"/>
              </w:rPr>
              <w:t>%</w:t>
            </w:r>
            <w:r w:rsidRPr="00C820F1">
              <w:rPr>
                <w:rFonts w:ascii="宋体" w:hAnsi="宋体" w:cs="宋体" w:hint="eastAsia"/>
                <w:kern w:val="0"/>
                <w:sz w:val="18"/>
                <w:szCs w:val="18"/>
              </w:rPr>
              <w:t>，则超过3.1</w:t>
            </w:r>
            <w:r w:rsidRPr="00C820F1">
              <w:rPr>
                <w:rFonts w:ascii="宋体" w:hAnsi="宋体" w:cs="宋体"/>
                <w:kern w:val="0"/>
                <w:sz w:val="18"/>
                <w:szCs w:val="18"/>
              </w:rPr>
              <w:t>%</w:t>
            </w:r>
            <w:r w:rsidRPr="00C820F1">
              <w:rPr>
                <w:rFonts w:ascii="宋体" w:hAnsi="宋体" w:cs="宋体" w:hint="eastAsia"/>
                <w:kern w:val="0"/>
                <w:sz w:val="18"/>
                <w:szCs w:val="18"/>
              </w:rPr>
              <w:t>的部分中</w:t>
            </w:r>
            <w:r w:rsidRPr="00C820F1">
              <w:rPr>
                <w:rFonts w:ascii="宋体" w:hAnsi="宋体" w:cs="宋体"/>
                <w:kern w:val="0"/>
                <w:sz w:val="18"/>
                <w:szCs w:val="18"/>
              </w:rPr>
              <w:t>30%</w:t>
            </w:r>
            <w:r w:rsidRPr="00C820F1">
              <w:rPr>
                <w:rFonts w:ascii="宋体" w:hAnsi="宋体" w:cs="宋体" w:hint="eastAsia"/>
                <w:kern w:val="0"/>
                <w:sz w:val="18"/>
                <w:szCs w:val="18"/>
              </w:rPr>
              <w:t>作为投资管理费。若理财产品实际收益等于或小于业绩计提基准收益、外包服务费和托管费之和，则不收取投资管理费。</w:t>
            </w:r>
          </w:p>
          <w:p w:rsidR="00FD45D3" w:rsidRPr="00C820F1" w:rsidRDefault="00FD45D3" w:rsidP="002B3855">
            <w:pPr>
              <w:spacing w:line="360" w:lineRule="exact"/>
              <w:rPr>
                <w:rFonts w:ascii="宋体" w:hAnsi="宋体" w:cs="宋体"/>
                <w:kern w:val="0"/>
                <w:sz w:val="18"/>
                <w:szCs w:val="18"/>
              </w:rPr>
            </w:pPr>
            <w:r w:rsidRPr="00C820F1">
              <w:rPr>
                <w:rFonts w:ascii="宋体" w:hAnsi="宋体" w:cs="宋体" w:hint="eastAsia"/>
                <w:kern w:val="0"/>
                <w:sz w:val="18"/>
                <w:szCs w:val="18"/>
              </w:rPr>
              <w:t>或有费用：交易费用（包括但不限于交易佣金、撮合费用等）、理财产品验资费、审计费、律师费、信息披露费、清算费、执行费、税费等相关费用。</w:t>
            </w:r>
          </w:p>
          <w:p w:rsidR="00FD45D3" w:rsidRPr="00C820F1" w:rsidRDefault="00FD45D3" w:rsidP="002B3855">
            <w:pPr>
              <w:spacing w:line="360" w:lineRule="exact"/>
              <w:rPr>
                <w:rFonts w:ascii="宋体" w:hAnsi="宋体"/>
                <w:kern w:val="0"/>
              </w:rPr>
            </w:pPr>
            <w:r w:rsidRPr="00C820F1">
              <w:rPr>
                <w:rFonts w:ascii="宋体" w:hAnsi="宋体" w:cs="宋体" w:hint="eastAsia"/>
                <w:kern w:val="0"/>
                <w:sz w:val="18"/>
                <w:szCs w:val="18"/>
              </w:rPr>
              <w:t>上述费用具体以实际发生为准，从理财产品财产中支付。</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提前终止权</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产品存续期内时，客户无提前终止权；桐庐农商银行有权根据市场行情发生极端变化、监管部门政策要求使产品要素需做较大调整等因素宣布提前终止本理财计划。</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融资服务</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本理财产品不能办理质押和转让业务。</w:t>
            </w:r>
          </w:p>
        </w:tc>
      </w:tr>
      <w:tr w:rsidR="00AA0206" w:rsidTr="002B3855">
        <w:trPr>
          <w:trHeight w:val="315"/>
          <w:jc w:val="center"/>
        </w:trPr>
        <w:tc>
          <w:tcPr>
            <w:tcW w:w="1533" w:type="dxa"/>
            <w:tcMar>
              <w:top w:w="15" w:type="dxa"/>
              <w:left w:w="15" w:type="dxa"/>
              <w:bottom w:w="0" w:type="dxa"/>
              <w:right w:w="15" w:type="dxa"/>
            </w:tcMar>
            <w:vAlign w:val="center"/>
          </w:tcPr>
          <w:p w:rsidR="00AA0206" w:rsidRDefault="00AA0206" w:rsidP="002B3855">
            <w:pPr>
              <w:spacing w:line="360" w:lineRule="exact"/>
              <w:jc w:val="center"/>
              <w:rPr>
                <w:rFonts w:ascii="宋体" w:hAnsi="宋体"/>
                <w:b/>
                <w:bCs/>
                <w:kern w:val="0"/>
                <w:sz w:val="18"/>
                <w:szCs w:val="18"/>
              </w:rPr>
            </w:pPr>
            <w:r>
              <w:rPr>
                <w:rFonts w:ascii="宋体" w:hAnsi="宋体" w:hint="eastAsia"/>
                <w:b/>
                <w:bCs/>
                <w:kern w:val="0"/>
                <w:sz w:val="18"/>
                <w:szCs w:val="18"/>
              </w:rPr>
              <w:t>产品托管人</w:t>
            </w:r>
          </w:p>
        </w:tc>
        <w:tc>
          <w:tcPr>
            <w:tcW w:w="8505" w:type="dxa"/>
            <w:tcMar>
              <w:top w:w="15" w:type="dxa"/>
              <w:left w:w="15" w:type="dxa"/>
              <w:bottom w:w="0" w:type="dxa"/>
              <w:right w:w="15" w:type="dxa"/>
            </w:tcMar>
            <w:vAlign w:val="center"/>
          </w:tcPr>
          <w:p w:rsidR="00AA0206" w:rsidRPr="006D3301" w:rsidRDefault="00AA0206" w:rsidP="00191B7C">
            <w:pPr>
              <w:spacing w:line="360" w:lineRule="exact"/>
              <w:rPr>
                <w:rFonts w:ascii="宋体" w:hAnsi="宋体" w:cs="宋体"/>
                <w:kern w:val="0"/>
                <w:sz w:val="18"/>
                <w:szCs w:val="18"/>
              </w:rPr>
            </w:pPr>
            <w:r>
              <w:rPr>
                <w:rFonts w:ascii="宋体" w:hAnsi="宋体" w:cs="宋体" w:hint="eastAsia"/>
                <w:kern w:val="0"/>
                <w:sz w:val="18"/>
                <w:szCs w:val="18"/>
              </w:rPr>
              <w:t>兴业</w:t>
            </w:r>
            <w:r w:rsidRPr="006D3301">
              <w:rPr>
                <w:rFonts w:ascii="宋体" w:hAnsi="宋体" w:cs="宋体" w:hint="eastAsia"/>
                <w:kern w:val="0"/>
                <w:sz w:val="18"/>
                <w:szCs w:val="18"/>
              </w:rPr>
              <w:t>银行股份有限公司杭州分行</w:t>
            </w:r>
          </w:p>
        </w:tc>
      </w:tr>
      <w:tr w:rsidR="00AA0206" w:rsidTr="002B3855">
        <w:trPr>
          <w:trHeight w:val="315"/>
          <w:jc w:val="center"/>
        </w:trPr>
        <w:tc>
          <w:tcPr>
            <w:tcW w:w="1533" w:type="dxa"/>
            <w:tcMar>
              <w:top w:w="15" w:type="dxa"/>
              <w:left w:w="15" w:type="dxa"/>
              <w:bottom w:w="0" w:type="dxa"/>
              <w:right w:w="15" w:type="dxa"/>
            </w:tcMar>
            <w:vAlign w:val="center"/>
          </w:tcPr>
          <w:p w:rsidR="00AA0206" w:rsidRDefault="00AA0206" w:rsidP="002B3855">
            <w:pPr>
              <w:spacing w:line="360" w:lineRule="exact"/>
              <w:jc w:val="center"/>
              <w:rPr>
                <w:rFonts w:ascii="宋体" w:hAnsi="宋体"/>
                <w:b/>
                <w:bCs/>
                <w:kern w:val="0"/>
                <w:sz w:val="18"/>
                <w:szCs w:val="18"/>
              </w:rPr>
            </w:pPr>
            <w:bookmarkStart w:id="1" w:name="_Hlk98486310"/>
            <w:r>
              <w:rPr>
                <w:rFonts w:ascii="宋体" w:hAnsi="宋体" w:hint="eastAsia"/>
                <w:b/>
                <w:bCs/>
                <w:kern w:val="0"/>
                <w:sz w:val="18"/>
                <w:szCs w:val="18"/>
              </w:rPr>
              <w:t>估值外包服务机构</w:t>
            </w:r>
          </w:p>
        </w:tc>
        <w:tc>
          <w:tcPr>
            <w:tcW w:w="8505" w:type="dxa"/>
            <w:tcMar>
              <w:top w:w="15" w:type="dxa"/>
              <w:left w:w="15" w:type="dxa"/>
              <w:bottom w:w="0" w:type="dxa"/>
              <w:right w:w="15" w:type="dxa"/>
            </w:tcMar>
            <w:vAlign w:val="center"/>
          </w:tcPr>
          <w:p w:rsidR="00AA0206" w:rsidRPr="006D3301" w:rsidRDefault="00AA0206" w:rsidP="00191B7C">
            <w:pPr>
              <w:spacing w:line="360" w:lineRule="exact"/>
              <w:rPr>
                <w:rFonts w:ascii="宋体" w:hAnsi="宋体" w:cs="宋体"/>
                <w:kern w:val="0"/>
                <w:sz w:val="18"/>
                <w:szCs w:val="18"/>
              </w:rPr>
            </w:pPr>
            <w:r>
              <w:rPr>
                <w:rFonts w:ascii="宋体" w:hAnsi="宋体" w:cs="宋体" w:hint="eastAsia"/>
                <w:kern w:val="0"/>
                <w:sz w:val="18"/>
                <w:szCs w:val="18"/>
              </w:rPr>
              <w:t>兴业</w:t>
            </w:r>
            <w:r w:rsidRPr="006D3301">
              <w:rPr>
                <w:rFonts w:ascii="宋体" w:hAnsi="宋体" w:cs="宋体" w:hint="eastAsia"/>
                <w:kern w:val="0"/>
                <w:sz w:val="18"/>
                <w:szCs w:val="18"/>
              </w:rPr>
              <w:t>银行股份有限公司杭州分行</w:t>
            </w:r>
          </w:p>
        </w:tc>
      </w:tr>
      <w:bookmarkEnd w:id="1"/>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仿宋_GB2312" w:hint="eastAsia"/>
                <w:b/>
                <w:bCs/>
                <w:sz w:val="18"/>
                <w:szCs w:val="18"/>
              </w:rPr>
              <w:t>估值方法</w:t>
            </w:r>
          </w:p>
        </w:tc>
        <w:tc>
          <w:tcPr>
            <w:tcW w:w="8505" w:type="dxa"/>
            <w:tcMar>
              <w:top w:w="15" w:type="dxa"/>
              <w:left w:w="15" w:type="dxa"/>
              <w:bottom w:w="0" w:type="dxa"/>
              <w:right w:w="15" w:type="dxa"/>
            </w:tcMar>
            <w:vAlign w:val="center"/>
          </w:tcPr>
          <w:p w:rsidR="00FD45D3" w:rsidRDefault="00450DB2" w:rsidP="00450DB2">
            <w:pPr>
              <w:spacing w:line="360" w:lineRule="exact"/>
              <w:rPr>
                <w:rFonts w:ascii="宋体" w:hAnsi="宋体" w:cs="宋体"/>
                <w:kern w:val="0"/>
                <w:sz w:val="18"/>
                <w:szCs w:val="18"/>
              </w:rPr>
            </w:pPr>
            <w:r>
              <w:rPr>
                <w:rFonts w:ascii="宋体" w:hAnsi="宋体" w:cs="仿宋_GB2312" w:hint="eastAsia"/>
                <w:sz w:val="18"/>
                <w:szCs w:val="18"/>
              </w:rPr>
              <w:t>本产品投资财通资管集合资产管理计划，参照财通资管集合资产管理计划每日计算出的资产净值及单位净值为基础估值，</w:t>
            </w:r>
            <w:r w:rsidRPr="006D3301">
              <w:rPr>
                <w:rFonts w:ascii="宋体" w:hAnsi="宋体" w:cs="仿宋_GB2312" w:hint="eastAsia"/>
                <w:sz w:val="18"/>
                <w:szCs w:val="18"/>
              </w:rPr>
              <w:t>属于市值法</w:t>
            </w:r>
            <w:r>
              <w:rPr>
                <w:rFonts w:ascii="宋体" w:hAnsi="宋体" w:cs="仿宋_GB2312" w:hint="eastAsia"/>
                <w:sz w:val="18"/>
                <w:szCs w:val="18"/>
              </w:rPr>
              <w:t>。</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仿宋_GB2312"/>
                <w:b/>
                <w:bCs/>
                <w:sz w:val="18"/>
                <w:szCs w:val="18"/>
              </w:rPr>
            </w:pPr>
            <w:r>
              <w:rPr>
                <w:rFonts w:ascii="宋体" w:hAnsi="宋体" w:cs="仿宋_GB2312" w:hint="eastAsia"/>
                <w:b/>
                <w:bCs/>
                <w:sz w:val="18"/>
                <w:szCs w:val="18"/>
              </w:rPr>
              <w:t>估值日及估值频率</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仿宋_GB2312"/>
                <w:sz w:val="18"/>
                <w:szCs w:val="18"/>
              </w:rPr>
            </w:pPr>
            <w:bookmarkStart w:id="2" w:name="_Hlk98852467"/>
            <w:r>
              <w:rPr>
                <w:rFonts w:ascii="宋体" w:hAnsi="宋体" w:cs="仿宋_GB2312" w:hint="eastAsia"/>
                <w:sz w:val="18"/>
                <w:szCs w:val="18"/>
              </w:rPr>
              <w:t>每周第一个工作日公布上周最后一个工作日</w:t>
            </w:r>
            <w:r>
              <w:rPr>
                <w:rFonts w:asciiTheme="minorEastAsia" w:eastAsiaTheme="minorEastAsia" w:hAnsiTheme="minorEastAsia" w:cs="仿宋_GB2312" w:hint="eastAsia"/>
                <w:sz w:val="18"/>
                <w:szCs w:val="18"/>
              </w:rPr>
              <w:t>理财产品单位净值（</w:t>
            </w:r>
            <w:r>
              <w:rPr>
                <w:rFonts w:asciiTheme="minorEastAsia" w:eastAsiaTheme="minorEastAsia" w:hAnsiTheme="minorEastAsia" w:cs="宋体" w:hint="eastAsia"/>
                <w:kern w:val="0"/>
                <w:sz w:val="18"/>
                <w:szCs w:val="18"/>
              </w:rPr>
              <w:t>扣减托管费、固定管理费、销售服务费及相关税费，但未扣减浮动管理费（如有）</w:t>
            </w:r>
            <w:r>
              <w:rPr>
                <w:rFonts w:asciiTheme="minorEastAsia" w:eastAsiaTheme="minorEastAsia" w:hAnsiTheme="minorEastAsia" w:cs="仿宋_GB2312" w:hint="eastAsia"/>
                <w:sz w:val="18"/>
                <w:szCs w:val="18"/>
              </w:rPr>
              <w:t>）</w:t>
            </w:r>
            <w:r>
              <w:rPr>
                <w:rFonts w:ascii="宋体" w:hAnsi="宋体" w:cs="仿宋_GB2312" w:hint="eastAsia"/>
                <w:sz w:val="18"/>
                <w:szCs w:val="18"/>
              </w:rPr>
              <w:t>。估值日为上周最后一个工作日，估值公布日为当周第一个工作日。</w:t>
            </w:r>
            <w:bookmarkEnd w:id="2"/>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其他规定</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kern w:val="0"/>
                <w:sz w:val="18"/>
                <w:szCs w:val="18"/>
              </w:rPr>
              <w:t>1.</w:t>
            </w:r>
            <w:r>
              <w:rPr>
                <w:rFonts w:ascii="宋体" w:hAnsi="宋体" w:cs="宋体" w:hint="eastAsia"/>
                <w:kern w:val="0"/>
                <w:sz w:val="18"/>
                <w:szCs w:val="18"/>
              </w:rPr>
              <w:t>认购期内，客户认购资金按当时实行的活期利率计息，募集期内的利息所得不计入认购金额。</w:t>
            </w:r>
          </w:p>
          <w:p w:rsidR="00FD45D3" w:rsidRDefault="00FD45D3" w:rsidP="002B3855">
            <w:pPr>
              <w:autoSpaceDE w:val="0"/>
              <w:autoSpaceDN w:val="0"/>
              <w:adjustRightInd w:val="0"/>
              <w:spacing w:line="360" w:lineRule="exact"/>
              <w:rPr>
                <w:rFonts w:ascii="宋体" w:hAnsi="宋体"/>
                <w:kern w:val="0"/>
                <w:sz w:val="18"/>
                <w:szCs w:val="18"/>
              </w:rPr>
            </w:pPr>
            <w:r>
              <w:rPr>
                <w:rFonts w:ascii="宋体" w:hAnsi="宋体" w:cs="宋体"/>
                <w:kern w:val="0"/>
                <w:sz w:val="18"/>
                <w:szCs w:val="18"/>
              </w:rPr>
              <w:t>2.</w:t>
            </w:r>
            <w:r>
              <w:rPr>
                <w:rFonts w:ascii="宋体" w:hAnsi="宋体" w:cs="宋体" w:hint="eastAsia"/>
                <w:kern w:val="0"/>
                <w:sz w:val="18"/>
                <w:szCs w:val="18"/>
              </w:rPr>
              <w:t>认购申请成功受理后，资金即冻结，客户在认购申请期内撤销认购申请方可支取和使用。认购资金的冻结不代表该认购成功，客户实际认购成功的金额以产品成立日发行银行最终确认并实际扣款的资金为准。发行银行将在产品成立日的次一工作日内将客户未认购成功的资金（如有）解除冻结。</w:t>
            </w:r>
          </w:p>
          <w:p w:rsidR="00FD45D3" w:rsidRDefault="00FD45D3" w:rsidP="002B3855">
            <w:pPr>
              <w:autoSpaceDE w:val="0"/>
              <w:autoSpaceDN w:val="0"/>
              <w:adjustRightInd w:val="0"/>
              <w:spacing w:line="360" w:lineRule="exact"/>
              <w:rPr>
                <w:rFonts w:ascii="宋体" w:hAnsi="宋体" w:cs="宋体"/>
                <w:kern w:val="0"/>
                <w:sz w:val="18"/>
                <w:szCs w:val="18"/>
              </w:rPr>
            </w:pPr>
            <w:r>
              <w:rPr>
                <w:rFonts w:ascii="宋体" w:hAnsi="宋体" w:cs="宋体"/>
                <w:kern w:val="0"/>
                <w:sz w:val="18"/>
                <w:szCs w:val="18"/>
              </w:rPr>
              <w:lastRenderedPageBreak/>
              <w:t>3.</w:t>
            </w:r>
            <w:r>
              <w:rPr>
                <w:rFonts w:ascii="宋体" w:hAnsi="宋体" w:cs="宋体" w:hint="eastAsia"/>
                <w:kern w:val="0"/>
                <w:sz w:val="18"/>
                <w:szCs w:val="18"/>
              </w:rPr>
              <w:t>桐庐农商银行有权根据市场情况和本产品运作情况，对本理财计划的收费项目、条件、标准和方式进行调整。</w:t>
            </w:r>
          </w:p>
          <w:p w:rsidR="00FD45D3" w:rsidRDefault="00FD45D3" w:rsidP="002B3855">
            <w:pPr>
              <w:autoSpaceDE w:val="0"/>
              <w:autoSpaceDN w:val="0"/>
              <w:adjustRightInd w:val="0"/>
              <w:spacing w:line="360" w:lineRule="exact"/>
              <w:rPr>
                <w:rFonts w:ascii="宋体" w:hAnsi="宋体"/>
                <w:b/>
                <w:bCs/>
                <w:kern w:val="0"/>
              </w:rPr>
            </w:pPr>
            <w:r>
              <w:rPr>
                <w:rFonts w:ascii="宋体" w:hAnsi="宋体" w:cs="宋体" w:hint="eastAsia"/>
                <w:b/>
                <w:bCs/>
                <w:kern w:val="0"/>
                <w:sz w:val="18"/>
                <w:szCs w:val="18"/>
              </w:rPr>
              <w:t>4.本理财产品可能会投资于资产管理产品，在赎回资产管理产品时，资产管理产品可能会计提业绩报酬，上述费用的计提时将会扣减资产管理产品的资产净值，从而造成赎回计划时可获得收益下降。</w:t>
            </w:r>
          </w:p>
        </w:tc>
      </w:tr>
    </w:tbl>
    <w:p w:rsidR="00450DB2" w:rsidRDefault="00450DB2" w:rsidP="00450DB2">
      <w:pPr>
        <w:spacing w:line="360" w:lineRule="exact"/>
        <w:rPr>
          <w:rFonts w:ascii="宋体" w:hAnsi="宋体"/>
          <w:b/>
          <w:bCs/>
        </w:rPr>
      </w:pPr>
      <w:r>
        <w:rPr>
          <w:rFonts w:ascii="宋体" w:hAnsi="宋体" w:cs="宋体" w:hint="eastAsia"/>
          <w:b/>
          <w:bCs/>
        </w:rPr>
        <w:lastRenderedPageBreak/>
        <w:t>特别说明：本理财产品属于净值型理财产品，无预期收益率，投资须谨慎。桐庐农商银行对理财本金及收益不提供保证承诺，请客户基于自身的独立判断进行投资决策。</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理财产品估值</w:t>
      </w:r>
    </w:p>
    <w:p w:rsidR="00450DB2" w:rsidRPr="006D3301" w:rsidRDefault="00450DB2" w:rsidP="00450DB2">
      <w:pPr>
        <w:spacing w:line="360" w:lineRule="exact"/>
        <w:ind w:firstLineChars="200" w:firstLine="420"/>
        <w:rPr>
          <w:rFonts w:ascii="宋体" w:hAnsi="宋体" w:cs="宋体"/>
          <w:kern w:val="0"/>
        </w:rPr>
      </w:pPr>
      <w:r w:rsidRPr="006D3301">
        <w:rPr>
          <w:rFonts w:ascii="宋体" w:hAnsi="宋体" w:cs="宋体" w:hint="eastAsia"/>
          <w:kern w:val="0"/>
        </w:rPr>
        <w:t>（一）估值日</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450DB2" w:rsidRPr="006D3301" w:rsidRDefault="00450DB2" w:rsidP="00450DB2">
      <w:pPr>
        <w:spacing w:line="360" w:lineRule="exact"/>
        <w:ind w:firstLineChars="200" w:firstLine="420"/>
        <w:rPr>
          <w:rFonts w:ascii="宋体" w:hAnsi="宋体"/>
          <w:kern w:val="0"/>
        </w:rPr>
      </w:pPr>
      <w:r w:rsidRPr="006D3301">
        <w:rPr>
          <w:rFonts w:ascii="宋体" w:hAnsi="宋体" w:cs="宋体" w:hint="eastAsia"/>
          <w:kern w:val="0"/>
        </w:rPr>
        <w:t>（二）估值对象</w:t>
      </w:r>
    </w:p>
    <w:p w:rsidR="00450DB2" w:rsidRPr="006D3301" w:rsidRDefault="00450DB2" w:rsidP="00450DB2">
      <w:pPr>
        <w:spacing w:line="360" w:lineRule="exact"/>
        <w:ind w:firstLineChars="200" w:firstLine="420"/>
        <w:rPr>
          <w:rFonts w:ascii="宋体" w:hAnsi="宋体"/>
          <w:kern w:val="0"/>
        </w:rPr>
      </w:pPr>
      <w:r w:rsidRPr="006D3301">
        <w:rPr>
          <w:rFonts w:ascii="宋体" w:hAnsi="宋体" w:cs="宋体" w:hint="eastAsia"/>
          <w:kern w:val="0"/>
        </w:rPr>
        <w:t>本理财产品所拥有的所有金融资产及金融负债。</w:t>
      </w:r>
    </w:p>
    <w:p w:rsidR="00450DB2" w:rsidRPr="006D3301" w:rsidRDefault="00450DB2" w:rsidP="00450DB2">
      <w:pPr>
        <w:spacing w:line="360" w:lineRule="exact"/>
        <w:ind w:firstLineChars="200" w:firstLine="420"/>
        <w:rPr>
          <w:rFonts w:ascii="宋体" w:hAnsi="宋体" w:cs="宋体"/>
          <w:kern w:val="0"/>
        </w:rPr>
      </w:pPr>
      <w:r w:rsidRPr="006D3301">
        <w:rPr>
          <w:rFonts w:ascii="宋体" w:hAnsi="宋体" w:cs="宋体" w:hint="eastAsia"/>
          <w:kern w:val="0"/>
        </w:rPr>
        <w:t>（三）估值目的</w:t>
      </w:r>
    </w:p>
    <w:p w:rsidR="00450DB2" w:rsidRPr="006D3301" w:rsidRDefault="00450DB2" w:rsidP="00450DB2">
      <w:pPr>
        <w:spacing w:line="360" w:lineRule="exact"/>
        <w:ind w:firstLineChars="200" w:firstLine="420"/>
        <w:rPr>
          <w:rFonts w:ascii="宋体" w:hAnsi="宋体" w:cs="宋体"/>
          <w:kern w:val="0"/>
        </w:rPr>
      </w:pPr>
      <w:r w:rsidRPr="006D3301">
        <w:rPr>
          <w:rFonts w:ascii="宋体" w:hAnsi="宋体" w:cs="宋体" w:hint="eastAsia"/>
          <w:kern w:val="0"/>
        </w:rPr>
        <w:t>客观、准确反映理财产品的价值。</w:t>
      </w:r>
    </w:p>
    <w:p w:rsidR="00450DB2" w:rsidRPr="006D3301" w:rsidRDefault="00450DB2" w:rsidP="00450DB2">
      <w:pPr>
        <w:spacing w:line="360" w:lineRule="exact"/>
        <w:ind w:firstLineChars="200" w:firstLine="420"/>
        <w:rPr>
          <w:rFonts w:ascii="宋体" w:hAnsi="宋体"/>
          <w:kern w:val="0"/>
        </w:rPr>
      </w:pPr>
      <w:r w:rsidRPr="006D3301">
        <w:rPr>
          <w:rFonts w:ascii="宋体" w:hAnsi="宋体" w:cs="宋体" w:hint="eastAsia"/>
          <w:kern w:val="0"/>
        </w:rPr>
        <w:t>（四）估值方法</w:t>
      </w:r>
    </w:p>
    <w:p w:rsidR="00450DB2" w:rsidRPr="006D3301" w:rsidRDefault="00450DB2" w:rsidP="00450DB2">
      <w:pPr>
        <w:spacing w:line="360" w:lineRule="exact"/>
        <w:ind w:firstLineChars="200" w:firstLine="420"/>
        <w:rPr>
          <w:rFonts w:ascii="宋体" w:hAnsi="宋体"/>
        </w:rPr>
      </w:pPr>
      <w:bookmarkStart w:id="3" w:name="_Toc332291740"/>
      <w:bookmarkStart w:id="4" w:name="_Toc331325468"/>
      <w:r w:rsidRPr="006D3301">
        <w:rPr>
          <w:rFonts w:ascii="宋体" w:hAnsi="宋体" w:hint="eastAsia"/>
        </w:rPr>
        <w:t>1.证券交易所上市的有价证券的估值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1）交易所上市的有价证券（包括股票、权证等），以其估值日在证券交易所挂牌的市价（收盘价）估值；估值日无报价且最近交易日后未发生影响公允价值计量的重大变化的，以最近交易日的市价（收盘价）估值；估值日无报价且最近交易日后发生了影响公允价值计量的重大变化的，可参考类似投资品种的现行市价及重大变化因素，调整最近交易市价，确定公允价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（2）交易所上市实行净价交易的债券选取估值日第三方估值机构（此处指中证指数有限公司）提供的相应品种对应的估值净价估值。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3）交易所上市交易的可转换债券按估值日收盘价减去债券收盘价中所含的债券应收利息得到的净价进行估值；估值日没有报价且最近交易日后未发生影响公允价值计量的重大变化的，按最近交易日债券收盘价减去债券收盘价中所含的债券应收利息得到的净价进行估值。如最近交易日后发生了影响公允价值计量的重大变化的，可参考类似投资品种的现行市价及重大变化因素，调整最近交易市价，确定公允价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交易所上市实行全价交易的债券（可转债除外），选取第三方估值机构（中证指数有限公司）提供的估值全价减去估值全价中所含的债券（税后）应收利息得到的净价进行估值。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4）交易所上市不存在活跃市场的有价证券，采用估值技术确定公允价值。交易所上市的资产支持证券和私募债，主要采用第三方机构（此处指中证指数有限公司）提供的估值价格和估值技术；在估值技术难以可靠计量公允价值的情况下，如基金管理人认为按成本估值能够体现公允价值，可按成本估值，但基金管理人应持续评估上述做法的适当性，并在情况发生变化导致按成本估值不能客观反映其公允价值时做出适当调整。</w:t>
      </w:r>
    </w:p>
    <w:p w:rsidR="00450DB2" w:rsidRPr="006D3301" w:rsidRDefault="00450DB2" w:rsidP="00450DB2">
      <w:pPr>
        <w:spacing w:line="360" w:lineRule="exact"/>
        <w:ind w:firstLineChars="200" w:firstLine="420"/>
        <w:rPr>
          <w:rFonts w:ascii="宋体" w:hAnsi="宋体"/>
        </w:rPr>
      </w:pPr>
      <w:r w:rsidRPr="006D3301">
        <w:rPr>
          <w:rFonts w:ascii="宋体" w:hAnsi="宋体"/>
        </w:rPr>
        <w:t>2</w:t>
      </w:r>
      <w:r w:rsidRPr="006D3301">
        <w:rPr>
          <w:rFonts w:ascii="宋体" w:hAnsi="宋体" w:hint="eastAsia"/>
        </w:rPr>
        <w:t>.全国银行间债券市场交易的债券、资产支持证券等固定收益品种，主要采用第三方机构（此处指中央国债登记结算有限责任公司）提供的估值价格和估值技术。</w:t>
      </w:r>
    </w:p>
    <w:p w:rsidR="00450DB2" w:rsidRPr="006D3301" w:rsidRDefault="00450DB2" w:rsidP="00450DB2">
      <w:pPr>
        <w:spacing w:line="360" w:lineRule="exact"/>
        <w:ind w:firstLineChars="200" w:firstLine="420"/>
        <w:rPr>
          <w:rFonts w:ascii="宋体" w:hAnsi="宋体"/>
        </w:rPr>
      </w:pPr>
      <w:r w:rsidRPr="006D3301">
        <w:rPr>
          <w:rFonts w:ascii="宋体" w:hAnsi="宋体"/>
        </w:rPr>
        <w:lastRenderedPageBreak/>
        <w:t>3.</w:t>
      </w:r>
      <w:r w:rsidRPr="006D3301">
        <w:rPr>
          <w:rFonts w:ascii="宋体" w:hAnsi="宋体" w:hint="eastAsia"/>
        </w:rPr>
        <w:t>首次公开发行未上市的债券，采用估值技术确定公允价值，在估值技术难以可靠计量公允价值的情况下，按成本估值。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4.同一债券同时在两个或两个以上市场交易的，按债券所处的市场分别估值。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5.债券、回购等计息资产按照约定利率在持有期内逐日计提应收利息，在利息到账日以实收利息入账。</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6.银行账户存款和证券资金账户内资金按商定利率在实际持有期间内逐日计提利息，在利息到账日以实收利息入账。</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7.计划持有的公募证券投资基金按以下方法估值：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（1）上市流通的证券投资基金按估值日其所在证券交易所的收盘价估值；估值日无报价的，按最近交易日的基金份额净值估值。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（2）未在交易所上市交易的证券投资基金，按估值日前一交易日公布的基金份额净值估值；估值日前一交易日基金份额净值无公布的，按此前最近交易日公布的基金份额净值估值。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（3）货币基金以成本列示，每日按前一交易日的万份收益计提红利。</w:t>
      </w:r>
    </w:p>
    <w:p w:rsidR="00450DB2" w:rsidRPr="006D3301" w:rsidRDefault="00450DB2" w:rsidP="00450DB2">
      <w:pPr>
        <w:spacing w:line="360" w:lineRule="exact"/>
        <w:ind w:firstLineChars="200" w:firstLine="420"/>
        <w:rPr>
          <w:rFonts w:ascii="宋体" w:hAnsi="宋体"/>
        </w:rPr>
      </w:pPr>
      <w:r w:rsidRPr="006D3301">
        <w:rPr>
          <w:rFonts w:ascii="宋体" w:hAnsi="宋体"/>
        </w:rPr>
        <w:t>8</w:t>
      </w:r>
      <w:r w:rsidRPr="006D3301">
        <w:rPr>
          <w:rFonts w:ascii="宋体" w:hAnsi="宋体" w:hint="eastAsia"/>
        </w:rPr>
        <w:t>.估值技术是指管理人和托管人协商一致的，被市场参与者普遍认同，且被以往市场实际交易价格验证具有可靠性的确定公允价值的方法。</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告知投资者和托管人。如有确凿证据表明按上述规定不能客观反映集合计划资产公允价值的，管理人可根据具体情况，在综合考虑市场成交价、市场报价、流动性、收益率曲线等多种因素基础上，在与托管人商议后，按最能反映集合计划资产公允价值的方法估值。</w:t>
      </w:r>
      <w:bookmarkEnd w:id="3"/>
      <w:bookmarkEnd w:id="4"/>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如有新增事项或变更事项，按国家有关最新规定估值。管理人应于新规定实施后及时在管理人网站或指定销售网点通告投资者。</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（五）估值程序</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日常估值由管理人进行，托管人进行复核。用于披露的资产净值由管理人完成估值后将估值结果交托管人，托管人按照规定的估值方法、时间与程序进行复核，由管理人对外公布。月末、年中和年末估值复核与本集合计划会计账目的核对同时进行。</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理财计划收益和相关费用</w:t>
      </w:r>
    </w:p>
    <w:p w:rsidR="00450DB2" w:rsidRPr="00FB453B" w:rsidRDefault="00450DB2" w:rsidP="00450DB2">
      <w:pPr>
        <w:spacing w:line="360" w:lineRule="exact"/>
        <w:ind w:firstLineChars="200" w:firstLine="420"/>
        <w:rPr>
          <w:rFonts w:ascii="宋体" w:hAnsi="宋体"/>
        </w:rPr>
      </w:pPr>
      <w:r w:rsidRPr="00FB453B">
        <w:rPr>
          <w:rFonts w:ascii="宋体" w:hAnsi="宋体" w:hint="eastAsia"/>
        </w:rPr>
        <w:t>（一）收益计算公式</w:t>
      </w:r>
    </w:p>
    <w:p w:rsidR="00450DB2" w:rsidRPr="00FB453B" w:rsidRDefault="00450DB2" w:rsidP="00450DB2">
      <w:pPr>
        <w:spacing w:line="360" w:lineRule="exact"/>
        <w:ind w:firstLineChars="200" w:firstLine="420"/>
        <w:rPr>
          <w:rFonts w:ascii="宋体" w:hAnsi="宋体"/>
        </w:rPr>
      </w:pPr>
      <w:r w:rsidRPr="00FB453B">
        <w:rPr>
          <w:rFonts w:ascii="宋体" w:hAnsi="宋体" w:hint="eastAsia"/>
        </w:rPr>
        <w:t>投资者理财收益＝理财产品投资份额×理财产品到期时单位净值（扣减托管费、固定管理费、销售服务费及相关税费后）</w:t>
      </w:r>
      <w:r w:rsidRPr="00FB453B">
        <w:rPr>
          <w:rFonts w:ascii="宋体" w:hAnsi="宋体"/>
        </w:rPr>
        <w:t>-</w:t>
      </w:r>
      <w:r w:rsidRPr="00FB453B">
        <w:rPr>
          <w:rFonts w:ascii="宋体" w:hAnsi="宋体" w:hint="eastAsia"/>
        </w:rPr>
        <w:t>客户投资本金-浮动管理费（如有）。</w:t>
      </w:r>
    </w:p>
    <w:p w:rsidR="00450DB2" w:rsidRPr="00FB453B" w:rsidRDefault="00450DB2" w:rsidP="00450DB2">
      <w:pPr>
        <w:spacing w:line="360" w:lineRule="exact"/>
        <w:ind w:firstLineChars="200" w:firstLine="420"/>
        <w:rPr>
          <w:rFonts w:ascii="宋体" w:hAnsi="宋体"/>
        </w:rPr>
      </w:pPr>
      <w:r w:rsidRPr="00FB453B">
        <w:rPr>
          <w:rFonts w:ascii="宋体" w:hAnsi="宋体" w:hint="eastAsia"/>
        </w:rPr>
        <w:t>理财产品单位净值为提取相关税费后的净值，客户按该单位净值进行到期、提前终止时的分配。</w:t>
      </w:r>
    </w:p>
    <w:p w:rsidR="00450DB2" w:rsidRPr="006D3301" w:rsidRDefault="00450DB2" w:rsidP="00450DB2">
      <w:pPr>
        <w:spacing w:line="360" w:lineRule="exact"/>
        <w:ind w:firstLineChars="200" w:firstLine="420"/>
        <w:rPr>
          <w:rFonts w:ascii="宋体" w:hAnsi="宋体"/>
          <w:kern w:val="0"/>
          <w:sz w:val="24"/>
          <w:szCs w:val="24"/>
        </w:rPr>
      </w:pPr>
      <w:r w:rsidRPr="006D3301">
        <w:rPr>
          <w:rFonts w:ascii="宋体" w:hAnsi="宋体" w:cs="宋体" w:hint="eastAsia"/>
          <w:kern w:val="0"/>
        </w:rPr>
        <w:t>（二）本理财计划的各相关费用</w:t>
      </w:r>
    </w:p>
    <w:p w:rsidR="00450DB2" w:rsidRPr="006D3301" w:rsidRDefault="00450DB2" w:rsidP="00450DB2">
      <w:pPr>
        <w:pStyle w:val="ListParagraph1"/>
        <w:spacing w:line="360" w:lineRule="exact"/>
        <w:ind w:firstLineChars="0"/>
        <w:rPr>
          <w:rFonts w:ascii="宋体" w:hAnsi="宋体" w:cs="Times New Roman"/>
          <w:kern w:val="0"/>
        </w:rPr>
      </w:pPr>
      <w:r w:rsidRPr="006D3301">
        <w:rPr>
          <w:rFonts w:ascii="宋体" w:hAnsi="宋体" w:cs="宋体"/>
          <w:kern w:val="0"/>
        </w:rPr>
        <w:t>1.</w:t>
      </w:r>
      <w:r w:rsidRPr="006D3301">
        <w:rPr>
          <w:rFonts w:ascii="宋体" w:hAnsi="宋体" w:cs="宋体" w:hint="eastAsia"/>
          <w:kern w:val="0"/>
        </w:rPr>
        <w:t>理财管理人的固定管理费/销售服务费</w:t>
      </w:r>
    </w:p>
    <w:p w:rsidR="00450DB2" w:rsidRPr="006D3301" w:rsidRDefault="00450DB2" w:rsidP="00450DB2">
      <w:pPr>
        <w:widowControl/>
        <w:spacing w:line="360" w:lineRule="exact"/>
        <w:ind w:firstLineChars="200" w:firstLine="420"/>
        <w:contextualSpacing/>
        <w:rPr>
          <w:rFonts w:ascii="宋体" w:hAnsi="宋体" w:cs="宋体"/>
          <w:kern w:val="0"/>
        </w:rPr>
      </w:pPr>
      <w:r w:rsidRPr="00F925A4">
        <w:rPr>
          <w:rFonts w:ascii="宋体" w:hAnsi="宋体" w:cs="宋体" w:hint="eastAsia"/>
          <w:kern w:val="0"/>
        </w:rPr>
        <w:t>本理财计划</w:t>
      </w:r>
      <w:r w:rsidRPr="00F925A4">
        <w:rPr>
          <w:rFonts w:ascii="宋体" w:hAnsi="宋体" w:cs="宋体" w:hint="eastAsia"/>
        </w:rPr>
        <w:t>不收取固定管理费。</w:t>
      </w:r>
    </w:p>
    <w:p w:rsidR="002A0B36" w:rsidRDefault="002A0B36" w:rsidP="002A0B36">
      <w:pPr>
        <w:pStyle w:val="ListParagraph1"/>
        <w:spacing w:line="360" w:lineRule="exact"/>
        <w:ind w:firstLineChars="0"/>
        <w:rPr>
          <w:rFonts w:ascii="宋体" w:hAnsi="宋体" w:cs="Times New Roman"/>
          <w:kern w:val="0"/>
        </w:rPr>
      </w:pPr>
      <w:r>
        <w:rPr>
          <w:rFonts w:ascii="宋体" w:hAnsi="宋体" w:cs="宋体" w:hint="eastAsia"/>
          <w:kern w:val="0"/>
        </w:rPr>
        <w:t>2.理财托管人的托管费</w:t>
      </w:r>
    </w:p>
    <w:p w:rsidR="002A0B36" w:rsidRDefault="002A0B36" w:rsidP="002A0B36">
      <w:pPr>
        <w:spacing w:line="360" w:lineRule="exact"/>
        <w:ind w:firstLineChars="200" w:firstLine="420"/>
        <w:rPr>
          <w:rFonts w:ascii="宋体" w:hAnsi="宋体" w:cs="宋体"/>
          <w:kern w:val="0"/>
        </w:rPr>
      </w:pPr>
      <w:r>
        <w:rPr>
          <w:rFonts w:ascii="宋体" w:hAnsi="宋体" w:cs="宋体" w:hint="eastAsia"/>
          <w:kern w:val="0"/>
        </w:rPr>
        <w:t>本理财计划按照年化0.01%的固定费率收取托管费。</w:t>
      </w:r>
      <w:r w:rsidR="00DC1202">
        <w:rPr>
          <w:rFonts w:ascii="宋体" w:hAnsi="宋体" w:cs="宋体" w:hint="eastAsia"/>
          <w:kern w:val="0"/>
        </w:rPr>
        <w:t>本产品</w:t>
      </w:r>
      <w:r w:rsidR="00B32519" w:rsidRPr="00B32519">
        <w:rPr>
          <w:rFonts w:ascii="宋体" w:hAnsi="宋体" w:cs="宋体" w:hint="eastAsia"/>
          <w:kern w:val="0"/>
        </w:rPr>
        <w:t>每日计提，在收益分配日及产品到期日支付</w:t>
      </w:r>
      <w:r>
        <w:rPr>
          <w:rFonts w:ascii="宋体" w:hAnsi="宋体" w:cs="宋体" w:hint="eastAsia"/>
          <w:kern w:val="0"/>
        </w:rPr>
        <w:t>,计算公式为：该理财产品前一日资产净值×0.01%／365。</w:t>
      </w:r>
    </w:p>
    <w:p w:rsidR="002A0B36" w:rsidRDefault="002A0B36" w:rsidP="002A0B36">
      <w:pPr>
        <w:spacing w:line="360" w:lineRule="exact"/>
        <w:ind w:firstLineChars="200" w:firstLine="420"/>
        <w:rPr>
          <w:rFonts w:ascii="宋体" w:hAnsi="宋体" w:cs="宋体"/>
          <w:kern w:val="0"/>
        </w:rPr>
      </w:pPr>
      <w:r>
        <w:rPr>
          <w:rFonts w:ascii="宋体" w:hAnsi="宋体" w:cs="宋体" w:hint="eastAsia"/>
          <w:kern w:val="0"/>
        </w:rPr>
        <w:lastRenderedPageBreak/>
        <w:t>3.本理财产品的外包服务费</w:t>
      </w:r>
    </w:p>
    <w:p w:rsidR="00450DB2" w:rsidRPr="006D3301" w:rsidRDefault="002A0B36" w:rsidP="002A0B36">
      <w:pPr>
        <w:spacing w:line="360" w:lineRule="exact"/>
        <w:ind w:firstLineChars="200" w:firstLine="420"/>
        <w:rPr>
          <w:rFonts w:ascii="宋体" w:hAnsi="宋体" w:cs="宋体"/>
          <w:kern w:val="0"/>
        </w:rPr>
      </w:pPr>
      <w:r>
        <w:rPr>
          <w:rFonts w:ascii="宋体" w:hAnsi="宋体" w:hint="eastAsia"/>
          <w:kern w:val="0"/>
        </w:rPr>
        <w:t>本理财计划按照年化0.005%的固定费率收取外包服务费。</w:t>
      </w:r>
      <w:r w:rsidR="00DC1202">
        <w:rPr>
          <w:rFonts w:ascii="宋体" w:hAnsi="宋体" w:hint="eastAsia"/>
          <w:kern w:val="0"/>
        </w:rPr>
        <w:t>本产品</w:t>
      </w:r>
      <w:r w:rsidR="00B32519" w:rsidRPr="00B32519">
        <w:rPr>
          <w:rFonts w:ascii="宋体" w:hAnsi="宋体" w:cs="宋体" w:hint="eastAsia"/>
          <w:kern w:val="0"/>
        </w:rPr>
        <w:t>每日计提，在收益分配日及产品到期日支付</w:t>
      </w:r>
      <w:r w:rsidR="00B32519">
        <w:rPr>
          <w:rFonts w:ascii="宋体" w:hAnsi="宋体" w:cs="宋体" w:hint="eastAsia"/>
          <w:kern w:val="0"/>
        </w:rPr>
        <w:t>,</w:t>
      </w:r>
      <w:r>
        <w:rPr>
          <w:rFonts w:ascii="宋体" w:hAnsi="宋体" w:hint="eastAsia"/>
          <w:kern w:val="0"/>
        </w:rPr>
        <w:t>计算公式为：该理财产品前一日资产净值</w:t>
      </w:r>
      <w:r>
        <w:rPr>
          <w:rFonts w:ascii="宋体" w:hint="eastAsia"/>
          <w:kern w:val="0"/>
        </w:rPr>
        <w:t>×</w:t>
      </w:r>
      <w:r>
        <w:rPr>
          <w:rFonts w:ascii="宋体" w:hAnsi="宋体" w:hint="eastAsia"/>
          <w:kern w:val="0"/>
        </w:rPr>
        <w:t>0.005%／365。</w:t>
      </w:r>
    </w:p>
    <w:p w:rsidR="00450DB2" w:rsidRPr="006D3301" w:rsidRDefault="00450DB2" w:rsidP="00450DB2">
      <w:pPr>
        <w:pStyle w:val="ListParagraph1"/>
        <w:widowControl/>
        <w:spacing w:line="360" w:lineRule="exact"/>
        <w:ind w:firstLineChars="0"/>
        <w:contextualSpacing/>
        <w:rPr>
          <w:rFonts w:ascii="宋体" w:hAnsi="宋体" w:cs="宋体"/>
          <w:kern w:val="0"/>
        </w:rPr>
      </w:pPr>
      <w:r w:rsidRPr="006D3301">
        <w:rPr>
          <w:rFonts w:ascii="宋体" w:hAnsi="宋体" w:cs="宋体"/>
          <w:kern w:val="0"/>
        </w:rPr>
        <w:t>4.</w:t>
      </w:r>
      <w:r w:rsidRPr="006D3301">
        <w:rPr>
          <w:rFonts w:ascii="宋体" w:hAnsi="宋体" w:cs="宋体" w:hint="eastAsia"/>
          <w:kern w:val="0"/>
        </w:rPr>
        <w:t>理财产品管理人的浮动管理费</w:t>
      </w:r>
    </w:p>
    <w:p w:rsidR="00450DB2" w:rsidRPr="00C820F1" w:rsidRDefault="009B557B" w:rsidP="00450DB2">
      <w:pPr>
        <w:widowControl/>
        <w:spacing w:line="360" w:lineRule="exact"/>
        <w:ind w:firstLineChars="200" w:firstLine="420"/>
        <w:contextualSpacing/>
        <w:rPr>
          <w:rFonts w:ascii="宋体" w:hAnsi="宋体" w:cs="宋体"/>
        </w:rPr>
      </w:pPr>
      <w:r w:rsidRPr="00C820F1">
        <w:rPr>
          <w:rFonts w:ascii="宋体" w:hAnsi="宋体" w:cs="宋体" w:hint="eastAsia"/>
          <w:kern w:val="0"/>
          <w:szCs w:val="21"/>
        </w:rPr>
        <w:t>当投资资产组合净值扣除托管费、外包服务费超过2.8</w:t>
      </w:r>
      <w:r w:rsidRPr="00C820F1">
        <w:rPr>
          <w:rFonts w:ascii="宋体" w:hAnsi="宋体" w:cs="宋体"/>
          <w:kern w:val="0"/>
          <w:szCs w:val="21"/>
        </w:rPr>
        <w:t>%</w:t>
      </w:r>
      <w:r w:rsidRPr="00C820F1">
        <w:rPr>
          <w:rFonts w:ascii="宋体" w:hAnsi="宋体" w:cs="宋体" w:hint="eastAsia"/>
          <w:kern w:val="0"/>
          <w:szCs w:val="21"/>
        </w:rPr>
        <w:t>时，本行有权提取投资管理费。若投资资产组合净值不超过3.1</w:t>
      </w:r>
      <w:r w:rsidRPr="00C820F1">
        <w:rPr>
          <w:rFonts w:ascii="宋体" w:hAnsi="宋体" w:cs="宋体"/>
          <w:kern w:val="0"/>
          <w:szCs w:val="21"/>
        </w:rPr>
        <w:t>%</w:t>
      </w:r>
      <w:r w:rsidRPr="00C820F1">
        <w:rPr>
          <w:rFonts w:ascii="宋体" w:hAnsi="宋体" w:cs="宋体" w:hint="eastAsia"/>
          <w:kern w:val="0"/>
          <w:szCs w:val="21"/>
        </w:rPr>
        <w:t>，按超出部分作为投资管理费；若投资资产组合净值超过3.1</w:t>
      </w:r>
      <w:r w:rsidRPr="00C820F1">
        <w:rPr>
          <w:rFonts w:ascii="宋体" w:hAnsi="宋体" w:cs="宋体"/>
          <w:kern w:val="0"/>
          <w:szCs w:val="21"/>
        </w:rPr>
        <w:t>%</w:t>
      </w:r>
      <w:r w:rsidRPr="00C820F1">
        <w:rPr>
          <w:rFonts w:ascii="宋体" w:hAnsi="宋体" w:cs="宋体" w:hint="eastAsia"/>
          <w:kern w:val="0"/>
          <w:szCs w:val="21"/>
        </w:rPr>
        <w:t>，则超过3.1</w:t>
      </w:r>
      <w:r w:rsidRPr="00C820F1">
        <w:rPr>
          <w:rFonts w:ascii="宋体" w:hAnsi="宋体" w:cs="宋体"/>
          <w:kern w:val="0"/>
          <w:szCs w:val="21"/>
        </w:rPr>
        <w:t>%</w:t>
      </w:r>
      <w:r w:rsidRPr="00C820F1">
        <w:rPr>
          <w:rFonts w:ascii="宋体" w:hAnsi="宋体" w:cs="宋体" w:hint="eastAsia"/>
          <w:kern w:val="0"/>
          <w:szCs w:val="21"/>
        </w:rPr>
        <w:t>的部分中</w:t>
      </w:r>
      <w:r w:rsidRPr="00C820F1">
        <w:rPr>
          <w:rFonts w:ascii="宋体" w:hAnsi="宋体" w:cs="宋体"/>
          <w:kern w:val="0"/>
          <w:szCs w:val="21"/>
        </w:rPr>
        <w:t>30%</w:t>
      </w:r>
      <w:r w:rsidRPr="00C820F1">
        <w:rPr>
          <w:rFonts w:ascii="宋体" w:hAnsi="宋体" w:cs="宋体" w:hint="eastAsia"/>
          <w:kern w:val="0"/>
          <w:szCs w:val="21"/>
        </w:rPr>
        <w:t>作为投资管理费。若理财产品实际收益等于或小于业绩计提基准收益、外包服务费和托管费之和，则不收取投资管理费。</w:t>
      </w:r>
    </w:p>
    <w:p w:rsidR="00450DB2" w:rsidRPr="006D3301" w:rsidRDefault="00450DB2" w:rsidP="00450DB2">
      <w:pPr>
        <w:widowControl/>
        <w:spacing w:line="360" w:lineRule="exact"/>
        <w:ind w:firstLineChars="200" w:firstLine="420"/>
        <w:contextualSpacing/>
        <w:rPr>
          <w:rFonts w:ascii="宋体" w:hAnsi="宋体" w:cs="宋体"/>
          <w:kern w:val="0"/>
        </w:rPr>
      </w:pPr>
      <w:r w:rsidRPr="00C820F1">
        <w:rPr>
          <w:rFonts w:ascii="宋体" w:hAnsi="宋体" w:cs="宋体" w:hint="eastAsia"/>
          <w:kern w:val="0"/>
        </w:rPr>
        <w:t>桐庐农商银行保留变更上述收取费率标准的</w:t>
      </w:r>
      <w:r w:rsidRPr="006D3301">
        <w:rPr>
          <w:rFonts w:ascii="宋体" w:hAnsi="宋体" w:cs="宋体" w:hint="eastAsia"/>
          <w:kern w:val="0"/>
        </w:rPr>
        <w:t>权利，如有变更，将提前</w:t>
      </w:r>
      <w:r w:rsidRPr="006D3301">
        <w:rPr>
          <w:rFonts w:ascii="宋体" w:hAnsi="宋体" w:cs="宋体"/>
          <w:kern w:val="0"/>
        </w:rPr>
        <w:t>1</w:t>
      </w:r>
      <w:r w:rsidRPr="006D3301">
        <w:rPr>
          <w:rFonts w:ascii="宋体" w:hAnsi="宋体" w:cs="宋体" w:hint="eastAsia"/>
          <w:kern w:val="0"/>
        </w:rPr>
        <w:t>个工作日在</w:t>
      </w:r>
      <w:r>
        <w:rPr>
          <w:rFonts w:ascii="宋体" w:hAnsi="宋体" w:cs="宋体" w:hint="eastAsia"/>
          <w:kern w:val="0"/>
        </w:rPr>
        <w:t>桐庐农商银行</w:t>
      </w:r>
      <w:r w:rsidRPr="006D3301">
        <w:rPr>
          <w:rFonts w:ascii="宋体" w:hAnsi="宋体" w:cs="宋体" w:hint="eastAsia"/>
          <w:kern w:val="0"/>
        </w:rPr>
        <w:t>网站或</w:t>
      </w:r>
      <w:r>
        <w:rPr>
          <w:rFonts w:ascii="宋体" w:hAnsi="宋体" w:cs="宋体" w:hint="eastAsia"/>
          <w:kern w:val="0"/>
        </w:rPr>
        <w:t>桐庐农商银行</w:t>
      </w:r>
      <w:r w:rsidRPr="006D3301">
        <w:rPr>
          <w:rFonts w:ascii="宋体" w:hAnsi="宋体" w:cs="宋体" w:hint="eastAsia"/>
          <w:kern w:val="0"/>
        </w:rPr>
        <w:t>营业网点公告。</w:t>
      </w:r>
    </w:p>
    <w:p w:rsidR="00450DB2" w:rsidRPr="006D3301" w:rsidRDefault="00450DB2" w:rsidP="00450DB2">
      <w:pPr>
        <w:spacing w:line="360" w:lineRule="exact"/>
        <w:ind w:firstLineChars="200" w:firstLine="420"/>
        <w:rPr>
          <w:rFonts w:ascii="宋体" w:hAnsi="宋体"/>
        </w:rPr>
      </w:pPr>
      <w:r w:rsidRPr="006D3301">
        <w:rPr>
          <w:rFonts w:ascii="宋体" w:hAnsi="宋体" w:cs="宋体" w:hint="eastAsia"/>
        </w:rPr>
        <w:t>（三）最不利情况分析</w:t>
      </w:r>
    </w:p>
    <w:p w:rsidR="00450DB2" w:rsidRPr="006D3301" w:rsidRDefault="00450DB2" w:rsidP="00450DB2">
      <w:pPr>
        <w:spacing w:line="360" w:lineRule="exact"/>
        <w:ind w:firstLineChars="200" w:firstLine="420"/>
        <w:rPr>
          <w:rFonts w:ascii="宋体" w:hAnsi="宋体"/>
        </w:rPr>
      </w:pPr>
      <w:r w:rsidRPr="006D3301">
        <w:rPr>
          <w:rFonts w:ascii="宋体" w:hAnsi="宋体" w:cs="宋体" w:hint="eastAsia"/>
        </w:rPr>
        <w:t>本产品为固定收益类净值型理财产品，由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产品终止</w:t>
      </w:r>
    </w:p>
    <w:p w:rsidR="00450DB2" w:rsidRPr="006D3301" w:rsidRDefault="00450DB2" w:rsidP="00450DB2">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提前终止权的行使：本理财产品发生全部提前终止时，</w:t>
      </w:r>
      <w:r>
        <w:rPr>
          <w:rFonts w:ascii="宋体" w:hAnsi="宋体" w:cs="宋体" w:hint="eastAsia"/>
          <w:kern w:val="0"/>
        </w:rPr>
        <w:t>桐庐农商银行</w:t>
      </w:r>
      <w:r w:rsidRPr="006D3301">
        <w:rPr>
          <w:rFonts w:ascii="宋体" w:hAnsi="宋体" w:cs="宋体" w:hint="eastAsia"/>
          <w:kern w:val="0"/>
        </w:rPr>
        <w:t>可以通过公告通知客户全部兑付本理财产品，并按约定将可兑付款项支付给客户。</w:t>
      </w:r>
    </w:p>
    <w:p w:rsidR="00450DB2" w:rsidRPr="006D3301" w:rsidRDefault="00450DB2" w:rsidP="00450DB2">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资金清算：终止日（实际到期日）后</w:t>
      </w:r>
      <w:r w:rsidRPr="006D3301">
        <w:rPr>
          <w:rFonts w:ascii="宋体" w:hAnsi="宋体" w:cs="宋体"/>
          <w:kern w:val="0"/>
        </w:rPr>
        <w:t>2</w:t>
      </w:r>
      <w:r w:rsidRPr="006D3301">
        <w:rPr>
          <w:rFonts w:ascii="宋体" w:hAnsi="宋体" w:cs="宋体" w:hint="eastAsia"/>
          <w:kern w:val="0"/>
        </w:rPr>
        <w:t>个工作日为资金清算期，该期间不计付利息。</w:t>
      </w:r>
    </w:p>
    <w:p w:rsidR="00450DB2" w:rsidRPr="006D3301" w:rsidRDefault="00450DB2" w:rsidP="00450DB2">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终止事项</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发生以下事项时，</w:t>
      </w:r>
      <w:r>
        <w:rPr>
          <w:rFonts w:ascii="宋体" w:hAnsi="宋体" w:cs="宋体" w:hint="eastAsia"/>
          <w:kern w:val="0"/>
        </w:rPr>
        <w:t>桐庐农商银行</w:t>
      </w:r>
      <w:r w:rsidRPr="006D3301">
        <w:rPr>
          <w:rFonts w:ascii="宋体" w:hAnsi="宋体" w:cs="宋体" w:hint="eastAsia"/>
          <w:kern w:val="0"/>
        </w:rPr>
        <w:t>可对本理财产品行使全部终止权：</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（1）如因本理财产品资产运作模式等与相关政策、法律法规、规章的规定或者监管机构的要求等存在冲突导致理财产品必须提前终止的；</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（2）国家有关法律、法规、规章、政策的改变、紧急措施的出台、理财市场环境发生重大变化等导致理财产品必须提前终止的；</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（3）因地震、火灾、战争、罢工等不可抗力因素导致本理财产品必须提前终止的；</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（4）</w:t>
      </w:r>
      <w:r>
        <w:rPr>
          <w:rFonts w:ascii="宋体" w:hAnsi="宋体" w:cs="宋体" w:hint="eastAsia"/>
          <w:kern w:val="0"/>
        </w:rPr>
        <w:t>桐庐农商银行</w:t>
      </w:r>
      <w:r w:rsidRPr="006D3301">
        <w:rPr>
          <w:rFonts w:ascii="宋体" w:hAnsi="宋体" w:cs="宋体" w:hint="eastAsia"/>
          <w:kern w:val="0"/>
        </w:rPr>
        <w:t>认为应该提前终止本理财产品的其他情况。</w:t>
      </w:r>
    </w:p>
    <w:p w:rsidR="00450DB2" w:rsidRPr="006D3301" w:rsidRDefault="00450DB2" w:rsidP="00450DB2">
      <w:pPr>
        <w:pStyle w:val="ListParagraph1"/>
        <w:numPr>
          <w:ilvl w:val="0"/>
          <w:numId w:val="8"/>
        </w:numPr>
        <w:spacing w:line="360" w:lineRule="exact"/>
        <w:ind w:left="0" w:firstLine="420"/>
        <w:rPr>
          <w:rFonts w:ascii="宋体" w:hAnsi="宋体" w:cs="Times New Roman"/>
          <w:kern w:val="0"/>
        </w:rPr>
      </w:pPr>
      <w:r w:rsidRPr="006D3301">
        <w:rPr>
          <w:rFonts w:ascii="宋体" w:hAnsi="宋体" w:cs="宋体" w:hint="eastAsia"/>
          <w:kern w:val="0"/>
        </w:rPr>
        <w:t>终止的信息公告</w:t>
      </w:r>
    </w:p>
    <w:p w:rsidR="00450DB2" w:rsidRPr="006D3301" w:rsidRDefault="00450DB2" w:rsidP="00450DB2">
      <w:pPr>
        <w:pStyle w:val="ListParagraph1"/>
        <w:spacing w:line="360" w:lineRule="exact"/>
        <w:rPr>
          <w:rFonts w:ascii="宋体" w:hAnsi="宋体" w:cs="宋体"/>
          <w:kern w:val="0"/>
        </w:rPr>
      </w:pPr>
      <w:r w:rsidRPr="006D3301">
        <w:rPr>
          <w:rFonts w:ascii="宋体" w:hAnsi="宋体" w:cs="宋体" w:hint="eastAsia"/>
          <w:kern w:val="0"/>
        </w:rPr>
        <w:t>如遇本理财产品终止事项，</w:t>
      </w:r>
      <w:r>
        <w:rPr>
          <w:rFonts w:ascii="宋体" w:hAnsi="宋体" w:cs="宋体" w:hint="eastAsia"/>
          <w:kern w:val="0"/>
        </w:rPr>
        <w:t>桐庐农商银行</w:t>
      </w:r>
      <w:r w:rsidRPr="006D3301">
        <w:rPr>
          <w:rFonts w:ascii="宋体" w:hAnsi="宋体" w:cs="宋体" w:hint="eastAsia"/>
          <w:kern w:val="0"/>
        </w:rPr>
        <w:t>将提前1个工作日通过</w:t>
      </w:r>
      <w:r>
        <w:rPr>
          <w:rFonts w:ascii="宋体" w:hAnsi="宋体" w:cs="宋体" w:hint="eastAsia"/>
          <w:kern w:val="0"/>
        </w:rPr>
        <w:t>桐庐农商银行</w:t>
      </w:r>
      <w:r w:rsidRPr="006D3301">
        <w:rPr>
          <w:rFonts w:ascii="宋体" w:hAnsi="宋体" w:cs="宋体" w:hint="eastAsia"/>
          <w:kern w:val="0"/>
        </w:rPr>
        <w:t>网站及时公告相关信息，敬请予以关注。</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Times New Roman" w:hint="eastAsia"/>
          <w:sz w:val="28"/>
          <w:szCs w:val="28"/>
        </w:rPr>
        <w:t>税费</w:t>
      </w:r>
      <w:r w:rsidRPr="006D3301">
        <w:rPr>
          <w:rFonts w:ascii="宋体" w:hAnsi="宋体" w:cs="宋体" w:hint="eastAsia"/>
          <w:sz w:val="28"/>
          <w:szCs w:val="28"/>
        </w:rPr>
        <w:t>规定</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理财计划财产在管理、运用、处分过程中产生的税费（包括但不限于增值税及相应的附加税费等），由理财计划财产承担；</w:t>
      </w:r>
      <w:r>
        <w:rPr>
          <w:rFonts w:ascii="宋体" w:hAnsi="宋体" w:cs="宋体" w:hint="eastAsia"/>
          <w:kern w:val="0"/>
        </w:rPr>
        <w:t>桐庐农商银行</w:t>
      </w:r>
      <w:r w:rsidRPr="006D3301">
        <w:rPr>
          <w:rFonts w:ascii="宋体" w:hAnsi="宋体" w:cs="宋体" w:hint="eastAsia"/>
          <w:kern w:val="0"/>
        </w:rPr>
        <w:t>对该等税费无垫付义务。前述税费（包括但不限于增值税及相应附加税费）的计算、提取及缴纳，由</w:t>
      </w:r>
      <w:r>
        <w:rPr>
          <w:rFonts w:ascii="宋体" w:hAnsi="宋体" w:cs="宋体" w:hint="eastAsia"/>
          <w:kern w:val="0"/>
        </w:rPr>
        <w:t>桐庐农商银行</w:t>
      </w:r>
      <w:r w:rsidRPr="006D3301">
        <w:rPr>
          <w:rFonts w:ascii="宋体" w:hAnsi="宋体" w:cs="宋体" w:hint="eastAsia"/>
          <w:kern w:val="0"/>
        </w:rPr>
        <w:t>按照应税行为发生时有效的相关法律法规的规定执行。支付给客户的理财收益的应纳税款由客户自行申报及缴纳。</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信息披露</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lastRenderedPageBreak/>
        <w:t>本理财计划信息披露通过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网站公告或其他形式进行披露。</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在每季度结束之日起15日内编制完成理财计划运行报告，向客户披露当期存续规模、收益表现，并分别列示直接和间接投资的资产种类、投资比例、投资组合的流动性风险分析等资产情况，并将运行报告正文通过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网站披露。理财产品成立不足90日或者存续期不超过90日的，不编制理财产品当期的季度报告。</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会在理财计划发生投资资产存在风险、理财计划要素发生较大改变、监管政策发生变化等通过管理人判断会影响本理财计划的收益或运作情况时，及时发布不定期或临时公告。</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如在特定情况下终止本产品，将于实际终止日前至少1个工作日，在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网站发布相关信息公告。</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将在理财期内在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网站对本产品说明书予以公示，若客户持有的销售文件与网站公示的产品说明书不一致，应以网站公示为准。</w:t>
      </w:r>
    </w:p>
    <w:p w:rsidR="00450DB2" w:rsidRPr="003257C7"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6D3301">
        <w:rPr>
          <w:rFonts w:ascii="宋体" w:hAnsi="宋体" w:cs="宋体" w:hint="eastAsia"/>
          <w:color w:val="auto"/>
          <w:sz w:val="21"/>
          <w:szCs w:val="21"/>
        </w:rPr>
        <w:t>咨询、投诉。客户在投资前，请仔细阅读本产品说明书，并作出独立的投资决策。</w:t>
      </w:r>
    </w:p>
    <w:p w:rsidR="00450DB2" w:rsidRPr="005915A6" w:rsidRDefault="00450DB2" w:rsidP="00450DB2">
      <w:pPr>
        <w:pStyle w:val="Default"/>
        <w:tabs>
          <w:tab w:val="left" w:pos="0"/>
        </w:tabs>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桐庐农商银行</w:t>
      </w:r>
      <w:r w:rsidRPr="005915A6">
        <w:rPr>
          <w:rFonts w:ascii="宋体" w:hAnsi="宋体" w:cs="宋体" w:hint="eastAsia"/>
          <w:color w:val="auto"/>
          <w:sz w:val="21"/>
          <w:szCs w:val="21"/>
        </w:rPr>
        <w:t>将恪守勤勉尽责的原则，合理配置财产组合，为客户提供专业化的理财服务。客户应密切关注</w:t>
      </w:r>
      <w:r>
        <w:rPr>
          <w:rFonts w:ascii="宋体" w:hAnsi="宋体" w:cs="宋体" w:hint="eastAsia"/>
          <w:color w:val="auto"/>
          <w:sz w:val="21"/>
          <w:szCs w:val="21"/>
        </w:rPr>
        <w:t>桐庐农商银行</w:t>
      </w:r>
      <w:r w:rsidRPr="005915A6">
        <w:rPr>
          <w:rFonts w:ascii="宋体" w:hAnsi="宋体" w:cs="宋体" w:hint="eastAsia"/>
          <w:color w:val="auto"/>
          <w:sz w:val="21"/>
          <w:szCs w:val="21"/>
        </w:rPr>
        <w:t>与本理财计划有关的信息披露，以免造成不必要的损失。客户因自身原因或不可抗力导致未及时获知本理财产品的运作或收益分配情况，银行不承担任何责任。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5915A6">
        <w:rPr>
          <w:rFonts w:ascii="宋体" w:hAnsi="宋体" w:cs="宋体" w:hint="eastAsia"/>
          <w:color w:val="auto"/>
          <w:sz w:val="21"/>
          <w:szCs w:val="21"/>
        </w:rPr>
        <w:t>咨询、投诉。</w:t>
      </w:r>
    </w:p>
    <w:p w:rsidR="00B07314" w:rsidRPr="00450DB2" w:rsidRDefault="00B07314" w:rsidP="00450DB2">
      <w:pPr>
        <w:spacing w:line="360" w:lineRule="exact"/>
        <w:rPr>
          <w:szCs w:val="21"/>
        </w:rPr>
      </w:pPr>
    </w:p>
    <w:sectPr w:rsidR="00B07314" w:rsidRPr="00450DB2" w:rsidSect="00B0731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3F06" w:rsidRDefault="00223F06" w:rsidP="00575AD4">
      <w:r>
        <w:separator/>
      </w:r>
    </w:p>
  </w:endnote>
  <w:endnote w:type="continuationSeparator" w:id="1">
    <w:p w:rsidR="00223F06" w:rsidRDefault="00223F06" w:rsidP="00575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方正小标宋_GBK">
    <w:altName w:val="微软雅黑"/>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_GB2312">
    <w:altName w:val="Arial Unicode MS"/>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06205"/>
      <w:docPartObj>
        <w:docPartGallery w:val="Page Numbers (Bottom of Page)"/>
        <w:docPartUnique/>
      </w:docPartObj>
    </w:sdtPr>
    <w:sdtContent>
      <w:p w:rsidR="002530A3" w:rsidRDefault="00A14F94">
        <w:pPr>
          <w:pStyle w:val="a4"/>
          <w:jc w:val="center"/>
        </w:pPr>
        <w:r w:rsidRPr="00A14F94">
          <w:fldChar w:fldCharType="begin"/>
        </w:r>
        <w:r w:rsidR="003257C7">
          <w:instrText xml:space="preserve"> PAGE   \* MERGEFORMAT </w:instrText>
        </w:r>
        <w:r w:rsidRPr="00A14F94">
          <w:fldChar w:fldCharType="separate"/>
        </w:r>
        <w:r w:rsidR="00013E37" w:rsidRPr="00013E37">
          <w:rPr>
            <w:noProof/>
            <w:lang w:val="zh-CN"/>
          </w:rPr>
          <w:t>7</w:t>
        </w:r>
        <w:r>
          <w:rPr>
            <w:noProof/>
            <w:lang w:val="zh-CN"/>
          </w:rPr>
          <w:fldChar w:fldCharType="end"/>
        </w:r>
      </w:p>
    </w:sdtContent>
  </w:sdt>
  <w:p w:rsidR="002530A3" w:rsidRDefault="002530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3F06" w:rsidRDefault="00223F06" w:rsidP="00575AD4">
      <w:r>
        <w:separator/>
      </w:r>
    </w:p>
  </w:footnote>
  <w:footnote w:type="continuationSeparator" w:id="1">
    <w:p w:rsidR="00223F06" w:rsidRDefault="00223F06" w:rsidP="00575A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37865736"/>
    <w:lvl w:ilvl="0">
      <w:start w:val="1"/>
      <w:numFmt w:val="chineseCountingThousand"/>
      <w:suff w:val="nothing"/>
      <w:lvlText w:val="（%1）"/>
      <w:lvlJc w:val="left"/>
      <w:pPr>
        <w:ind w:left="1495"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1">
    <w:nsid w:val="00000002"/>
    <w:multiLevelType w:val="multilevel"/>
    <w:tmpl w:val="40D15568"/>
    <w:lvl w:ilvl="0">
      <w:start w:val="1"/>
      <w:numFmt w:val="chineseCountingThousand"/>
      <w:suff w:val="nothing"/>
      <w:lvlText w:val="%1、"/>
      <w:lvlJc w:val="left"/>
      <w:rPr>
        <w:rFonts w:cs="Times New Roman" w:hint="eastAsia"/>
      </w:rPr>
    </w:lvl>
    <w:lvl w:ilvl="1">
      <w:start w:val="1"/>
      <w:numFmt w:val="lowerLetter"/>
      <w:lvlText w:val="%2)"/>
      <w:lvlJc w:val="left"/>
      <w:pPr>
        <w:ind w:left="2825" w:hanging="420"/>
      </w:pPr>
      <w:rPr>
        <w:rFonts w:cs="Times New Roman" w:hint="eastAsia"/>
      </w:rPr>
    </w:lvl>
    <w:lvl w:ilvl="2">
      <w:start w:val="1"/>
      <w:numFmt w:val="lowerRoman"/>
      <w:lvlText w:val="%3."/>
      <w:lvlJc w:val="right"/>
      <w:pPr>
        <w:ind w:left="3245" w:hanging="420"/>
      </w:pPr>
      <w:rPr>
        <w:rFonts w:cs="Times New Roman" w:hint="eastAsia"/>
      </w:rPr>
    </w:lvl>
    <w:lvl w:ilvl="3">
      <w:start w:val="1"/>
      <w:numFmt w:val="decimal"/>
      <w:lvlText w:val="%4."/>
      <w:lvlJc w:val="left"/>
      <w:pPr>
        <w:ind w:left="3665" w:hanging="420"/>
      </w:pPr>
      <w:rPr>
        <w:rFonts w:cs="Times New Roman" w:hint="eastAsia"/>
      </w:rPr>
    </w:lvl>
    <w:lvl w:ilvl="4">
      <w:start w:val="1"/>
      <w:numFmt w:val="lowerLetter"/>
      <w:lvlText w:val="%5)"/>
      <w:lvlJc w:val="left"/>
      <w:pPr>
        <w:ind w:left="4085" w:hanging="420"/>
      </w:pPr>
      <w:rPr>
        <w:rFonts w:cs="Times New Roman" w:hint="eastAsia"/>
      </w:rPr>
    </w:lvl>
    <w:lvl w:ilvl="5">
      <w:start w:val="1"/>
      <w:numFmt w:val="lowerRoman"/>
      <w:lvlText w:val="%6."/>
      <w:lvlJc w:val="right"/>
      <w:pPr>
        <w:ind w:left="4505" w:hanging="420"/>
      </w:pPr>
      <w:rPr>
        <w:rFonts w:cs="Times New Roman" w:hint="eastAsia"/>
      </w:rPr>
    </w:lvl>
    <w:lvl w:ilvl="6">
      <w:start w:val="1"/>
      <w:numFmt w:val="decimal"/>
      <w:lvlText w:val="%7."/>
      <w:lvlJc w:val="left"/>
      <w:pPr>
        <w:ind w:left="4925" w:hanging="420"/>
      </w:pPr>
      <w:rPr>
        <w:rFonts w:cs="Times New Roman" w:hint="eastAsia"/>
      </w:rPr>
    </w:lvl>
    <w:lvl w:ilvl="7">
      <w:start w:val="1"/>
      <w:numFmt w:val="lowerLetter"/>
      <w:lvlText w:val="%8)"/>
      <w:lvlJc w:val="left"/>
      <w:pPr>
        <w:ind w:left="5345" w:hanging="420"/>
      </w:pPr>
      <w:rPr>
        <w:rFonts w:cs="Times New Roman" w:hint="eastAsia"/>
      </w:rPr>
    </w:lvl>
    <w:lvl w:ilvl="8">
      <w:start w:val="1"/>
      <w:numFmt w:val="lowerRoman"/>
      <w:lvlText w:val="%9."/>
      <w:lvlJc w:val="right"/>
      <w:pPr>
        <w:ind w:left="5765" w:hanging="420"/>
      </w:pPr>
      <w:rPr>
        <w:rFonts w:cs="Times New Roman" w:hint="eastAsia"/>
      </w:rPr>
    </w:lvl>
  </w:abstractNum>
  <w:abstractNum w:abstractNumId="2">
    <w:nsid w:val="0C18274D"/>
    <w:multiLevelType w:val="multilevel"/>
    <w:tmpl w:val="441C3404"/>
    <w:lvl w:ilvl="0">
      <w:start w:val="1"/>
      <w:numFmt w:val="decimal"/>
      <w:lvlText w:val="%1."/>
      <w:lvlJc w:val="left"/>
      <w:pPr>
        <w:ind w:left="846" w:hanging="420"/>
      </w:pPr>
      <w:rPr>
        <w:rFonts w:cs="Times New Roman"/>
      </w:rPr>
    </w:lvl>
    <w:lvl w:ilvl="1">
      <w:start w:val="1"/>
      <w:numFmt w:val="lowerLetter"/>
      <w:lvlText w:val="%2)"/>
      <w:lvlJc w:val="left"/>
      <w:pPr>
        <w:ind w:left="1264" w:hanging="420"/>
      </w:pPr>
      <w:rPr>
        <w:rFonts w:cs="Times New Roman"/>
      </w:rPr>
    </w:lvl>
    <w:lvl w:ilvl="2">
      <w:start w:val="1"/>
      <w:numFmt w:val="lowerRoman"/>
      <w:lvlText w:val="%3."/>
      <w:lvlJc w:val="right"/>
      <w:pPr>
        <w:ind w:left="1684" w:hanging="420"/>
      </w:pPr>
      <w:rPr>
        <w:rFonts w:cs="Times New Roman"/>
      </w:rPr>
    </w:lvl>
    <w:lvl w:ilvl="3">
      <w:start w:val="1"/>
      <w:numFmt w:val="decimal"/>
      <w:lvlText w:val="%4."/>
      <w:lvlJc w:val="left"/>
      <w:pPr>
        <w:ind w:left="2104" w:hanging="420"/>
      </w:pPr>
      <w:rPr>
        <w:rFonts w:cs="Times New Roman"/>
      </w:rPr>
    </w:lvl>
    <w:lvl w:ilvl="4">
      <w:start w:val="1"/>
      <w:numFmt w:val="lowerLetter"/>
      <w:lvlText w:val="%5)"/>
      <w:lvlJc w:val="left"/>
      <w:pPr>
        <w:ind w:left="2524" w:hanging="420"/>
      </w:pPr>
      <w:rPr>
        <w:rFonts w:cs="Times New Roman"/>
      </w:rPr>
    </w:lvl>
    <w:lvl w:ilvl="5">
      <w:start w:val="1"/>
      <w:numFmt w:val="lowerRoman"/>
      <w:lvlText w:val="%6."/>
      <w:lvlJc w:val="right"/>
      <w:pPr>
        <w:ind w:left="2944" w:hanging="420"/>
      </w:pPr>
      <w:rPr>
        <w:rFonts w:cs="Times New Roman"/>
      </w:rPr>
    </w:lvl>
    <w:lvl w:ilvl="6">
      <w:start w:val="1"/>
      <w:numFmt w:val="decimal"/>
      <w:lvlText w:val="%7."/>
      <w:lvlJc w:val="left"/>
      <w:pPr>
        <w:ind w:left="3364" w:hanging="420"/>
      </w:pPr>
      <w:rPr>
        <w:rFonts w:cs="Times New Roman"/>
      </w:rPr>
    </w:lvl>
    <w:lvl w:ilvl="7">
      <w:start w:val="1"/>
      <w:numFmt w:val="lowerLetter"/>
      <w:lvlText w:val="%8)"/>
      <w:lvlJc w:val="left"/>
      <w:pPr>
        <w:ind w:left="3784" w:hanging="420"/>
      </w:pPr>
      <w:rPr>
        <w:rFonts w:cs="Times New Roman"/>
      </w:rPr>
    </w:lvl>
    <w:lvl w:ilvl="8">
      <w:start w:val="1"/>
      <w:numFmt w:val="lowerRoman"/>
      <w:lvlText w:val="%9."/>
      <w:lvlJc w:val="right"/>
      <w:pPr>
        <w:ind w:left="4204" w:hanging="420"/>
      </w:pPr>
      <w:rPr>
        <w:rFonts w:cs="Times New Roman"/>
      </w:rPr>
    </w:lvl>
  </w:abstractNum>
  <w:abstractNum w:abstractNumId="3">
    <w:nsid w:val="0C4C6A82"/>
    <w:multiLevelType w:val="hybridMultilevel"/>
    <w:tmpl w:val="1FB4A064"/>
    <w:lvl w:ilvl="0" w:tplc="04090013">
      <w:start w:val="1"/>
      <w:numFmt w:val="chineseCountingThousand"/>
      <w:lvlText w:val="%1、"/>
      <w:lvlJc w:val="left"/>
      <w:pPr>
        <w:tabs>
          <w:tab w:val="num" w:pos="1271"/>
        </w:tabs>
        <w:ind w:left="1271" w:hanging="720"/>
      </w:pPr>
      <w:rPr>
        <w:rFonts w:hint="default"/>
        <w:lang w:val="en-US"/>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4">
    <w:nsid w:val="14303139"/>
    <w:multiLevelType w:val="hybridMultilevel"/>
    <w:tmpl w:val="620252CE"/>
    <w:lvl w:ilvl="0" w:tplc="5B60D17E">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225D6F4E"/>
    <w:multiLevelType w:val="multilevel"/>
    <w:tmpl w:val="968854D0"/>
    <w:lvl w:ilvl="0">
      <w:start w:val="1"/>
      <w:numFmt w:val="chineseCountingThousand"/>
      <w:suff w:val="nothing"/>
      <w:lvlText w:val="（%1）"/>
      <w:lvlJc w:val="left"/>
      <w:pPr>
        <w:ind w:left="1777"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6">
    <w:nsid w:val="2CA85E8A"/>
    <w:multiLevelType w:val="multilevel"/>
    <w:tmpl w:val="2CA85E8A"/>
    <w:lvl w:ilvl="0">
      <w:start w:val="1"/>
      <w:numFmt w:val="decimal"/>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7">
    <w:nsid w:val="2E9B331F"/>
    <w:multiLevelType w:val="hybridMultilevel"/>
    <w:tmpl w:val="677EA822"/>
    <w:lvl w:ilvl="0" w:tplc="56F676BC">
      <w:start w:val="5"/>
      <w:numFmt w:val="japaneseCounting"/>
      <w:lvlText w:val="（%1）"/>
      <w:lvlJc w:val="left"/>
      <w:pPr>
        <w:ind w:left="1140" w:hanging="72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F821BEC"/>
    <w:multiLevelType w:val="hybridMultilevel"/>
    <w:tmpl w:val="11181A80"/>
    <w:lvl w:ilvl="0" w:tplc="158E3D4C">
      <w:start w:val="9"/>
      <w:numFmt w:val="japaneseCounting"/>
      <w:lvlText w:val="%1、"/>
      <w:lvlJc w:val="left"/>
      <w:pPr>
        <w:ind w:left="1282" w:hanging="720"/>
      </w:pPr>
      <w:rPr>
        <w:rFonts w:hAnsi="宋体"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9">
    <w:nsid w:val="40D15568"/>
    <w:multiLevelType w:val="multilevel"/>
    <w:tmpl w:val="6A18BCC8"/>
    <w:lvl w:ilvl="0">
      <w:start w:val="1"/>
      <w:numFmt w:val="chineseCountingThousand"/>
      <w:lvlText w:val="%1、"/>
      <w:lvlJc w:val="left"/>
      <w:rPr>
        <w:rFonts w:cs="Times New Roman" w:hint="eastAsia"/>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0">
    <w:nsid w:val="5BCA204B"/>
    <w:multiLevelType w:val="hybridMultilevel"/>
    <w:tmpl w:val="9134E2A6"/>
    <w:lvl w:ilvl="0" w:tplc="8BF48F86">
      <w:start w:val="6"/>
      <w:numFmt w:val="japaneseCounting"/>
      <w:lvlText w:val="%1、"/>
      <w:lvlJc w:val="left"/>
      <w:pPr>
        <w:ind w:left="720" w:hanging="720"/>
      </w:pPr>
      <w:rPr>
        <w:rFonts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7973BF"/>
    <w:multiLevelType w:val="multilevel"/>
    <w:tmpl w:val="797973BF"/>
    <w:lvl w:ilvl="0">
      <w:start w:val="4"/>
      <w:numFmt w:val="japaneseCounting"/>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2">
    <w:nsid w:val="7DBF6A0B"/>
    <w:multiLevelType w:val="multilevel"/>
    <w:tmpl w:val="0C18274D"/>
    <w:lvl w:ilvl="0">
      <w:start w:val="1"/>
      <w:numFmt w:val="decimal"/>
      <w:suff w:val="nothing"/>
      <w:lvlText w:val="%1."/>
      <w:lvlJc w:val="left"/>
      <w:pPr>
        <w:ind w:left="846" w:hanging="420"/>
      </w:pPr>
      <w:rPr>
        <w:rFonts w:cs="Times New Roman" w:hint="eastAsia"/>
      </w:rPr>
    </w:lvl>
    <w:lvl w:ilvl="1">
      <w:start w:val="1"/>
      <w:numFmt w:val="lowerLetter"/>
      <w:lvlText w:val="%2)"/>
      <w:lvlJc w:val="left"/>
      <w:pPr>
        <w:ind w:left="1264" w:hanging="420"/>
      </w:pPr>
      <w:rPr>
        <w:rFonts w:cs="Times New Roman" w:hint="eastAsia"/>
      </w:rPr>
    </w:lvl>
    <w:lvl w:ilvl="2">
      <w:start w:val="1"/>
      <w:numFmt w:val="lowerRoman"/>
      <w:lvlText w:val="%3."/>
      <w:lvlJc w:val="right"/>
      <w:pPr>
        <w:ind w:left="1684" w:hanging="420"/>
      </w:pPr>
      <w:rPr>
        <w:rFonts w:cs="Times New Roman" w:hint="eastAsia"/>
      </w:rPr>
    </w:lvl>
    <w:lvl w:ilvl="3">
      <w:start w:val="1"/>
      <w:numFmt w:val="decimal"/>
      <w:lvlText w:val="%4."/>
      <w:lvlJc w:val="left"/>
      <w:pPr>
        <w:ind w:left="2104" w:hanging="420"/>
      </w:pPr>
      <w:rPr>
        <w:rFonts w:cs="Times New Roman" w:hint="eastAsia"/>
      </w:rPr>
    </w:lvl>
    <w:lvl w:ilvl="4">
      <w:start w:val="1"/>
      <w:numFmt w:val="lowerLetter"/>
      <w:lvlText w:val="%5)"/>
      <w:lvlJc w:val="left"/>
      <w:pPr>
        <w:ind w:left="2524" w:hanging="420"/>
      </w:pPr>
      <w:rPr>
        <w:rFonts w:cs="Times New Roman" w:hint="eastAsia"/>
      </w:rPr>
    </w:lvl>
    <w:lvl w:ilvl="5">
      <w:start w:val="1"/>
      <w:numFmt w:val="lowerRoman"/>
      <w:lvlText w:val="%6."/>
      <w:lvlJc w:val="right"/>
      <w:pPr>
        <w:ind w:left="2944" w:hanging="420"/>
      </w:pPr>
      <w:rPr>
        <w:rFonts w:cs="Times New Roman" w:hint="eastAsia"/>
      </w:rPr>
    </w:lvl>
    <w:lvl w:ilvl="6">
      <w:start w:val="1"/>
      <w:numFmt w:val="decimal"/>
      <w:lvlText w:val="%7."/>
      <w:lvlJc w:val="left"/>
      <w:pPr>
        <w:ind w:left="3364" w:hanging="420"/>
      </w:pPr>
      <w:rPr>
        <w:rFonts w:cs="Times New Roman" w:hint="eastAsia"/>
      </w:rPr>
    </w:lvl>
    <w:lvl w:ilvl="7">
      <w:start w:val="1"/>
      <w:numFmt w:val="lowerLetter"/>
      <w:lvlText w:val="%8)"/>
      <w:lvlJc w:val="left"/>
      <w:pPr>
        <w:ind w:left="3784" w:hanging="420"/>
      </w:pPr>
      <w:rPr>
        <w:rFonts w:cs="Times New Roman" w:hint="eastAsia"/>
      </w:rPr>
    </w:lvl>
    <w:lvl w:ilvl="8">
      <w:start w:val="1"/>
      <w:numFmt w:val="lowerRoman"/>
      <w:lvlText w:val="%9."/>
      <w:lvlJc w:val="right"/>
      <w:pPr>
        <w:ind w:left="4204" w:hanging="420"/>
      </w:pPr>
      <w:rPr>
        <w:rFonts w:cs="Times New Roman" w:hint="eastAsia"/>
      </w:rPr>
    </w:lvl>
  </w:abstractNum>
  <w:num w:numId="1">
    <w:abstractNumId w:val="3"/>
  </w:num>
  <w:num w:numId="2">
    <w:abstractNumId w:val="9"/>
  </w:num>
  <w:num w:numId="3">
    <w:abstractNumId w:val="11"/>
  </w:num>
  <w:num w:numId="4">
    <w:abstractNumId w:val="6"/>
  </w:num>
  <w:num w:numId="5">
    <w:abstractNumId w:val="5"/>
  </w:num>
  <w:num w:numId="6">
    <w:abstractNumId w:val="2"/>
  </w:num>
  <w:num w:numId="7">
    <w:abstractNumId w:val="1"/>
  </w:num>
  <w:num w:numId="8">
    <w:abstractNumId w:val="12"/>
  </w:num>
  <w:num w:numId="9">
    <w:abstractNumId w:val="0"/>
  </w:num>
  <w:num w:numId="10">
    <w:abstractNumId w:val="4"/>
  </w:num>
  <w:num w:numId="11">
    <w:abstractNumId w:val="10"/>
  </w:num>
  <w:num w:numId="12">
    <w:abstractNumId w:val="7"/>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50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5AD4"/>
    <w:rsid w:val="00000F3F"/>
    <w:rsid w:val="00001A31"/>
    <w:rsid w:val="0000265A"/>
    <w:rsid w:val="00002ED1"/>
    <w:rsid w:val="0000404B"/>
    <w:rsid w:val="0000412B"/>
    <w:rsid w:val="000045E9"/>
    <w:rsid w:val="000050E8"/>
    <w:rsid w:val="00006391"/>
    <w:rsid w:val="00007613"/>
    <w:rsid w:val="000105C0"/>
    <w:rsid w:val="000105FC"/>
    <w:rsid w:val="00010DE0"/>
    <w:rsid w:val="000111E8"/>
    <w:rsid w:val="00011A51"/>
    <w:rsid w:val="00012A8E"/>
    <w:rsid w:val="00012CA0"/>
    <w:rsid w:val="00013E37"/>
    <w:rsid w:val="00013E94"/>
    <w:rsid w:val="00014611"/>
    <w:rsid w:val="0001684E"/>
    <w:rsid w:val="00016A98"/>
    <w:rsid w:val="0001754B"/>
    <w:rsid w:val="0002043A"/>
    <w:rsid w:val="00020E8E"/>
    <w:rsid w:val="000223D2"/>
    <w:rsid w:val="000229F7"/>
    <w:rsid w:val="00022D16"/>
    <w:rsid w:val="0002457F"/>
    <w:rsid w:val="000257B8"/>
    <w:rsid w:val="00025D8F"/>
    <w:rsid w:val="000261BF"/>
    <w:rsid w:val="00026260"/>
    <w:rsid w:val="0002643B"/>
    <w:rsid w:val="0003087D"/>
    <w:rsid w:val="00030C49"/>
    <w:rsid w:val="00031569"/>
    <w:rsid w:val="00032AD8"/>
    <w:rsid w:val="0003302F"/>
    <w:rsid w:val="000341BD"/>
    <w:rsid w:val="00034237"/>
    <w:rsid w:val="00034FFB"/>
    <w:rsid w:val="000351DC"/>
    <w:rsid w:val="00035DC3"/>
    <w:rsid w:val="00040152"/>
    <w:rsid w:val="00041EB8"/>
    <w:rsid w:val="00042D82"/>
    <w:rsid w:val="00042DE6"/>
    <w:rsid w:val="00044492"/>
    <w:rsid w:val="000444AC"/>
    <w:rsid w:val="000445A0"/>
    <w:rsid w:val="0004599F"/>
    <w:rsid w:val="00047939"/>
    <w:rsid w:val="00047E41"/>
    <w:rsid w:val="0005029A"/>
    <w:rsid w:val="000510EF"/>
    <w:rsid w:val="000516C4"/>
    <w:rsid w:val="00051A25"/>
    <w:rsid w:val="00052050"/>
    <w:rsid w:val="00054308"/>
    <w:rsid w:val="000570D8"/>
    <w:rsid w:val="000573ED"/>
    <w:rsid w:val="00057A67"/>
    <w:rsid w:val="00060292"/>
    <w:rsid w:val="000604FC"/>
    <w:rsid w:val="00061059"/>
    <w:rsid w:val="000618B5"/>
    <w:rsid w:val="000628B5"/>
    <w:rsid w:val="0006325A"/>
    <w:rsid w:val="00063570"/>
    <w:rsid w:val="00063D7C"/>
    <w:rsid w:val="00067D7B"/>
    <w:rsid w:val="000703DD"/>
    <w:rsid w:val="00071EC3"/>
    <w:rsid w:val="00072653"/>
    <w:rsid w:val="00073982"/>
    <w:rsid w:val="000744B7"/>
    <w:rsid w:val="000745F3"/>
    <w:rsid w:val="00074873"/>
    <w:rsid w:val="00074F33"/>
    <w:rsid w:val="0007585B"/>
    <w:rsid w:val="00076777"/>
    <w:rsid w:val="00076B76"/>
    <w:rsid w:val="00081197"/>
    <w:rsid w:val="00081E40"/>
    <w:rsid w:val="000826AB"/>
    <w:rsid w:val="00083200"/>
    <w:rsid w:val="000840C8"/>
    <w:rsid w:val="00085934"/>
    <w:rsid w:val="00086775"/>
    <w:rsid w:val="00086DED"/>
    <w:rsid w:val="0008777D"/>
    <w:rsid w:val="00087BA1"/>
    <w:rsid w:val="00090FEE"/>
    <w:rsid w:val="000922ED"/>
    <w:rsid w:val="00092346"/>
    <w:rsid w:val="000935F3"/>
    <w:rsid w:val="000949AD"/>
    <w:rsid w:val="00096C8A"/>
    <w:rsid w:val="000A041B"/>
    <w:rsid w:val="000A0820"/>
    <w:rsid w:val="000A332C"/>
    <w:rsid w:val="000A3E57"/>
    <w:rsid w:val="000A4321"/>
    <w:rsid w:val="000A43C8"/>
    <w:rsid w:val="000A49FA"/>
    <w:rsid w:val="000A4E8B"/>
    <w:rsid w:val="000A4FD0"/>
    <w:rsid w:val="000A4FFC"/>
    <w:rsid w:val="000A53F3"/>
    <w:rsid w:val="000A5C31"/>
    <w:rsid w:val="000A5C40"/>
    <w:rsid w:val="000A7701"/>
    <w:rsid w:val="000B01D7"/>
    <w:rsid w:val="000B01FB"/>
    <w:rsid w:val="000B0E11"/>
    <w:rsid w:val="000B1062"/>
    <w:rsid w:val="000B1EA4"/>
    <w:rsid w:val="000B2EE0"/>
    <w:rsid w:val="000B315C"/>
    <w:rsid w:val="000B399D"/>
    <w:rsid w:val="000B3D11"/>
    <w:rsid w:val="000B4007"/>
    <w:rsid w:val="000B5EC5"/>
    <w:rsid w:val="000B6C5F"/>
    <w:rsid w:val="000B6DCE"/>
    <w:rsid w:val="000B7B79"/>
    <w:rsid w:val="000C07C7"/>
    <w:rsid w:val="000C0AD4"/>
    <w:rsid w:val="000C234E"/>
    <w:rsid w:val="000C256B"/>
    <w:rsid w:val="000C25B4"/>
    <w:rsid w:val="000C2C84"/>
    <w:rsid w:val="000C2FE9"/>
    <w:rsid w:val="000C38EE"/>
    <w:rsid w:val="000C3A9D"/>
    <w:rsid w:val="000C5465"/>
    <w:rsid w:val="000C5643"/>
    <w:rsid w:val="000C6183"/>
    <w:rsid w:val="000C61EE"/>
    <w:rsid w:val="000D1CE3"/>
    <w:rsid w:val="000D1F48"/>
    <w:rsid w:val="000D2F7A"/>
    <w:rsid w:val="000D3543"/>
    <w:rsid w:val="000D4052"/>
    <w:rsid w:val="000D4875"/>
    <w:rsid w:val="000D4950"/>
    <w:rsid w:val="000D6DBF"/>
    <w:rsid w:val="000E020A"/>
    <w:rsid w:val="000E0349"/>
    <w:rsid w:val="000E0B1E"/>
    <w:rsid w:val="000E1363"/>
    <w:rsid w:val="000E2149"/>
    <w:rsid w:val="000E23AB"/>
    <w:rsid w:val="000E2E00"/>
    <w:rsid w:val="000E2FE2"/>
    <w:rsid w:val="000E3EF1"/>
    <w:rsid w:val="000E3F50"/>
    <w:rsid w:val="000E436B"/>
    <w:rsid w:val="000E4505"/>
    <w:rsid w:val="000E4530"/>
    <w:rsid w:val="000E4A60"/>
    <w:rsid w:val="000E4ABC"/>
    <w:rsid w:val="000E5415"/>
    <w:rsid w:val="000E5987"/>
    <w:rsid w:val="000F12C2"/>
    <w:rsid w:val="000F1DF1"/>
    <w:rsid w:val="000F5113"/>
    <w:rsid w:val="000F5494"/>
    <w:rsid w:val="000F5538"/>
    <w:rsid w:val="000F630D"/>
    <w:rsid w:val="000F668A"/>
    <w:rsid w:val="000F67C1"/>
    <w:rsid w:val="000F7795"/>
    <w:rsid w:val="000F7F5D"/>
    <w:rsid w:val="0010067F"/>
    <w:rsid w:val="001008D5"/>
    <w:rsid w:val="0010135B"/>
    <w:rsid w:val="00102759"/>
    <w:rsid w:val="00102BE3"/>
    <w:rsid w:val="00103229"/>
    <w:rsid w:val="001032A0"/>
    <w:rsid w:val="00103C54"/>
    <w:rsid w:val="00103D8A"/>
    <w:rsid w:val="00103FBC"/>
    <w:rsid w:val="001044A7"/>
    <w:rsid w:val="00104B6A"/>
    <w:rsid w:val="00104F3D"/>
    <w:rsid w:val="00105722"/>
    <w:rsid w:val="00105AB4"/>
    <w:rsid w:val="00107639"/>
    <w:rsid w:val="00107666"/>
    <w:rsid w:val="00107679"/>
    <w:rsid w:val="00110021"/>
    <w:rsid w:val="00111525"/>
    <w:rsid w:val="0011202A"/>
    <w:rsid w:val="00112B87"/>
    <w:rsid w:val="00113964"/>
    <w:rsid w:val="00114631"/>
    <w:rsid w:val="00114ABD"/>
    <w:rsid w:val="0011731B"/>
    <w:rsid w:val="00120D0B"/>
    <w:rsid w:val="0012148F"/>
    <w:rsid w:val="001226E3"/>
    <w:rsid w:val="00125689"/>
    <w:rsid w:val="0012762A"/>
    <w:rsid w:val="00131676"/>
    <w:rsid w:val="00131DE6"/>
    <w:rsid w:val="00131E75"/>
    <w:rsid w:val="00132451"/>
    <w:rsid w:val="00132C2C"/>
    <w:rsid w:val="00134483"/>
    <w:rsid w:val="00134A85"/>
    <w:rsid w:val="001403E8"/>
    <w:rsid w:val="00140890"/>
    <w:rsid w:val="001408E3"/>
    <w:rsid w:val="00140BC8"/>
    <w:rsid w:val="00141A7B"/>
    <w:rsid w:val="00142638"/>
    <w:rsid w:val="0014365D"/>
    <w:rsid w:val="001444A4"/>
    <w:rsid w:val="00146A27"/>
    <w:rsid w:val="001479C0"/>
    <w:rsid w:val="00147B92"/>
    <w:rsid w:val="00150E2E"/>
    <w:rsid w:val="00151A3E"/>
    <w:rsid w:val="00151FB6"/>
    <w:rsid w:val="00153316"/>
    <w:rsid w:val="00153C5B"/>
    <w:rsid w:val="00153F05"/>
    <w:rsid w:val="00154C49"/>
    <w:rsid w:val="00155470"/>
    <w:rsid w:val="001560B1"/>
    <w:rsid w:val="001567F7"/>
    <w:rsid w:val="0015748F"/>
    <w:rsid w:val="00157CCB"/>
    <w:rsid w:val="00157F60"/>
    <w:rsid w:val="0016192E"/>
    <w:rsid w:val="001622A2"/>
    <w:rsid w:val="0016348E"/>
    <w:rsid w:val="00163B46"/>
    <w:rsid w:val="00163B9F"/>
    <w:rsid w:val="00163BDD"/>
    <w:rsid w:val="0016420B"/>
    <w:rsid w:val="00165945"/>
    <w:rsid w:val="00167A26"/>
    <w:rsid w:val="00170084"/>
    <w:rsid w:val="001703AB"/>
    <w:rsid w:val="00170DBE"/>
    <w:rsid w:val="00171B68"/>
    <w:rsid w:val="00172E38"/>
    <w:rsid w:val="00173B4C"/>
    <w:rsid w:val="00174527"/>
    <w:rsid w:val="00174753"/>
    <w:rsid w:val="00174F9D"/>
    <w:rsid w:val="001751C7"/>
    <w:rsid w:val="001759DF"/>
    <w:rsid w:val="00176152"/>
    <w:rsid w:val="00176400"/>
    <w:rsid w:val="0017701D"/>
    <w:rsid w:val="00177932"/>
    <w:rsid w:val="001807F1"/>
    <w:rsid w:val="00180B1C"/>
    <w:rsid w:val="00181A21"/>
    <w:rsid w:val="00182307"/>
    <w:rsid w:val="00182317"/>
    <w:rsid w:val="0018296B"/>
    <w:rsid w:val="00182A03"/>
    <w:rsid w:val="0018342E"/>
    <w:rsid w:val="00184797"/>
    <w:rsid w:val="001851AA"/>
    <w:rsid w:val="00186323"/>
    <w:rsid w:val="00186556"/>
    <w:rsid w:val="00186DAC"/>
    <w:rsid w:val="00186FFB"/>
    <w:rsid w:val="00187C03"/>
    <w:rsid w:val="00187E94"/>
    <w:rsid w:val="00190247"/>
    <w:rsid w:val="00190C59"/>
    <w:rsid w:val="001914A6"/>
    <w:rsid w:val="001925E0"/>
    <w:rsid w:val="00192901"/>
    <w:rsid w:val="00193344"/>
    <w:rsid w:val="001933A1"/>
    <w:rsid w:val="001937EC"/>
    <w:rsid w:val="001947BB"/>
    <w:rsid w:val="00194E65"/>
    <w:rsid w:val="00196131"/>
    <w:rsid w:val="00196DEE"/>
    <w:rsid w:val="001972D5"/>
    <w:rsid w:val="001A1931"/>
    <w:rsid w:val="001A2765"/>
    <w:rsid w:val="001A27AB"/>
    <w:rsid w:val="001A3055"/>
    <w:rsid w:val="001A544F"/>
    <w:rsid w:val="001A5A25"/>
    <w:rsid w:val="001A5BF6"/>
    <w:rsid w:val="001B088B"/>
    <w:rsid w:val="001B14C3"/>
    <w:rsid w:val="001B1D96"/>
    <w:rsid w:val="001B2063"/>
    <w:rsid w:val="001B22A0"/>
    <w:rsid w:val="001B2FC0"/>
    <w:rsid w:val="001B3592"/>
    <w:rsid w:val="001B36D0"/>
    <w:rsid w:val="001B3907"/>
    <w:rsid w:val="001B4A94"/>
    <w:rsid w:val="001B5B42"/>
    <w:rsid w:val="001B606E"/>
    <w:rsid w:val="001B692A"/>
    <w:rsid w:val="001B7DFC"/>
    <w:rsid w:val="001C1EA9"/>
    <w:rsid w:val="001C3F62"/>
    <w:rsid w:val="001C4F1C"/>
    <w:rsid w:val="001C6721"/>
    <w:rsid w:val="001C6ABD"/>
    <w:rsid w:val="001C7672"/>
    <w:rsid w:val="001C77CB"/>
    <w:rsid w:val="001C79B7"/>
    <w:rsid w:val="001C7CD1"/>
    <w:rsid w:val="001D0E14"/>
    <w:rsid w:val="001D11E7"/>
    <w:rsid w:val="001D285D"/>
    <w:rsid w:val="001D2CD6"/>
    <w:rsid w:val="001D2CDD"/>
    <w:rsid w:val="001D358F"/>
    <w:rsid w:val="001D3F36"/>
    <w:rsid w:val="001D5456"/>
    <w:rsid w:val="001D5A5F"/>
    <w:rsid w:val="001D5BB6"/>
    <w:rsid w:val="001D658A"/>
    <w:rsid w:val="001D65C4"/>
    <w:rsid w:val="001D6914"/>
    <w:rsid w:val="001E0803"/>
    <w:rsid w:val="001E1FD7"/>
    <w:rsid w:val="001E2158"/>
    <w:rsid w:val="001E2B56"/>
    <w:rsid w:val="001E30D1"/>
    <w:rsid w:val="001E4BCC"/>
    <w:rsid w:val="001E4F3F"/>
    <w:rsid w:val="001E5190"/>
    <w:rsid w:val="001E58B6"/>
    <w:rsid w:val="001E663E"/>
    <w:rsid w:val="001E6A95"/>
    <w:rsid w:val="001E7CA0"/>
    <w:rsid w:val="001E7F9A"/>
    <w:rsid w:val="001F04E7"/>
    <w:rsid w:val="001F06EE"/>
    <w:rsid w:val="001F1946"/>
    <w:rsid w:val="001F1EA8"/>
    <w:rsid w:val="001F2BDA"/>
    <w:rsid w:val="001F30B9"/>
    <w:rsid w:val="001F3A04"/>
    <w:rsid w:val="001F3C43"/>
    <w:rsid w:val="001F64D5"/>
    <w:rsid w:val="001F6652"/>
    <w:rsid w:val="001F67C0"/>
    <w:rsid w:val="001F6844"/>
    <w:rsid w:val="001F6BEC"/>
    <w:rsid w:val="001F78CD"/>
    <w:rsid w:val="0020037A"/>
    <w:rsid w:val="00200930"/>
    <w:rsid w:val="00200EB9"/>
    <w:rsid w:val="00201AD0"/>
    <w:rsid w:val="00201AE7"/>
    <w:rsid w:val="0020224B"/>
    <w:rsid w:val="0020295F"/>
    <w:rsid w:val="00202D90"/>
    <w:rsid w:val="0020332A"/>
    <w:rsid w:val="002042D9"/>
    <w:rsid w:val="0020436E"/>
    <w:rsid w:val="00204ACA"/>
    <w:rsid w:val="002057E7"/>
    <w:rsid w:val="0021113D"/>
    <w:rsid w:val="00211A19"/>
    <w:rsid w:val="00211A22"/>
    <w:rsid w:val="0021287F"/>
    <w:rsid w:val="00212E75"/>
    <w:rsid w:val="00212E95"/>
    <w:rsid w:val="00212ECA"/>
    <w:rsid w:val="00215E82"/>
    <w:rsid w:val="00216812"/>
    <w:rsid w:val="00216F5A"/>
    <w:rsid w:val="00217B58"/>
    <w:rsid w:val="00220A5C"/>
    <w:rsid w:val="002216BA"/>
    <w:rsid w:val="0022175A"/>
    <w:rsid w:val="00221B1A"/>
    <w:rsid w:val="00223D31"/>
    <w:rsid w:val="00223F06"/>
    <w:rsid w:val="00224454"/>
    <w:rsid w:val="0022488F"/>
    <w:rsid w:val="0022554B"/>
    <w:rsid w:val="002278DC"/>
    <w:rsid w:val="002316A8"/>
    <w:rsid w:val="002325CB"/>
    <w:rsid w:val="00233B78"/>
    <w:rsid w:val="00234345"/>
    <w:rsid w:val="0023481F"/>
    <w:rsid w:val="00234C7C"/>
    <w:rsid w:val="002359D1"/>
    <w:rsid w:val="0023774B"/>
    <w:rsid w:val="002423D9"/>
    <w:rsid w:val="00242493"/>
    <w:rsid w:val="00242C31"/>
    <w:rsid w:val="002439E1"/>
    <w:rsid w:val="0024433C"/>
    <w:rsid w:val="002453B3"/>
    <w:rsid w:val="002453FF"/>
    <w:rsid w:val="002458DF"/>
    <w:rsid w:val="002468FC"/>
    <w:rsid w:val="00246952"/>
    <w:rsid w:val="00246CFF"/>
    <w:rsid w:val="00246D4B"/>
    <w:rsid w:val="00247593"/>
    <w:rsid w:val="00247872"/>
    <w:rsid w:val="00247C40"/>
    <w:rsid w:val="0025000E"/>
    <w:rsid w:val="00250664"/>
    <w:rsid w:val="00250675"/>
    <w:rsid w:val="002509AA"/>
    <w:rsid w:val="00250B90"/>
    <w:rsid w:val="00251054"/>
    <w:rsid w:val="00251262"/>
    <w:rsid w:val="002518DB"/>
    <w:rsid w:val="00252722"/>
    <w:rsid w:val="002530A3"/>
    <w:rsid w:val="0025338E"/>
    <w:rsid w:val="0025343B"/>
    <w:rsid w:val="00253E55"/>
    <w:rsid w:val="002550FB"/>
    <w:rsid w:val="00255CE7"/>
    <w:rsid w:val="002568A2"/>
    <w:rsid w:val="002568B1"/>
    <w:rsid w:val="00256A69"/>
    <w:rsid w:val="0026181A"/>
    <w:rsid w:val="00262778"/>
    <w:rsid w:val="00262E87"/>
    <w:rsid w:val="00263F58"/>
    <w:rsid w:val="00264FF2"/>
    <w:rsid w:val="00266DC8"/>
    <w:rsid w:val="002678B5"/>
    <w:rsid w:val="0026792E"/>
    <w:rsid w:val="0027098D"/>
    <w:rsid w:val="002711F9"/>
    <w:rsid w:val="0027121B"/>
    <w:rsid w:val="002712BE"/>
    <w:rsid w:val="00274591"/>
    <w:rsid w:val="0027470A"/>
    <w:rsid w:val="002749A2"/>
    <w:rsid w:val="00276460"/>
    <w:rsid w:val="00277BFD"/>
    <w:rsid w:val="00277D5C"/>
    <w:rsid w:val="0028134F"/>
    <w:rsid w:val="002819BE"/>
    <w:rsid w:val="00281BE7"/>
    <w:rsid w:val="00282559"/>
    <w:rsid w:val="00283282"/>
    <w:rsid w:val="00284533"/>
    <w:rsid w:val="00284A33"/>
    <w:rsid w:val="002851CD"/>
    <w:rsid w:val="002856E5"/>
    <w:rsid w:val="00285785"/>
    <w:rsid w:val="002869F2"/>
    <w:rsid w:val="00287880"/>
    <w:rsid w:val="00287BC0"/>
    <w:rsid w:val="0029052D"/>
    <w:rsid w:val="002908A5"/>
    <w:rsid w:val="00290EEB"/>
    <w:rsid w:val="00291784"/>
    <w:rsid w:val="002925AA"/>
    <w:rsid w:val="00292E23"/>
    <w:rsid w:val="00293116"/>
    <w:rsid w:val="00293187"/>
    <w:rsid w:val="00293E65"/>
    <w:rsid w:val="00295BEB"/>
    <w:rsid w:val="0029677A"/>
    <w:rsid w:val="002A02E5"/>
    <w:rsid w:val="002A0B36"/>
    <w:rsid w:val="002A1176"/>
    <w:rsid w:val="002A1839"/>
    <w:rsid w:val="002A346A"/>
    <w:rsid w:val="002A3CE3"/>
    <w:rsid w:val="002A6B6E"/>
    <w:rsid w:val="002A6DD7"/>
    <w:rsid w:val="002A718A"/>
    <w:rsid w:val="002A73AE"/>
    <w:rsid w:val="002A78CE"/>
    <w:rsid w:val="002A7E09"/>
    <w:rsid w:val="002B0FFC"/>
    <w:rsid w:val="002B1164"/>
    <w:rsid w:val="002B32CF"/>
    <w:rsid w:val="002B3FB6"/>
    <w:rsid w:val="002B4D27"/>
    <w:rsid w:val="002B5BBB"/>
    <w:rsid w:val="002B5CC8"/>
    <w:rsid w:val="002B79E9"/>
    <w:rsid w:val="002C0E34"/>
    <w:rsid w:val="002C1B70"/>
    <w:rsid w:val="002C1D35"/>
    <w:rsid w:val="002C29AF"/>
    <w:rsid w:val="002C2EFC"/>
    <w:rsid w:val="002C359E"/>
    <w:rsid w:val="002C4077"/>
    <w:rsid w:val="002C5CE6"/>
    <w:rsid w:val="002C5DD3"/>
    <w:rsid w:val="002C5F38"/>
    <w:rsid w:val="002C6F2D"/>
    <w:rsid w:val="002C7384"/>
    <w:rsid w:val="002C745F"/>
    <w:rsid w:val="002C7823"/>
    <w:rsid w:val="002D0548"/>
    <w:rsid w:val="002D28FC"/>
    <w:rsid w:val="002D32C4"/>
    <w:rsid w:val="002D32F8"/>
    <w:rsid w:val="002D33DE"/>
    <w:rsid w:val="002D4248"/>
    <w:rsid w:val="002D4D2D"/>
    <w:rsid w:val="002D65C2"/>
    <w:rsid w:val="002E0B6D"/>
    <w:rsid w:val="002E0F6B"/>
    <w:rsid w:val="002E4C03"/>
    <w:rsid w:val="002E4FF6"/>
    <w:rsid w:val="002E54E7"/>
    <w:rsid w:val="002E5C9F"/>
    <w:rsid w:val="002E631B"/>
    <w:rsid w:val="002F2D10"/>
    <w:rsid w:val="002F3DA2"/>
    <w:rsid w:val="002F4257"/>
    <w:rsid w:val="002F4BA6"/>
    <w:rsid w:val="002F7553"/>
    <w:rsid w:val="002F75E8"/>
    <w:rsid w:val="003016E2"/>
    <w:rsid w:val="00302AF9"/>
    <w:rsid w:val="003052A8"/>
    <w:rsid w:val="003057A8"/>
    <w:rsid w:val="0030688C"/>
    <w:rsid w:val="0030758F"/>
    <w:rsid w:val="003126CD"/>
    <w:rsid w:val="003130B0"/>
    <w:rsid w:val="00313864"/>
    <w:rsid w:val="00313F2B"/>
    <w:rsid w:val="00314DC3"/>
    <w:rsid w:val="00315189"/>
    <w:rsid w:val="00316894"/>
    <w:rsid w:val="00320D02"/>
    <w:rsid w:val="00321648"/>
    <w:rsid w:val="00321C7D"/>
    <w:rsid w:val="00322619"/>
    <w:rsid w:val="003236DB"/>
    <w:rsid w:val="00323A70"/>
    <w:rsid w:val="00324D69"/>
    <w:rsid w:val="003252D9"/>
    <w:rsid w:val="003257C7"/>
    <w:rsid w:val="00326E9E"/>
    <w:rsid w:val="00327C74"/>
    <w:rsid w:val="003318B0"/>
    <w:rsid w:val="00331B92"/>
    <w:rsid w:val="00331C54"/>
    <w:rsid w:val="0033282F"/>
    <w:rsid w:val="00332F7A"/>
    <w:rsid w:val="003330B1"/>
    <w:rsid w:val="00333559"/>
    <w:rsid w:val="00334C62"/>
    <w:rsid w:val="00334CD4"/>
    <w:rsid w:val="00335D36"/>
    <w:rsid w:val="003374DD"/>
    <w:rsid w:val="00337951"/>
    <w:rsid w:val="003400AB"/>
    <w:rsid w:val="003401A0"/>
    <w:rsid w:val="0034184A"/>
    <w:rsid w:val="0034688D"/>
    <w:rsid w:val="003475AB"/>
    <w:rsid w:val="00347978"/>
    <w:rsid w:val="00347CB1"/>
    <w:rsid w:val="00350BB0"/>
    <w:rsid w:val="00351606"/>
    <w:rsid w:val="003519D2"/>
    <w:rsid w:val="003529B9"/>
    <w:rsid w:val="00353A19"/>
    <w:rsid w:val="00354142"/>
    <w:rsid w:val="00355E6B"/>
    <w:rsid w:val="00361846"/>
    <w:rsid w:val="003622D4"/>
    <w:rsid w:val="003628E7"/>
    <w:rsid w:val="0036348E"/>
    <w:rsid w:val="003636F4"/>
    <w:rsid w:val="00363FF5"/>
    <w:rsid w:val="00364955"/>
    <w:rsid w:val="00365D8B"/>
    <w:rsid w:val="003664F6"/>
    <w:rsid w:val="00367CE2"/>
    <w:rsid w:val="00367FBD"/>
    <w:rsid w:val="00370ADC"/>
    <w:rsid w:val="00370F55"/>
    <w:rsid w:val="00371E40"/>
    <w:rsid w:val="00372B76"/>
    <w:rsid w:val="00372CC1"/>
    <w:rsid w:val="00374663"/>
    <w:rsid w:val="00374C0A"/>
    <w:rsid w:val="00374DD4"/>
    <w:rsid w:val="00376419"/>
    <w:rsid w:val="00376517"/>
    <w:rsid w:val="00377D86"/>
    <w:rsid w:val="0038066E"/>
    <w:rsid w:val="00380709"/>
    <w:rsid w:val="00380DB5"/>
    <w:rsid w:val="00382FD8"/>
    <w:rsid w:val="003833C9"/>
    <w:rsid w:val="00383498"/>
    <w:rsid w:val="00383E9E"/>
    <w:rsid w:val="00385490"/>
    <w:rsid w:val="003857CB"/>
    <w:rsid w:val="00386169"/>
    <w:rsid w:val="00387CBB"/>
    <w:rsid w:val="003923FC"/>
    <w:rsid w:val="003927CB"/>
    <w:rsid w:val="00393E74"/>
    <w:rsid w:val="00394C5C"/>
    <w:rsid w:val="003952E2"/>
    <w:rsid w:val="003957A0"/>
    <w:rsid w:val="00396138"/>
    <w:rsid w:val="003969D3"/>
    <w:rsid w:val="00396D2A"/>
    <w:rsid w:val="00396E4E"/>
    <w:rsid w:val="00397F01"/>
    <w:rsid w:val="003A0BF7"/>
    <w:rsid w:val="003A0CB8"/>
    <w:rsid w:val="003A13B4"/>
    <w:rsid w:val="003A182C"/>
    <w:rsid w:val="003A2786"/>
    <w:rsid w:val="003A3319"/>
    <w:rsid w:val="003A377E"/>
    <w:rsid w:val="003A4948"/>
    <w:rsid w:val="003A6AAD"/>
    <w:rsid w:val="003B019A"/>
    <w:rsid w:val="003B0766"/>
    <w:rsid w:val="003B0961"/>
    <w:rsid w:val="003B10A1"/>
    <w:rsid w:val="003B2F87"/>
    <w:rsid w:val="003B368E"/>
    <w:rsid w:val="003B561B"/>
    <w:rsid w:val="003B5A69"/>
    <w:rsid w:val="003B6CC2"/>
    <w:rsid w:val="003B6D26"/>
    <w:rsid w:val="003B6E49"/>
    <w:rsid w:val="003B7DAC"/>
    <w:rsid w:val="003C0C14"/>
    <w:rsid w:val="003C169E"/>
    <w:rsid w:val="003C1E3E"/>
    <w:rsid w:val="003C1E92"/>
    <w:rsid w:val="003C21D3"/>
    <w:rsid w:val="003C32D4"/>
    <w:rsid w:val="003C424F"/>
    <w:rsid w:val="003C4418"/>
    <w:rsid w:val="003C4652"/>
    <w:rsid w:val="003C5136"/>
    <w:rsid w:val="003C5741"/>
    <w:rsid w:val="003C5C3F"/>
    <w:rsid w:val="003C678D"/>
    <w:rsid w:val="003D0C0B"/>
    <w:rsid w:val="003D111E"/>
    <w:rsid w:val="003D1F6F"/>
    <w:rsid w:val="003D2A41"/>
    <w:rsid w:val="003D2C8E"/>
    <w:rsid w:val="003D4880"/>
    <w:rsid w:val="003D49BC"/>
    <w:rsid w:val="003D49CE"/>
    <w:rsid w:val="003D4B14"/>
    <w:rsid w:val="003D515F"/>
    <w:rsid w:val="003D5496"/>
    <w:rsid w:val="003D5BAC"/>
    <w:rsid w:val="003D61CE"/>
    <w:rsid w:val="003D799E"/>
    <w:rsid w:val="003E1640"/>
    <w:rsid w:val="003E1ADE"/>
    <w:rsid w:val="003E2E1E"/>
    <w:rsid w:val="003E380D"/>
    <w:rsid w:val="003E397C"/>
    <w:rsid w:val="003E427A"/>
    <w:rsid w:val="003E562D"/>
    <w:rsid w:val="003E595B"/>
    <w:rsid w:val="003E76C6"/>
    <w:rsid w:val="003F22B4"/>
    <w:rsid w:val="003F24CB"/>
    <w:rsid w:val="003F2CD2"/>
    <w:rsid w:val="003F3332"/>
    <w:rsid w:val="003F3A40"/>
    <w:rsid w:val="003F5667"/>
    <w:rsid w:val="003F59EA"/>
    <w:rsid w:val="003F5ECE"/>
    <w:rsid w:val="003F662E"/>
    <w:rsid w:val="003F66A5"/>
    <w:rsid w:val="003F6EE9"/>
    <w:rsid w:val="003F71D2"/>
    <w:rsid w:val="00400AD7"/>
    <w:rsid w:val="00401F15"/>
    <w:rsid w:val="0040295D"/>
    <w:rsid w:val="00402A34"/>
    <w:rsid w:val="00402B96"/>
    <w:rsid w:val="0040346E"/>
    <w:rsid w:val="0040476A"/>
    <w:rsid w:val="00404B44"/>
    <w:rsid w:val="00404C82"/>
    <w:rsid w:val="004077A4"/>
    <w:rsid w:val="00407871"/>
    <w:rsid w:val="00407AB7"/>
    <w:rsid w:val="00410257"/>
    <w:rsid w:val="0041219D"/>
    <w:rsid w:val="004143CC"/>
    <w:rsid w:val="0041519B"/>
    <w:rsid w:val="004167F5"/>
    <w:rsid w:val="00416AF7"/>
    <w:rsid w:val="00416DB0"/>
    <w:rsid w:val="00417C51"/>
    <w:rsid w:val="00417E72"/>
    <w:rsid w:val="00420AE0"/>
    <w:rsid w:val="00422BE8"/>
    <w:rsid w:val="00422C55"/>
    <w:rsid w:val="00422D42"/>
    <w:rsid w:val="00422DD4"/>
    <w:rsid w:val="00424DA4"/>
    <w:rsid w:val="004252EF"/>
    <w:rsid w:val="00425332"/>
    <w:rsid w:val="00425447"/>
    <w:rsid w:val="00425735"/>
    <w:rsid w:val="00425DCD"/>
    <w:rsid w:val="00425F8B"/>
    <w:rsid w:val="00426A65"/>
    <w:rsid w:val="004277AF"/>
    <w:rsid w:val="0042790C"/>
    <w:rsid w:val="004307D6"/>
    <w:rsid w:val="00430E3D"/>
    <w:rsid w:val="00432CC6"/>
    <w:rsid w:val="00432E13"/>
    <w:rsid w:val="004336A2"/>
    <w:rsid w:val="00436F9F"/>
    <w:rsid w:val="00440A5E"/>
    <w:rsid w:val="004417AC"/>
    <w:rsid w:val="004417EC"/>
    <w:rsid w:val="00442340"/>
    <w:rsid w:val="00443F3F"/>
    <w:rsid w:val="004440B6"/>
    <w:rsid w:val="00444112"/>
    <w:rsid w:val="00444989"/>
    <w:rsid w:val="0044522D"/>
    <w:rsid w:val="004469CC"/>
    <w:rsid w:val="00447AB7"/>
    <w:rsid w:val="00447BC0"/>
    <w:rsid w:val="00447F06"/>
    <w:rsid w:val="0045019A"/>
    <w:rsid w:val="00450BCB"/>
    <w:rsid w:val="00450DB2"/>
    <w:rsid w:val="0045121D"/>
    <w:rsid w:val="0045198C"/>
    <w:rsid w:val="0045457F"/>
    <w:rsid w:val="004547A1"/>
    <w:rsid w:val="0045494C"/>
    <w:rsid w:val="00456BCA"/>
    <w:rsid w:val="00456F1F"/>
    <w:rsid w:val="00456F74"/>
    <w:rsid w:val="0045779C"/>
    <w:rsid w:val="0046051B"/>
    <w:rsid w:val="00462A3F"/>
    <w:rsid w:val="00463186"/>
    <w:rsid w:val="004657E4"/>
    <w:rsid w:val="004667B5"/>
    <w:rsid w:val="004667D2"/>
    <w:rsid w:val="0047021A"/>
    <w:rsid w:val="00470CBD"/>
    <w:rsid w:val="00470F26"/>
    <w:rsid w:val="00471500"/>
    <w:rsid w:val="00471566"/>
    <w:rsid w:val="00471DF8"/>
    <w:rsid w:val="00472851"/>
    <w:rsid w:val="00472A69"/>
    <w:rsid w:val="00472B99"/>
    <w:rsid w:val="00472C8B"/>
    <w:rsid w:val="00472D6E"/>
    <w:rsid w:val="00472F33"/>
    <w:rsid w:val="00475AE2"/>
    <w:rsid w:val="00475D2A"/>
    <w:rsid w:val="0047678C"/>
    <w:rsid w:val="0047746D"/>
    <w:rsid w:val="00477523"/>
    <w:rsid w:val="00482FCB"/>
    <w:rsid w:val="00484B5C"/>
    <w:rsid w:val="00484E1E"/>
    <w:rsid w:val="0048574F"/>
    <w:rsid w:val="00485823"/>
    <w:rsid w:val="00485AEA"/>
    <w:rsid w:val="00486356"/>
    <w:rsid w:val="00487E8B"/>
    <w:rsid w:val="00491EF0"/>
    <w:rsid w:val="0049266F"/>
    <w:rsid w:val="00492980"/>
    <w:rsid w:val="00495906"/>
    <w:rsid w:val="004975D5"/>
    <w:rsid w:val="004A0807"/>
    <w:rsid w:val="004A167F"/>
    <w:rsid w:val="004A391E"/>
    <w:rsid w:val="004A3DB7"/>
    <w:rsid w:val="004A3E66"/>
    <w:rsid w:val="004A498C"/>
    <w:rsid w:val="004A4E97"/>
    <w:rsid w:val="004A5054"/>
    <w:rsid w:val="004B0E45"/>
    <w:rsid w:val="004B1868"/>
    <w:rsid w:val="004B1EDA"/>
    <w:rsid w:val="004B1F0D"/>
    <w:rsid w:val="004B345B"/>
    <w:rsid w:val="004B56F0"/>
    <w:rsid w:val="004B628B"/>
    <w:rsid w:val="004B6407"/>
    <w:rsid w:val="004B6A8A"/>
    <w:rsid w:val="004B6CD4"/>
    <w:rsid w:val="004B716A"/>
    <w:rsid w:val="004B75F8"/>
    <w:rsid w:val="004C04F5"/>
    <w:rsid w:val="004C0913"/>
    <w:rsid w:val="004C113E"/>
    <w:rsid w:val="004C2160"/>
    <w:rsid w:val="004C26C1"/>
    <w:rsid w:val="004C48F0"/>
    <w:rsid w:val="004C5173"/>
    <w:rsid w:val="004C5968"/>
    <w:rsid w:val="004C7273"/>
    <w:rsid w:val="004D0691"/>
    <w:rsid w:val="004D15C8"/>
    <w:rsid w:val="004D1C9D"/>
    <w:rsid w:val="004D2FD0"/>
    <w:rsid w:val="004D3B2C"/>
    <w:rsid w:val="004D3BF9"/>
    <w:rsid w:val="004D3D29"/>
    <w:rsid w:val="004D4D1F"/>
    <w:rsid w:val="004D5846"/>
    <w:rsid w:val="004D5DFC"/>
    <w:rsid w:val="004D6067"/>
    <w:rsid w:val="004D6CE3"/>
    <w:rsid w:val="004D6E6F"/>
    <w:rsid w:val="004D73F7"/>
    <w:rsid w:val="004E1814"/>
    <w:rsid w:val="004E1B15"/>
    <w:rsid w:val="004E28BA"/>
    <w:rsid w:val="004E2A56"/>
    <w:rsid w:val="004E3870"/>
    <w:rsid w:val="004E3C3A"/>
    <w:rsid w:val="004E3CAF"/>
    <w:rsid w:val="004E409A"/>
    <w:rsid w:val="004E421A"/>
    <w:rsid w:val="004E559A"/>
    <w:rsid w:val="004E5723"/>
    <w:rsid w:val="004E5B47"/>
    <w:rsid w:val="004E5ED3"/>
    <w:rsid w:val="004E66F1"/>
    <w:rsid w:val="004E70B0"/>
    <w:rsid w:val="004E750E"/>
    <w:rsid w:val="004E760A"/>
    <w:rsid w:val="004E7915"/>
    <w:rsid w:val="004F0B78"/>
    <w:rsid w:val="004F1FE3"/>
    <w:rsid w:val="004F265E"/>
    <w:rsid w:val="004F3455"/>
    <w:rsid w:val="004F355A"/>
    <w:rsid w:val="004F3A78"/>
    <w:rsid w:val="004F50E4"/>
    <w:rsid w:val="005000C2"/>
    <w:rsid w:val="00500CEE"/>
    <w:rsid w:val="00500E41"/>
    <w:rsid w:val="005014AF"/>
    <w:rsid w:val="00503999"/>
    <w:rsid w:val="005044DE"/>
    <w:rsid w:val="005055ED"/>
    <w:rsid w:val="00505C6C"/>
    <w:rsid w:val="005068D9"/>
    <w:rsid w:val="00511294"/>
    <w:rsid w:val="00511ED5"/>
    <w:rsid w:val="00512221"/>
    <w:rsid w:val="005125A3"/>
    <w:rsid w:val="00513614"/>
    <w:rsid w:val="0051382E"/>
    <w:rsid w:val="00513D10"/>
    <w:rsid w:val="0051440B"/>
    <w:rsid w:val="00514416"/>
    <w:rsid w:val="00514A6B"/>
    <w:rsid w:val="00515C38"/>
    <w:rsid w:val="00516D33"/>
    <w:rsid w:val="00516D4B"/>
    <w:rsid w:val="00516E40"/>
    <w:rsid w:val="00520826"/>
    <w:rsid w:val="005214D0"/>
    <w:rsid w:val="00522A5B"/>
    <w:rsid w:val="00522B29"/>
    <w:rsid w:val="005239E8"/>
    <w:rsid w:val="00523A41"/>
    <w:rsid w:val="00523F1A"/>
    <w:rsid w:val="0052482E"/>
    <w:rsid w:val="00524B82"/>
    <w:rsid w:val="00524CBD"/>
    <w:rsid w:val="00527E97"/>
    <w:rsid w:val="00531772"/>
    <w:rsid w:val="00531896"/>
    <w:rsid w:val="00531C7B"/>
    <w:rsid w:val="00532B81"/>
    <w:rsid w:val="00532E7E"/>
    <w:rsid w:val="00534026"/>
    <w:rsid w:val="00534A05"/>
    <w:rsid w:val="00536817"/>
    <w:rsid w:val="00536AE9"/>
    <w:rsid w:val="0053747F"/>
    <w:rsid w:val="0053764A"/>
    <w:rsid w:val="0053768E"/>
    <w:rsid w:val="00541DB8"/>
    <w:rsid w:val="00542608"/>
    <w:rsid w:val="00544500"/>
    <w:rsid w:val="00545000"/>
    <w:rsid w:val="005453BF"/>
    <w:rsid w:val="00547278"/>
    <w:rsid w:val="00551AA4"/>
    <w:rsid w:val="005543A6"/>
    <w:rsid w:val="0055565A"/>
    <w:rsid w:val="00556318"/>
    <w:rsid w:val="00556C5F"/>
    <w:rsid w:val="0055750D"/>
    <w:rsid w:val="005601B5"/>
    <w:rsid w:val="00560993"/>
    <w:rsid w:val="0056144F"/>
    <w:rsid w:val="005628A1"/>
    <w:rsid w:val="00562971"/>
    <w:rsid w:val="00562AFF"/>
    <w:rsid w:val="00562F1C"/>
    <w:rsid w:val="0056367D"/>
    <w:rsid w:val="00563888"/>
    <w:rsid w:val="00563F8E"/>
    <w:rsid w:val="00563FDF"/>
    <w:rsid w:val="00564B13"/>
    <w:rsid w:val="0056529C"/>
    <w:rsid w:val="0056589F"/>
    <w:rsid w:val="00565EF2"/>
    <w:rsid w:val="00566754"/>
    <w:rsid w:val="00570707"/>
    <w:rsid w:val="005707EA"/>
    <w:rsid w:val="005709E6"/>
    <w:rsid w:val="0057149D"/>
    <w:rsid w:val="00571713"/>
    <w:rsid w:val="005727A8"/>
    <w:rsid w:val="00572E44"/>
    <w:rsid w:val="00574938"/>
    <w:rsid w:val="00574F4F"/>
    <w:rsid w:val="00575AD4"/>
    <w:rsid w:val="00577589"/>
    <w:rsid w:val="00580984"/>
    <w:rsid w:val="00582736"/>
    <w:rsid w:val="0058278E"/>
    <w:rsid w:val="00582D4F"/>
    <w:rsid w:val="00582DA7"/>
    <w:rsid w:val="005832F9"/>
    <w:rsid w:val="005841EC"/>
    <w:rsid w:val="005849B9"/>
    <w:rsid w:val="00584BC1"/>
    <w:rsid w:val="0058583A"/>
    <w:rsid w:val="00586A5A"/>
    <w:rsid w:val="0058783F"/>
    <w:rsid w:val="005909A2"/>
    <w:rsid w:val="00590D37"/>
    <w:rsid w:val="005915A6"/>
    <w:rsid w:val="00592E8D"/>
    <w:rsid w:val="00593098"/>
    <w:rsid w:val="005950AD"/>
    <w:rsid w:val="00596242"/>
    <w:rsid w:val="005967EE"/>
    <w:rsid w:val="00596DD4"/>
    <w:rsid w:val="005A1073"/>
    <w:rsid w:val="005A2416"/>
    <w:rsid w:val="005A3AD7"/>
    <w:rsid w:val="005A524F"/>
    <w:rsid w:val="005A6280"/>
    <w:rsid w:val="005A7970"/>
    <w:rsid w:val="005B0A3E"/>
    <w:rsid w:val="005B363E"/>
    <w:rsid w:val="005B3FD4"/>
    <w:rsid w:val="005B4B76"/>
    <w:rsid w:val="005B70E0"/>
    <w:rsid w:val="005B714B"/>
    <w:rsid w:val="005B7170"/>
    <w:rsid w:val="005C07CF"/>
    <w:rsid w:val="005C0EFA"/>
    <w:rsid w:val="005C0F0E"/>
    <w:rsid w:val="005C1C96"/>
    <w:rsid w:val="005C1D35"/>
    <w:rsid w:val="005C2701"/>
    <w:rsid w:val="005C2DD7"/>
    <w:rsid w:val="005C349D"/>
    <w:rsid w:val="005C3619"/>
    <w:rsid w:val="005C4231"/>
    <w:rsid w:val="005C4A92"/>
    <w:rsid w:val="005C513A"/>
    <w:rsid w:val="005C61FD"/>
    <w:rsid w:val="005C6C2D"/>
    <w:rsid w:val="005D0E1E"/>
    <w:rsid w:val="005D15E7"/>
    <w:rsid w:val="005D1828"/>
    <w:rsid w:val="005D32EE"/>
    <w:rsid w:val="005D4A5E"/>
    <w:rsid w:val="005D4E30"/>
    <w:rsid w:val="005D4FD2"/>
    <w:rsid w:val="005D5112"/>
    <w:rsid w:val="005D62B5"/>
    <w:rsid w:val="005D75A3"/>
    <w:rsid w:val="005E0A96"/>
    <w:rsid w:val="005E1604"/>
    <w:rsid w:val="005E163F"/>
    <w:rsid w:val="005E3F69"/>
    <w:rsid w:val="005E441F"/>
    <w:rsid w:val="005E54B4"/>
    <w:rsid w:val="005E5DD2"/>
    <w:rsid w:val="005E6D80"/>
    <w:rsid w:val="005E6F7C"/>
    <w:rsid w:val="005E7477"/>
    <w:rsid w:val="005F14CF"/>
    <w:rsid w:val="005F1D5D"/>
    <w:rsid w:val="005F35D4"/>
    <w:rsid w:val="005F36A2"/>
    <w:rsid w:val="005F3D9C"/>
    <w:rsid w:val="005F4BD5"/>
    <w:rsid w:val="005F4C6B"/>
    <w:rsid w:val="005F64E0"/>
    <w:rsid w:val="005F654E"/>
    <w:rsid w:val="005F789E"/>
    <w:rsid w:val="00601076"/>
    <w:rsid w:val="00603D16"/>
    <w:rsid w:val="0060436A"/>
    <w:rsid w:val="00604EDC"/>
    <w:rsid w:val="00605CB0"/>
    <w:rsid w:val="00606A5B"/>
    <w:rsid w:val="00606C77"/>
    <w:rsid w:val="00610357"/>
    <w:rsid w:val="00610611"/>
    <w:rsid w:val="00611D63"/>
    <w:rsid w:val="00616BC0"/>
    <w:rsid w:val="00616E5F"/>
    <w:rsid w:val="00616F1B"/>
    <w:rsid w:val="00617D71"/>
    <w:rsid w:val="00617DB1"/>
    <w:rsid w:val="00617EA6"/>
    <w:rsid w:val="00620675"/>
    <w:rsid w:val="00621515"/>
    <w:rsid w:val="00621A45"/>
    <w:rsid w:val="00622E51"/>
    <w:rsid w:val="006235C1"/>
    <w:rsid w:val="006242E9"/>
    <w:rsid w:val="0062444F"/>
    <w:rsid w:val="0062449D"/>
    <w:rsid w:val="00624A38"/>
    <w:rsid w:val="0062552B"/>
    <w:rsid w:val="00625A2D"/>
    <w:rsid w:val="006261B0"/>
    <w:rsid w:val="006269EE"/>
    <w:rsid w:val="00626EB4"/>
    <w:rsid w:val="00627B54"/>
    <w:rsid w:val="0063108C"/>
    <w:rsid w:val="00631BF0"/>
    <w:rsid w:val="00632768"/>
    <w:rsid w:val="00633412"/>
    <w:rsid w:val="00633718"/>
    <w:rsid w:val="00633E65"/>
    <w:rsid w:val="0063524A"/>
    <w:rsid w:val="00636CBE"/>
    <w:rsid w:val="006374AC"/>
    <w:rsid w:val="0064136C"/>
    <w:rsid w:val="006422A9"/>
    <w:rsid w:val="00642B3B"/>
    <w:rsid w:val="00643193"/>
    <w:rsid w:val="00644E7B"/>
    <w:rsid w:val="006452E4"/>
    <w:rsid w:val="00645790"/>
    <w:rsid w:val="006458A2"/>
    <w:rsid w:val="00645E86"/>
    <w:rsid w:val="00646303"/>
    <w:rsid w:val="0064698F"/>
    <w:rsid w:val="00646B85"/>
    <w:rsid w:val="00647682"/>
    <w:rsid w:val="00647A18"/>
    <w:rsid w:val="00647DC9"/>
    <w:rsid w:val="00650BAB"/>
    <w:rsid w:val="00650D51"/>
    <w:rsid w:val="006515DF"/>
    <w:rsid w:val="00651DED"/>
    <w:rsid w:val="0065427E"/>
    <w:rsid w:val="00654797"/>
    <w:rsid w:val="00655555"/>
    <w:rsid w:val="0065591E"/>
    <w:rsid w:val="00655E79"/>
    <w:rsid w:val="00655F86"/>
    <w:rsid w:val="00656A6E"/>
    <w:rsid w:val="00657060"/>
    <w:rsid w:val="00657DD7"/>
    <w:rsid w:val="0066036A"/>
    <w:rsid w:val="006605A4"/>
    <w:rsid w:val="00660E52"/>
    <w:rsid w:val="006645B0"/>
    <w:rsid w:val="00665C97"/>
    <w:rsid w:val="00665CA5"/>
    <w:rsid w:val="006667FD"/>
    <w:rsid w:val="00666A87"/>
    <w:rsid w:val="00667D88"/>
    <w:rsid w:val="00667EB7"/>
    <w:rsid w:val="0067002F"/>
    <w:rsid w:val="0067034C"/>
    <w:rsid w:val="00670354"/>
    <w:rsid w:val="006712BE"/>
    <w:rsid w:val="00671868"/>
    <w:rsid w:val="00672810"/>
    <w:rsid w:val="006733A9"/>
    <w:rsid w:val="00673428"/>
    <w:rsid w:val="006737D0"/>
    <w:rsid w:val="00673E29"/>
    <w:rsid w:val="006746C5"/>
    <w:rsid w:val="006749F1"/>
    <w:rsid w:val="00674E18"/>
    <w:rsid w:val="00675617"/>
    <w:rsid w:val="00675E76"/>
    <w:rsid w:val="00675F16"/>
    <w:rsid w:val="0067674D"/>
    <w:rsid w:val="00676DC5"/>
    <w:rsid w:val="006815E9"/>
    <w:rsid w:val="00681A84"/>
    <w:rsid w:val="00682627"/>
    <w:rsid w:val="00682939"/>
    <w:rsid w:val="00682B9A"/>
    <w:rsid w:val="006848C0"/>
    <w:rsid w:val="00685C17"/>
    <w:rsid w:val="00686DBC"/>
    <w:rsid w:val="00687C5A"/>
    <w:rsid w:val="0069133C"/>
    <w:rsid w:val="00691D6B"/>
    <w:rsid w:val="00692210"/>
    <w:rsid w:val="006927DA"/>
    <w:rsid w:val="00692923"/>
    <w:rsid w:val="00692926"/>
    <w:rsid w:val="006931B4"/>
    <w:rsid w:val="00694970"/>
    <w:rsid w:val="006958FA"/>
    <w:rsid w:val="00695F59"/>
    <w:rsid w:val="00696432"/>
    <w:rsid w:val="006A01CE"/>
    <w:rsid w:val="006A291E"/>
    <w:rsid w:val="006A31FA"/>
    <w:rsid w:val="006A3709"/>
    <w:rsid w:val="006A3C4C"/>
    <w:rsid w:val="006A42AB"/>
    <w:rsid w:val="006A4DF8"/>
    <w:rsid w:val="006A633E"/>
    <w:rsid w:val="006A6A5F"/>
    <w:rsid w:val="006B002D"/>
    <w:rsid w:val="006B1984"/>
    <w:rsid w:val="006B1DE3"/>
    <w:rsid w:val="006B2250"/>
    <w:rsid w:val="006B5418"/>
    <w:rsid w:val="006B5CC2"/>
    <w:rsid w:val="006B61B2"/>
    <w:rsid w:val="006B6E10"/>
    <w:rsid w:val="006C05B4"/>
    <w:rsid w:val="006C0C7B"/>
    <w:rsid w:val="006C2106"/>
    <w:rsid w:val="006C23BD"/>
    <w:rsid w:val="006C4D7F"/>
    <w:rsid w:val="006D148C"/>
    <w:rsid w:val="006D27A3"/>
    <w:rsid w:val="006D6234"/>
    <w:rsid w:val="006D63EC"/>
    <w:rsid w:val="006D7112"/>
    <w:rsid w:val="006E0640"/>
    <w:rsid w:val="006E0837"/>
    <w:rsid w:val="006E1179"/>
    <w:rsid w:val="006E15D4"/>
    <w:rsid w:val="006E1A3C"/>
    <w:rsid w:val="006E20FA"/>
    <w:rsid w:val="006E2A28"/>
    <w:rsid w:val="006E4E76"/>
    <w:rsid w:val="006E5045"/>
    <w:rsid w:val="006E5A90"/>
    <w:rsid w:val="006E6061"/>
    <w:rsid w:val="006E606E"/>
    <w:rsid w:val="006E6E03"/>
    <w:rsid w:val="006E750A"/>
    <w:rsid w:val="006E7FF1"/>
    <w:rsid w:val="006F1643"/>
    <w:rsid w:val="006F18A4"/>
    <w:rsid w:val="006F2F65"/>
    <w:rsid w:val="006F410A"/>
    <w:rsid w:val="006F425F"/>
    <w:rsid w:val="006F42CD"/>
    <w:rsid w:val="006F5143"/>
    <w:rsid w:val="006F518D"/>
    <w:rsid w:val="006F7213"/>
    <w:rsid w:val="006F73BC"/>
    <w:rsid w:val="006F790F"/>
    <w:rsid w:val="006F7B72"/>
    <w:rsid w:val="006F7B8E"/>
    <w:rsid w:val="006F7D90"/>
    <w:rsid w:val="0070127D"/>
    <w:rsid w:val="0070232F"/>
    <w:rsid w:val="00704CFA"/>
    <w:rsid w:val="00706649"/>
    <w:rsid w:val="00707319"/>
    <w:rsid w:val="00711601"/>
    <w:rsid w:val="00712321"/>
    <w:rsid w:val="00712598"/>
    <w:rsid w:val="00712DF3"/>
    <w:rsid w:val="007140B0"/>
    <w:rsid w:val="00714619"/>
    <w:rsid w:val="0071495C"/>
    <w:rsid w:val="00714A1A"/>
    <w:rsid w:val="00717136"/>
    <w:rsid w:val="007219FD"/>
    <w:rsid w:val="00722012"/>
    <w:rsid w:val="00722DAC"/>
    <w:rsid w:val="00723187"/>
    <w:rsid w:val="007241B4"/>
    <w:rsid w:val="00724686"/>
    <w:rsid w:val="00725CDE"/>
    <w:rsid w:val="00726429"/>
    <w:rsid w:val="007264EA"/>
    <w:rsid w:val="007268F9"/>
    <w:rsid w:val="00731508"/>
    <w:rsid w:val="0073287F"/>
    <w:rsid w:val="007335AD"/>
    <w:rsid w:val="0073420D"/>
    <w:rsid w:val="0073706A"/>
    <w:rsid w:val="00737951"/>
    <w:rsid w:val="00737F48"/>
    <w:rsid w:val="007418AE"/>
    <w:rsid w:val="007419F7"/>
    <w:rsid w:val="00741BD3"/>
    <w:rsid w:val="00742649"/>
    <w:rsid w:val="00742D1E"/>
    <w:rsid w:val="00742DCE"/>
    <w:rsid w:val="00743326"/>
    <w:rsid w:val="00744C2C"/>
    <w:rsid w:val="00745499"/>
    <w:rsid w:val="007459B5"/>
    <w:rsid w:val="0074653A"/>
    <w:rsid w:val="00747816"/>
    <w:rsid w:val="007520AA"/>
    <w:rsid w:val="007530AA"/>
    <w:rsid w:val="00753204"/>
    <w:rsid w:val="0075458F"/>
    <w:rsid w:val="00760047"/>
    <w:rsid w:val="007602D7"/>
    <w:rsid w:val="007602FB"/>
    <w:rsid w:val="0076128B"/>
    <w:rsid w:val="00761319"/>
    <w:rsid w:val="0076294A"/>
    <w:rsid w:val="00762B2D"/>
    <w:rsid w:val="00763717"/>
    <w:rsid w:val="007639CF"/>
    <w:rsid w:val="007640DC"/>
    <w:rsid w:val="00764283"/>
    <w:rsid w:val="00765E36"/>
    <w:rsid w:val="00770131"/>
    <w:rsid w:val="00770470"/>
    <w:rsid w:val="00771946"/>
    <w:rsid w:val="007731AE"/>
    <w:rsid w:val="00775BB2"/>
    <w:rsid w:val="007764B7"/>
    <w:rsid w:val="00776679"/>
    <w:rsid w:val="00777009"/>
    <w:rsid w:val="0077781B"/>
    <w:rsid w:val="00777D1A"/>
    <w:rsid w:val="0078153D"/>
    <w:rsid w:val="00783263"/>
    <w:rsid w:val="00784470"/>
    <w:rsid w:val="00784EDD"/>
    <w:rsid w:val="00785157"/>
    <w:rsid w:val="0078621F"/>
    <w:rsid w:val="007862FC"/>
    <w:rsid w:val="007864B1"/>
    <w:rsid w:val="007867ED"/>
    <w:rsid w:val="00786CCF"/>
    <w:rsid w:val="00790F4E"/>
    <w:rsid w:val="00792872"/>
    <w:rsid w:val="007928BF"/>
    <w:rsid w:val="007946F8"/>
    <w:rsid w:val="00794DB3"/>
    <w:rsid w:val="007959AF"/>
    <w:rsid w:val="00796BA2"/>
    <w:rsid w:val="00796E17"/>
    <w:rsid w:val="00797010"/>
    <w:rsid w:val="007A00A3"/>
    <w:rsid w:val="007A018A"/>
    <w:rsid w:val="007A180D"/>
    <w:rsid w:val="007A20FD"/>
    <w:rsid w:val="007A644D"/>
    <w:rsid w:val="007A72F6"/>
    <w:rsid w:val="007B016D"/>
    <w:rsid w:val="007B3385"/>
    <w:rsid w:val="007B3C40"/>
    <w:rsid w:val="007B3E7E"/>
    <w:rsid w:val="007B5747"/>
    <w:rsid w:val="007B63A3"/>
    <w:rsid w:val="007B6A54"/>
    <w:rsid w:val="007B7F3A"/>
    <w:rsid w:val="007C0602"/>
    <w:rsid w:val="007C139D"/>
    <w:rsid w:val="007C18E7"/>
    <w:rsid w:val="007C25F1"/>
    <w:rsid w:val="007C2B46"/>
    <w:rsid w:val="007C32F1"/>
    <w:rsid w:val="007C468A"/>
    <w:rsid w:val="007C52EE"/>
    <w:rsid w:val="007C5614"/>
    <w:rsid w:val="007C575B"/>
    <w:rsid w:val="007C60C6"/>
    <w:rsid w:val="007D0883"/>
    <w:rsid w:val="007D1CE6"/>
    <w:rsid w:val="007D233A"/>
    <w:rsid w:val="007D290F"/>
    <w:rsid w:val="007D2C56"/>
    <w:rsid w:val="007D2E3A"/>
    <w:rsid w:val="007D737E"/>
    <w:rsid w:val="007D738F"/>
    <w:rsid w:val="007E0248"/>
    <w:rsid w:val="007E0C4D"/>
    <w:rsid w:val="007E0C6A"/>
    <w:rsid w:val="007E1F80"/>
    <w:rsid w:val="007E36FA"/>
    <w:rsid w:val="007E3903"/>
    <w:rsid w:val="007E45FA"/>
    <w:rsid w:val="007E468A"/>
    <w:rsid w:val="007E4764"/>
    <w:rsid w:val="007E4DDB"/>
    <w:rsid w:val="007E6653"/>
    <w:rsid w:val="007E6D59"/>
    <w:rsid w:val="007E704A"/>
    <w:rsid w:val="007F0E1F"/>
    <w:rsid w:val="007F1482"/>
    <w:rsid w:val="007F213B"/>
    <w:rsid w:val="007F2781"/>
    <w:rsid w:val="007F2CBB"/>
    <w:rsid w:val="007F3E73"/>
    <w:rsid w:val="007F410E"/>
    <w:rsid w:val="007F4A5D"/>
    <w:rsid w:val="007F52E4"/>
    <w:rsid w:val="007F5497"/>
    <w:rsid w:val="007F69B2"/>
    <w:rsid w:val="007F7B46"/>
    <w:rsid w:val="008003D2"/>
    <w:rsid w:val="00800F65"/>
    <w:rsid w:val="008023B1"/>
    <w:rsid w:val="00802F8E"/>
    <w:rsid w:val="0080448F"/>
    <w:rsid w:val="00804655"/>
    <w:rsid w:val="00804F06"/>
    <w:rsid w:val="0080678A"/>
    <w:rsid w:val="008071DC"/>
    <w:rsid w:val="008119A4"/>
    <w:rsid w:val="008122D0"/>
    <w:rsid w:val="00812412"/>
    <w:rsid w:val="00813A45"/>
    <w:rsid w:val="00813DC7"/>
    <w:rsid w:val="00815A8E"/>
    <w:rsid w:val="00815B9F"/>
    <w:rsid w:val="0081658A"/>
    <w:rsid w:val="008177F6"/>
    <w:rsid w:val="00817D4F"/>
    <w:rsid w:val="008202B2"/>
    <w:rsid w:val="00820A41"/>
    <w:rsid w:val="0082261D"/>
    <w:rsid w:val="00822A76"/>
    <w:rsid w:val="00823118"/>
    <w:rsid w:val="00823D8E"/>
    <w:rsid w:val="00824156"/>
    <w:rsid w:val="008250A6"/>
    <w:rsid w:val="00825A07"/>
    <w:rsid w:val="00825A73"/>
    <w:rsid w:val="008303D9"/>
    <w:rsid w:val="00830D82"/>
    <w:rsid w:val="00831D6A"/>
    <w:rsid w:val="008327B4"/>
    <w:rsid w:val="00833A83"/>
    <w:rsid w:val="00833DD9"/>
    <w:rsid w:val="00834683"/>
    <w:rsid w:val="008364F6"/>
    <w:rsid w:val="0083695F"/>
    <w:rsid w:val="00837237"/>
    <w:rsid w:val="008372DE"/>
    <w:rsid w:val="008373F6"/>
    <w:rsid w:val="00837953"/>
    <w:rsid w:val="00840115"/>
    <w:rsid w:val="00841CC3"/>
    <w:rsid w:val="00842095"/>
    <w:rsid w:val="00842BCD"/>
    <w:rsid w:val="00842EE8"/>
    <w:rsid w:val="008431AC"/>
    <w:rsid w:val="00843426"/>
    <w:rsid w:val="00843498"/>
    <w:rsid w:val="00843859"/>
    <w:rsid w:val="008438E9"/>
    <w:rsid w:val="00844127"/>
    <w:rsid w:val="00844C04"/>
    <w:rsid w:val="00845803"/>
    <w:rsid w:val="00846345"/>
    <w:rsid w:val="00850B3C"/>
    <w:rsid w:val="0085177F"/>
    <w:rsid w:val="00852333"/>
    <w:rsid w:val="0085364E"/>
    <w:rsid w:val="0085390A"/>
    <w:rsid w:val="00853A0E"/>
    <w:rsid w:val="00854310"/>
    <w:rsid w:val="00854572"/>
    <w:rsid w:val="00855A01"/>
    <w:rsid w:val="00855C17"/>
    <w:rsid w:val="00856060"/>
    <w:rsid w:val="0085608D"/>
    <w:rsid w:val="008561C0"/>
    <w:rsid w:val="00856343"/>
    <w:rsid w:val="00857CF4"/>
    <w:rsid w:val="008617D6"/>
    <w:rsid w:val="008619C3"/>
    <w:rsid w:val="00861F08"/>
    <w:rsid w:val="00862874"/>
    <w:rsid w:val="008634F8"/>
    <w:rsid w:val="008645D0"/>
    <w:rsid w:val="00864CB4"/>
    <w:rsid w:val="008657F0"/>
    <w:rsid w:val="00865D39"/>
    <w:rsid w:val="00867509"/>
    <w:rsid w:val="00867AA4"/>
    <w:rsid w:val="00867BD1"/>
    <w:rsid w:val="00870160"/>
    <w:rsid w:val="00870200"/>
    <w:rsid w:val="0087182A"/>
    <w:rsid w:val="008726B6"/>
    <w:rsid w:val="0087494B"/>
    <w:rsid w:val="00874AE3"/>
    <w:rsid w:val="00874E9E"/>
    <w:rsid w:val="0087592B"/>
    <w:rsid w:val="00876A2B"/>
    <w:rsid w:val="008801E8"/>
    <w:rsid w:val="008810A3"/>
    <w:rsid w:val="008815A9"/>
    <w:rsid w:val="00881784"/>
    <w:rsid w:val="008818E1"/>
    <w:rsid w:val="00881E2A"/>
    <w:rsid w:val="00881EC1"/>
    <w:rsid w:val="0088328E"/>
    <w:rsid w:val="00883D2A"/>
    <w:rsid w:val="008840CD"/>
    <w:rsid w:val="0088616A"/>
    <w:rsid w:val="00886545"/>
    <w:rsid w:val="008866A7"/>
    <w:rsid w:val="00890A1A"/>
    <w:rsid w:val="00891415"/>
    <w:rsid w:val="00892620"/>
    <w:rsid w:val="00892BE1"/>
    <w:rsid w:val="00892ED2"/>
    <w:rsid w:val="00893714"/>
    <w:rsid w:val="00893C00"/>
    <w:rsid w:val="0089553A"/>
    <w:rsid w:val="00895D74"/>
    <w:rsid w:val="0089677D"/>
    <w:rsid w:val="008977B8"/>
    <w:rsid w:val="008A1424"/>
    <w:rsid w:val="008A2008"/>
    <w:rsid w:val="008A34C7"/>
    <w:rsid w:val="008A3C28"/>
    <w:rsid w:val="008A3C34"/>
    <w:rsid w:val="008A4D48"/>
    <w:rsid w:val="008A50A8"/>
    <w:rsid w:val="008A55E2"/>
    <w:rsid w:val="008A59E6"/>
    <w:rsid w:val="008A5A8D"/>
    <w:rsid w:val="008A669F"/>
    <w:rsid w:val="008A74BD"/>
    <w:rsid w:val="008A7EE1"/>
    <w:rsid w:val="008B026F"/>
    <w:rsid w:val="008B027C"/>
    <w:rsid w:val="008B04B3"/>
    <w:rsid w:val="008B0F05"/>
    <w:rsid w:val="008B208C"/>
    <w:rsid w:val="008B2940"/>
    <w:rsid w:val="008B2EDF"/>
    <w:rsid w:val="008B5800"/>
    <w:rsid w:val="008B5F9C"/>
    <w:rsid w:val="008B64DB"/>
    <w:rsid w:val="008B71B0"/>
    <w:rsid w:val="008B7ADF"/>
    <w:rsid w:val="008B7DC1"/>
    <w:rsid w:val="008C29B6"/>
    <w:rsid w:val="008C2E65"/>
    <w:rsid w:val="008C302C"/>
    <w:rsid w:val="008C46EC"/>
    <w:rsid w:val="008C51FE"/>
    <w:rsid w:val="008C5537"/>
    <w:rsid w:val="008C60C0"/>
    <w:rsid w:val="008D1152"/>
    <w:rsid w:val="008D192D"/>
    <w:rsid w:val="008D3950"/>
    <w:rsid w:val="008D60C9"/>
    <w:rsid w:val="008D61C7"/>
    <w:rsid w:val="008D7A53"/>
    <w:rsid w:val="008E0918"/>
    <w:rsid w:val="008E1707"/>
    <w:rsid w:val="008E2AA5"/>
    <w:rsid w:val="008E64D4"/>
    <w:rsid w:val="008E751B"/>
    <w:rsid w:val="008F011E"/>
    <w:rsid w:val="008F065A"/>
    <w:rsid w:val="008F1058"/>
    <w:rsid w:val="008F1192"/>
    <w:rsid w:val="008F1B68"/>
    <w:rsid w:val="008F29AE"/>
    <w:rsid w:val="008F3E9E"/>
    <w:rsid w:val="008F45D1"/>
    <w:rsid w:val="008F4B43"/>
    <w:rsid w:val="008F4DAA"/>
    <w:rsid w:val="008F5736"/>
    <w:rsid w:val="008F5794"/>
    <w:rsid w:val="008F603E"/>
    <w:rsid w:val="008F7509"/>
    <w:rsid w:val="008F792C"/>
    <w:rsid w:val="008F7944"/>
    <w:rsid w:val="00900DD1"/>
    <w:rsid w:val="00901BFD"/>
    <w:rsid w:val="009043ED"/>
    <w:rsid w:val="00905EA9"/>
    <w:rsid w:val="00906AE1"/>
    <w:rsid w:val="0090769A"/>
    <w:rsid w:val="00907C7B"/>
    <w:rsid w:val="0091079B"/>
    <w:rsid w:val="00910B92"/>
    <w:rsid w:val="00911197"/>
    <w:rsid w:val="0091189F"/>
    <w:rsid w:val="009123BC"/>
    <w:rsid w:val="00912C45"/>
    <w:rsid w:val="00914377"/>
    <w:rsid w:val="009147F8"/>
    <w:rsid w:val="00914C87"/>
    <w:rsid w:val="009156CE"/>
    <w:rsid w:val="00915BE6"/>
    <w:rsid w:val="009170B1"/>
    <w:rsid w:val="00917FE3"/>
    <w:rsid w:val="0092016D"/>
    <w:rsid w:val="009211E3"/>
    <w:rsid w:val="0092224F"/>
    <w:rsid w:val="00923774"/>
    <w:rsid w:val="0092392E"/>
    <w:rsid w:val="00923EB6"/>
    <w:rsid w:val="00924C05"/>
    <w:rsid w:val="009255E8"/>
    <w:rsid w:val="0092625B"/>
    <w:rsid w:val="00927540"/>
    <w:rsid w:val="00930C99"/>
    <w:rsid w:val="00930CAE"/>
    <w:rsid w:val="00930F7D"/>
    <w:rsid w:val="00931921"/>
    <w:rsid w:val="0093204C"/>
    <w:rsid w:val="00932384"/>
    <w:rsid w:val="0093290D"/>
    <w:rsid w:val="009349CC"/>
    <w:rsid w:val="00934C3D"/>
    <w:rsid w:val="00935092"/>
    <w:rsid w:val="0093550B"/>
    <w:rsid w:val="00936017"/>
    <w:rsid w:val="00936338"/>
    <w:rsid w:val="00936583"/>
    <w:rsid w:val="00936D8C"/>
    <w:rsid w:val="00937EC6"/>
    <w:rsid w:val="009402A0"/>
    <w:rsid w:val="0094159A"/>
    <w:rsid w:val="009431B3"/>
    <w:rsid w:val="00944116"/>
    <w:rsid w:val="0094525D"/>
    <w:rsid w:val="009476A8"/>
    <w:rsid w:val="009531B8"/>
    <w:rsid w:val="0095384C"/>
    <w:rsid w:val="00953C65"/>
    <w:rsid w:val="009562E7"/>
    <w:rsid w:val="00956A58"/>
    <w:rsid w:val="00956D6B"/>
    <w:rsid w:val="009574AD"/>
    <w:rsid w:val="0096051A"/>
    <w:rsid w:val="00962473"/>
    <w:rsid w:val="0096339B"/>
    <w:rsid w:val="0096391D"/>
    <w:rsid w:val="00963A31"/>
    <w:rsid w:val="0096412F"/>
    <w:rsid w:val="00964248"/>
    <w:rsid w:val="009643A4"/>
    <w:rsid w:val="0097025A"/>
    <w:rsid w:val="009703D6"/>
    <w:rsid w:val="00970DAE"/>
    <w:rsid w:val="009712FD"/>
    <w:rsid w:val="009717C9"/>
    <w:rsid w:val="00971B8F"/>
    <w:rsid w:val="00971DF0"/>
    <w:rsid w:val="00972728"/>
    <w:rsid w:val="00972DF3"/>
    <w:rsid w:val="00975428"/>
    <w:rsid w:val="0097585C"/>
    <w:rsid w:val="009759E4"/>
    <w:rsid w:val="00976CAE"/>
    <w:rsid w:val="0097732E"/>
    <w:rsid w:val="00977D08"/>
    <w:rsid w:val="009803DD"/>
    <w:rsid w:val="00980864"/>
    <w:rsid w:val="009813C3"/>
    <w:rsid w:val="009819E8"/>
    <w:rsid w:val="00985197"/>
    <w:rsid w:val="009855B5"/>
    <w:rsid w:val="009869F0"/>
    <w:rsid w:val="009870E0"/>
    <w:rsid w:val="00990AB0"/>
    <w:rsid w:val="00992D72"/>
    <w:rsid w:val="00994F7C"/>
    <w:rsid w:val="009954D3"/>
    <w:rsid w:val="0099602F"/>
    <w:rsid w:val="00996471"/>
    <w:rsid w:val="00997394"/>
    <w:rsid w:val="009A07E0"/>
    <w:rsid w:val="009A1B02"/>
    <w:rsid w:val="009A20BA"/>
    <w:rsid w:val="009A25E6"/>
    <w:rsid w:val="009A2C07"/>
    <w:rsid w:val="009A4215"/>
    <w:rsid w:val="009A4F16"/>
    <w:rsid w:val="009A636A"/>
    <w:rsid w:val="009B094E"/>
    <w:rsid w:val="009B21A9"/>
    <w:rsid w:val="009B2C9D"/>
    <w:rsid w:val="009B39A8"/>
    <w:rsid w:val="009B4280"/>
    <w:rsid w:val="009B4BB8"/>
    <w:rsid w:val="009B4EAE"/>
    <w:rsid w:val="009B520C"/>
    <w:rsid w:val="009B557B"/>
    <w:rsid w:val="009B6E83"/>
    <w:rsid w:val="009B79A1"/>
    <w:rsid w:val="009B7B53"/>
    <w:rsid w:val="009C0EE2"/>
    <w:rsid w:val="009C1487"/>
    <w:rsid w:val="009C19E1"/>
    <w:rsid w:val="009C218A"/>
    <w:rsid w:val="009C3409"/>
    <w:rsid w:val="009C3B1C"/>
    <w:rsid w:val="009C5036"/>
    <w:rsid w:val="009C62B3"/>
    <w:rsid w:val="009C6695"/>
    <w:rsid w:val="009C67EF"/>
    <w:rsid w:val="009C6995"/>
    <w:rsid w:val="009C711E"/>
    <w:rsid w:val="009D1DB6"/>
    <w:rsid w:val="009D29EA"/>
    <w:rsid w:val="009D3473"/>
    <w:rsid w:val="009D3A71"/>
    <w:rsid w:val="009D42EC"/>
    <w:rsid w:val="009D442D"/>
    <w:rsid w:val="009D5BC4"/>
    <w:rsid w:val="009D5E12"/>
    <w:rsid w:val="009D6691"/>
    <w:rsid w:val="009D7391"/>
    <w:rsid w:val="009D74C7"/>
    <w:rsid w:val="009D7FBA"/>
    <w:rsid w:val="009E001E"/>
    <w:rsid w:val="009E046C"/>
    <w:rsid w:val="009E0781"/>
    <w:rsid w:val="009E0EEF"/>
    <w:rsid w:val="009E0F2D"/>
    <w:rsid w:val="009E1AFF"/>
    <w:rsid w:val="009E2663"/>
    <w:rsid w:val="009E2C7F"/>
    <w:rsid w:val="009E397C"/>
    <w:rsid w:val="009E3D3F"/>
    <w:rsid w:val="009E5279"/>
    <w:rsid w:val="009E544D"/>
    <w:rsid w:val="009E565C"/>
    <w:rsid w:val="009E59F2"/>
    <w:rsid w:val="009E6120"/>
    <w:rsid w:val="009E76B6"/>
    <w:rsid w:val="009E7C43"/>
    <w:rsid w:val="009F0415"/>
    <w:rsid w:val="009F0DF9"/>
    <w:rsid w:val="009F1BB4"/>
    <w:rsid w:val="009F2B1C"/>
    <w:rsid w:val="009F34E6"/>
    <w:rsid w:val="009F5AED"/>
    <w:rsid w:val="009F6024"/>
    <w:rsid w:val="009F6065"/>
    <w:rsid w:val="009F7989"/>
    <w:rsid w:val="009F7B77"/>
    <w:rsid w:val="009F7FB9"/>
    <w:rsid w:val="00A010C7"/>
    <w:rsid w:val="00A016A8"/>
    <w:rsid w:val="00A02C81"/>
    <w:rsid w:val="00A02FF4"/>
    <w:rsid w:val="00A03761"/>
    <w:rsid w:val="00A03D65"/>
    <w:rsid w:val="00A04AF0"/>
    <w:rsid w:val="00A055A9"/>
    <w:rsid w:val="00A0723D"/>
    <w:rsid w:val="00A075D3"/>
    <w:rsid w:val="00A07EE7"/>
    <w:rsid w:val="00A11080"/>
    <w:rsid w:val="00A11CB3"/>
    <w:rsid w:val="00A1249E"/>
    <w:rsid w:val="00A125C5"/>
    <w:rsid w:val="00A12D8D"/>
    <w:rsid w:val="00A14F94"/>
    <w:rsid w:val="00A1568C"/>
    <w:rsid w:val="00A16190"/>
    <w:rsid w:val="00A16B78"/>
    <w:rsid w:val="00A177F2"/>
    <w:rsid w:val="00A20DFA"/>
    <w:rsid w:val="00A21DB9"/>
    <w:rsid w:val="00A221E8"/>
    <w:rsid w:val="00A23EE8"/>
    <w:rsid w:val="00A248B9"/>
    <w:rsid w:val="00A24951"/>
    <w:rsid w:val="00A2577E"/>
    <w:rsid w:val="00A2691B"/>
    <w:rsid w:val="00A26FBB"/>
    <w:rsid w:val="00A2796E"/>
    <w:rsid w:val="00A311E9"/>
    <w:rsid w:val="00A3162D"/>
    <w:rsid w:val="00A32DB0"/>
    <w:rsid w:val="00A33397"/>
    <w:rsid w:val="00A35A59"/>
    <w:rsid w:val="00A37C71"/>
    <w:rsid w:val="00A37D46"/>
    <w:rsid w:val="00A37F21"/>
    <w:rsid w:val="00A406E7"/>
    <w:rsid w:val="00A41053"/>
    <w:rsid w:val="00A418BF"/>
    <w:rsid w:val="00A41E6C"/>
    <w:rsid w:val="00A42098"/>
    <w:rsid w:val="00A430F2"/>
    <w:rsid w:val="00A432AA"/>
    <w:rsid w:val="00A443C6"/>
    <w:rsid w:val="00A455A4"/>
    <w:rsid w:val="00A4589B"/>
    <w:rsid w:val="00A45A71"/>
    <w:rsid w:val="00A46623"/>
    <w:rsid w:val="00A46CD1"/>
    <w:rsid w:val="00A46E11"/>
    <w:rsid w:val="00A471C9"/>
    <w:rsid w:val="00A47D5D"/>
    <w:rsid w:val="00A50098"/>
    <w:rsid w:val="00A511F9"/>
    <w:rsid w:val="00A52699"/>
    <w:rsid w:val="00A529CA"/>
    <w:rsid w:val="00A53316"/>
    <w:rsid w:val="00A53AD7"/>
    <w:rsid w:val="00A5411F"/>
    <w:rsid w:val="00A54427"/>
    <w:rsid w:val="00A54759"/>
    <w:rsid w:val="00A55629"/>
    <w:rsid w:val="00A55AED"/>
    <w:rsid w:val="00A56CEE"/>
    <w:rsid w:val="00A56EEB"/>
    <w:rsid w:val="00A61B59"/>
    <w:rsid w:val="00A62477"/>
    <w:rsid w:val="00A63089"/>
    <w:rsid w:val="00A63B78"/>
    <w:rsid w:val="00A63E06"/>
    <w:rsid w:val="00A642B9"/>
    <w:rsid w:val="00A66407"/>
    <w:rsid w:val="00A708EF"/>
    <w:rsid w:val="00A71484"/>
    <w:rsid w:val="00A7182B"/>
    <w:rsid w:val="00A71884"/>
    <w:rsid w:val="00A731D2"/>
    <w:rsid w:val="00A74DE8"/>
    <w:rsid w:val="00A757B7"/>
    <w:rsid w:val="00A81446"/>
    <w:rsid w:val="00A821B0"/>
    <w:rsid w:val="00A82479"/>
    <w:rsid w:val="00A82765"/>
    <w:rsid w:val="00A82AE2"/>
    <w:rsid w:val="00A838AD"/>
    <w:rsid w:val="00A83CF6"/>
    <w:rsid w:val="00A84443"/>
    <w:rsid w:val="00A86BFE"/>
    <w:rsid w:val="00A9080A"/>
    <w:rsid w:val="00A90A91"/>
    <w:rsid w:val="00A914A8"/>
    <w:rsid w:val="00A91519"/>
    <w:rsid w:val="00A9178E"/>
    <w:rsid w:val="00A91ACF"/>
    <w:rsid w:val="00A92E8D"/>
    <w:rsid w:val="00A930D6"/>
    <w:rsid w:val="00A943E9"/>
    <w:rsid w:val="00A94640"/>
    <w:rsid w:val="00AA0206"/>
    <w:rsid w:val="00AA045C"/>
    <w:rsid w:val="00AA1DBC"/>
    <w:rsid w:val="00AA2344"/>
    <w:rsid w:val="00AA2DED"/>
    <w:rsid w:val="00AA3220"/>
    <w:rsid w:val="00AA3EBF"/>
    <w:rsid w:val="00AA3F8E"/>
    <w:rsid w:val="00AA574A"/>
    <w:rsid w:val="00AA6367"/>
    <w:rsid w:val="00AA68AC"/>
    <w:rsid w:val="00AA7792"/>
    <w:rsid w:val="00AB04B7"/>
    <w:rsid w:val="00AB0BCB"/>
    <w:rsid w:val="00AB1FD2"/>
    <w:rsid w:val="00AB20B1"/>
    <w:rsid w:val="00AB2201"/>
    <w:rsid w:val="00AB2E4A"/>
    <w:rsid w:val="00AB415D"/>
    <w:rsid w:val="00AB5664"/>
    <w:rsid w:val="00AB5789"/>
    <w:rsid w:val="00AB6178"/>
    <w:rsid w:val="00AB70F7"/>
    <w:rsid w:val="00AB7778"/>
    <w:rsid w:val="00AC014B"/>
    <w:rsid w:val="00AC16ED"/>
    <w:rsid w:val="00AC1F25"/>
    <w:rsid w:val="00AC20C1"/>
    <w:rsid w:val="00AC2870"/>
    <w:rsid w:val="00AC3750"/>
    <w:rsid w:val="00AC3988"/>
    <w:rsid w:val="00AC3BA2"/>
    <w:rsid w:val="00AC6379"/>
    <w:rsid w:val="00AC6D5E"/>
    <w:rsid w:val="00AD3B6C"/>
    <w:rsid w:val="00AD4E19"/>
    <w:rsid w:val="00AD4FF0"/>
    <w:rsid w:val="00AD5F13"/>
    <w:rsid w:val="00AD61D8"/>
    <w:rsid w:val="00AD6E90"/>
    <w:rsid w:val="00AD75A6"/>
    <w:rsid w:val="00AE19F2"/>
    <w:rsid w:val="00AE1BE1"/>
    <w:rsid w:val="00AE2575"/>
    <w:rsid w:val="00AE2996"/>
    <w:rsid w:val="00AE2D8D"/>
    <w:rsid w:val="00AE3BDC"/>
    <w:rsid w:val="00AE68A8"/>
    <w:rsid w:val="00AE6D8F"/>
    <w:rsid w:val="00AE6EA7"/>
    <w:rsid w:val="00AE763B"/>
    <w:rsid w:val="00AF2DD6"/>
    <w:rsid w:val="00AF30DB"/>
    <w:rsid w:val="00AF393B"/>
    <w:rsid w:val="00AF4042"/>
    <w:rsid w:val="00AF40D2"/>
    <w:rsid w:val="00AF4E45"/>
    <w:rsid w:val="00AF51DC"/>
    <w:rsid w:val="00AF5A37"/>
    <w:rsid w:val="00AF5D2B"/>
    <w:rsid w:val="00AF772C"/>
    <w:rsid w:val="00B01B85"/>
    <w:rsid w:val="00B040D8"/>
    <w:rsid w:val="00B066F9"/>
    <w:rsid w:val="00B06708"/>
    <w:rsid w:val="00B06EEA"/>
    <w:rsid w:val="00B072E7"/>
    <w:rsid w:val="00B07314"/>
    <w:rsid w:val="00B07459"/>
    <w:rsid w:val="00B10FAD"/>
    <w:rsid w:val="00B111E8"/>
    <w:rsid w:val="00B13960"/>
    <w:rsid w:val="00B13CAB"/>
    <w:rsid w:val="00B13D6E"/>
    <w:rsid w:val="00B14678"/>
    <w:rsid w:val="00B14737"/>
    <w:rsid w:val="00B14841"/>
    <w:rsid w:val="00B148B0"/>
    <w:rsid w:val="00B15570"/>
    <w:rsid w:val="00B158D3"/>
    <w:rsid w:val="00B16B04"/>
    <w:rsid w:val="00B16CAE"/>
    <w:rsid w:val="00B16F00"/>
    <w:rsid w:val="00B204A8"/>
    <w:rsid w:val="00B215F6"/>
    <w:rsid w:val="00B21D8A"/>
    <w:rsid w:val="00B21E86"/>
    <w:rsid w:val="00B22613"/>
    <w:rsid w:val="00B226AA"/>
    <w:rsid w:val="00B22C20"/>
    <w:rsid w:val="00B2517C"/>
    <w:rsid w:val="00B25409"/>
    <w:rsid w:val="00B258C1"/>
    <w:rsid w:val="00B25A59"/>
    <w:rsid w:val="00B2756D"/>
    <w:rsid w:val="00B2756E"/>
    <w:rsid w:val="00B30F26"/>
    <w:rsid w:val="00B3116A"/>
    <w:rsid w:val="00B31C27"/>
    <w:rsid w:val="00B32519"/>
    <w:rsid w:val="00B329C3"/>
    <w:rsid w:val="00B32F0A"/>
    <w:rsid w:val="00B32F6E"/>
    <w:rsid w:val="00B3370B"/>
    <w:rsid w:val="00B34267"/>
    <w:rsid w:val="00B36326"/>
    <w:rsid w:val="00B36382"/>
    <w:rsid w:val="00B3647D"/>
    <w:rsid w:val="00B4092A"/>
    <w:rsid w:val="00B42741"/>
    <w:rsid w:val="00B458DA"/>
    <w:rsid w:val="00B45EAE"/>
    <w:rsid w:val="00B4740C"/>
    <w:rsid w:val="00B47651"/>
    <w:rsid w:val="00B509DC"/>
    <w:rsid w:val="00B5206D"/>
    <w:rsid w:val="00B53739"/>
    <w:rsid w:val="00B539DF"/>
    <w:rsid w:val="00B55000"/>
    <w:rsid w:val="00B55781"/>
    <w:rsid w:val="00B55B47"/>
    <w:rsid w:val="00B612EA"/>
    <w:rsid w:val="00B619F8"/>
    <w:rsid w:val="00B62056"/>
    <w:rsid w:val="00B62103"/>
    <w:rsid w:val="00B623CA"/>
    <w:rsid w:val="00B62601"/>
    <w:rsid w:val="00B647CC"/>
    <w:rsid w:val="00B6489A"/>
    <w:rsid w:val="00B64C2C"/>
    <w:rsid w:val="00B64F02"/>
    <w:rsid w:val="00B64F1A"/>
    <w:rsid w:val="00B6738A"/>
    <w:rsid w:val="00B67DFA"/>
    <w:rsid w:val="00B67F9E"/>
    <w:rsid w:val="00B70F09"/>
    <w:rsid w:val="00B70F65"/>
    <w:rsid w:val="00B71139"/>
    <w:rsid w:val="00B715BB"/>
    <w:rsid w:val="00B71BA3"/>
    <w:rsid w:val="00B73EFA"/>
    <w:rsid w:val="00B74907"/>
    <w:rsid w:val="00B7523A"/>
    <w:rsid w:val="00B75805"/>
    <w:rsid w:val="00B76C18"/>
    <w:rsid w:val="00B77518"/>
    <w:rsid w:val="00B777FB"/>
    <w:rsid w:val="00B80320"/>
    <w:rsid w:val="00B8101D"/>
    <w:rsid w:val="00B838F2"/>
    <w:rsid w:val="00B84AAF"/>
    <w:rsid w:val="00B85F1B"/>
    <w:rsid w:val="00B8616B"/>
    <w:rsid w:val="00B86B8C"/>
    <w:rsid w:val="00B8765C"/>
    <w:rsid w:val="00B90E0E"/>
    <w:rsid w:val="00B9103D"/>
    <w:rsid w:val="00B91ADD"/>
    <w:rsid w:val="00B91D60"/>
    <w:rsid w:val="00B91EEB"/>
    <w:rsid w:val="00B92C8D"/>
    <w:rsid w:val="00B93B88"/>
    <w:rsid w:val="00B95E23"/>
    <w:rsid w:val="00B95F63"/>
    <w:rsid w:val="00BA15BD"/>
    <w:rsid w:val="00BA1AC5"/>
    <w:rsid w:val="00BA1CC8"/>
    <w:rsid w:val="00BA4401"/>
    <w:rsid w:val="00BA47A8"/>
    <w:rsid w:val="00BA50BB"/>
    <w:rsid w:val="00BA6626"/>
    <w:rsid w:val="00BA6AD6"/>
    <w:rsid w:val="00BA6B2D"/>
    <w:rsid w:val="00BA765F"/>
    <w:rsid w:val="00BA7A8A"/>
    <w:rsid w:val="00BB0B27"/>
    <w:rsid w:val="00BB1108"/>
    <w:rsid w:val="00BB326C"/>
    <w:rsid w:val="00BB5E4D"/>
    <w:rsid w:val="00BB6341"/>
    <w:rsid w:val="00BB742D"/>
    <w:rsid w:val="00BB7F9B"/>
    <w:rsid w:val="00BC01FE"/>
    <w:rsid w:val="00BC0CE3"/>
    <w:rsid w:val="00BC0EB1"/>
    <w:rsid w:val="00BC0EBF"/>
    <w:rsid w:val="00BC2070"/>
    <w:rsid w:val="00BC276B"/>
    <w:rsid w:val="00BC334D"/>
    <w:rsid w:val="00BC6E8B"/>
    <w:rsid w:val="00BD04A2"/>
    <w:rsid w:val="00BD2D6D"/>
    <w:rsid w:val="00BD30DE"/>
    <w:rsid w:val="00BD644A"/>
    <w:rsid w:val="00BD6DD5"/>
    <w:rsid w:val="00BD7DF4"/>
    <w:rsid w:val="00BE13A7"/>
    <w:rsid w:val="00BE1412"/>
    <w:rsid w:val="00BE1A6B"/>
    <w:rsid w:val="00BE247C"/>
    <w:rsid w:val="00BE253C"/>
    <w:rsid w:val="00BE3548"/>
    <w:rsid w:val="00BE3AC3"/>
    <w:rsid w:val="00BE7218"/>
    <w:rsid w:val="00BF0F8A"/>
    <w:rsid w:val="00BF1535"/>
    <w:rsid w:val="00BF1FD3"/>
    <w:rsid w:val="00BF202D"/>
    <w:rsid w:val="00BF2967"/>
    <w:rsid w:val="00BF2FA9"/>
    <w:rsid w:val="00BF33DE"/>
    <w:rsid w:val="00BF3730"/>
    <w:rsid w:val="00BF4AC4"/>
    <w:rsid w:val="00BF62B6"/>
    <w:rsid w:val="00BF641A"/>
    <w:rsid w:val="00BF7CBF"/>
    <w:rsid w:val="00BF7EC1"/>
    <w:rsid w:val="00C00051"/>
    <w:rsid w:val="00C0066D"/>
    <w:rsid w:val="00C006CE"/>
    <w:rsid w:val="00C00EC0"/>
    <w:rsid w:val="00C01128"/>
    <w:rsid w:val="00C02769"/>
    <w:rsid w:val="00C02930"/>
    <w:rsid w:val="00C02A03"/>
    <w:rsid w:val="00C02F7D"/>
    <w:rsid w:val="00C030A2"/>
    <w:rsid w:val="00C03B35"/>
    <w:rsid w:val="00C0580A"/>
    <w:rsid w:val="00C05E39"/>
    <w:rsid w:val="00C0647A"/>
    <w:rsid w:val="00C07BEC"/>
    <w:rsid w:val="00C10EDF"/>
    <w:rsid w:val="00C11143"/>
    <w:rsid w:val="00C121DA"/>
    <w:rsid w:val="00C13206"/>
    <w:rsid w:val="00C13FAF"/>
    <w:rsid w:val="00C14593"/>
    <w:rsid w:val="00C14A97"/>
    <w:rsid w:val="00C15BE9"/>
    <w:rsid w:val="00C162E7"/>
    <w:rsid w:val="00C16AA9"/>
    <w:rsid w:val="00C173B7"/>
    <w:rsid w:val="00C173ED"/>
    <w:rsid w:val="00C1767D"/>
    <w:rsid w:val="00C17D21"/>
    <w:rsid w:val="00C23294"/>
    <w:rsid w:val="00C236BD"/>
    <w:rsid w:val="00C24488"/>
    <w:rsid w:val="00C244C0"/>
    <w:rsid w:val="00C27131"/>
    <w:rsid w:val="00C2770B"/>
    <w:rsid w:val="00C30CFD"/>
    <w:rsid w:val="00C33508"/>
    <w:rsid w:val="00C33C96"/>
    <w:rsid w:val="00C347FA"/>
    <w:rsid w:val="00C34A21"/>
    <w:rsid w:val="00C34BC1"/>
    <w:rsid w:val="00C354F4"/>
    <w:rsid w:val="00C35E42"/>
    <w:rsid w:val="00C4074E"/>
    <w:rsid w:val="00C40A9E"/>
    <w:rsid w:val="00C41B11"/>
    <w:rsid w:val="00C424BB"/>
    <w:rsid w:val="00C4378C"/>
    <w:rsid w:val="00C43D3D"/>
    <w:rsid w:val="00C458B4"/>
    <w:rsid w:val="00C45DD8"/>
    <w:rsid w:val="00C47D78"/>
    <w:rsid w:val="00C5321A"/>
    <w:rsid w:val="00C536FA"/>
    <w:rsid w:val="00C540E0"/>
    <w:rsid w:val="00C5448E"/>
    <w:rsid w:val="00C5526F"/>
    <w:rsid w:val="00C559B3"/>
    <w:rsid w:val="00C561D4"/>
    <w:rsid w:val="00C576DE"/>
    <w:rsid w:val="00C57C62"/>
    <w:rsid w:val="00C605C2"/>
    <w:rsid w:val="00C61FC7"/>
    <w:rsid w:val="00C62116"/>
    <w:rsid w:val="00C62205"/>
    <w:rsid w:val="00C6252C"/>
    <w:rsid w:val="00C62C0E"/>
    <w:rsid w:val="00C62EE7"/>
    <w:rsid w:val="00C62FFC"/>
    <w:rsid w:val="00C64851"/>
    <w:rsid w:val="00C65702"/>
    <w:rsid w:val="00C66D00"/>
    <w:rsid w:val="00C67975"/>
    <w:rsid w:val="00C70A07"/>
    <w:rsid w:val="00C721A0"/>
    <w:rsid w:val="00C72FEA"/>
    <w:rsid w:val="00C73478"/>
    <w:rsid w:val="00C73C4E"/>
    <w:rsid w:val="00C74CAB"/>
    <w:rsid w:val="00C75AAF"/>
    <w:rsid w:val="00C762A7"/>
    <w:rsid w:val="00C7658D"/>
    <w:rsid w:val="00C771F6"/>
    <w:rsid w:val="00C778C1"/>
    <w:rsid w:val="00C77D82"/>
    <w:rsid w:val="00C800C4"/>
    <w:rsid w:val="00C80C51"/>
    <w:rsid w:val="00C80C8A"/>
    <w:rsid w:val="00C81273"/>
    <w:rsid w:val="00C815A6"/>
    <w:rsid w:val="00C81995"/>
    <w:rsid w:val="00C81E4F"/>
    <w:rsid w:val="00C820F1"/>
    <w:rsid w:val="00C83B43"/>
    <w:rsid w:val="00C842DB"/>
    <w:rsid w:val="00C84DDE"/>
    <w:rsid w:val="00C85B48"/>
    <w:rsid w:val="00C85EED"/>
    <w:rsid w:val="00C90D3A"/>
    <w:rsid w:val="00C91C48"/>
    <w:rsid w:val="00C92635"/>
    <w:rsid w:val="00C92EA9"/>
    <w:rsid w:val="00C93C95"/>
    <w:rsid w:val="00C93F27"/>
    <w:rsid w:val="00C9401F"/>
    <w:rsid w:val="00C94165"/>
    <w:rsid w:val="00C9541D"/>
    <w:rsid w:val="00C962C1"/>
    <w:rsid w:val="00C973BB"/>
    <w:rsid w:val="00C97532"/>
    <w:rsid w:val="00CA1377"/>
    <w:rsid w:val="00CA15DC"/>
    <w:rsid w:val="00CA1A19"/>
    <w:rsid w:val="00CA2528"/>
    <w:rsid w:val="00CA26C1"/>
    <w:rsid w:val="00CA30DF"/>
    <w:rsid w:val="00CA4E36"/>
    <w:rsid w:val="00CA65BF"/>
    <w:rsid w:val="00CA70DA"/>
    <w:rsid w:val="00CA76E2"/>
    <w:rsid w:val="00CB02F0"/>
    <w:rsid w:val="00CB03F7"/>
    <w:rsid w:val="00CB0C07"/>
    <w:rsid w:val="00CB120A"/>
    <w:rsid w:val="00CB1323"/>
    <w:rsid w:val="00CB1AA6"/>
    <w:rsid w:val="00CB335A"/>
    <w:rsid w:val="00CB4584"/>
    <w:rsid w:val="00CB574F"/>
    <w:rsid w:val="00CB736E"/>
    <w:rsid w:val="00CC0ACB"/>
    <w:rsid w:val="00CC1601"/>
    <w:rsid w:val="00CC1E04"/>
    <w:rsid w:val="00CC2ECD"/>
    <w:rsid w:val="00CC4434"/>
    <w:rsid w:val="00CC55AD"/>
    <w:rsid w:val="00CC5922"/>
    <w:rsid w:val="00CC5D45"/>
    <w:rsid w:val="00CC64B7"/>
    <w:rsid w:val="00CC6B26"/>
    <w:rsid w:val="00CC6E17"/>
    <w:rsid w:val="00CD0045"/>
    <w:rsid w:val="00CD01CB"/>
    <w:rsid w:val="00CD11DC"/>
    <w:rsid w:val="00CD1802"/>
    <w:rsid w:val="00CD1AF2"/>
    <w:rsid w:val="00CD1CC7"/>
    <w:rsid w:val="00CD1E21"/>
    <w:rsid w:val="00CD3FE9"/>
    <w:rsid w:val="00CD4215"/>
    <w:rsid w:val="00CD42E7"/>
    <w:rsid w:val="00CD54BD"/>
    <w:rsid w:val="00CD5930"/>
    <w:rsid w:val="00CD597C"/>
    <w:rsid w:val="00CD6669"/>
    <w:rsid w:val="00CD78D4"/>
    <w:rsid w:val="00CE0498"/>
    <w:rsid w:val="00CE1191"/>
    <w:rsid w:val="00CE15AE"/>
    <w:rsid w:val="00CE202F"/>
    <w:rsid w:val="00CE46B5"/>
    <w:rsid w:val="00CE5736"/>
    <w:rsid w:val="00CE6312"/>
    <w:rsid w:val="00CE6554"/>
    <w:rsid w:val="00CE6959"/>
    <w:rsid w:val="00CE6E3D"/>
    <w:rsid w:val="00CE6E64"/>
    <w:rsid w:val="00CE75B0"/>
    <w:rsid w:val="00CE78BA"/>
    <w:rsid w:val="00CE7A3D"/>
    <w:rsid w:val="00CF0417"/>
    <w:rsid w:val="00CF2B84"/>
    <w:rsid w:val="00CF34E9"/>
    <w:rsid w:val="00CF3CBE"/>
    <w:rsid w:val="00CF7BCE"/>
    <w:rsid w:val="00D01ABF"/>
    <w:rsid w:val="00D03B6B"/>
    <w:rsid w:val="00D04F98"/>
    <w:rsid w:val="00D05847"/>
    <w:rsid w:val="00D065C0"/>
    <w:rsid w:val="00D065E1"/>
    <w:rsid w:val="00D06D64"/>
    <w:rsid w:val="00D102CF"/>
    <w:rsid w:val="00D122F9"/>
    <w:rsid w:val="00D151DC"/>
    <w:rsid w:val="00D15AE9"/>
    <w:rsid w:val="00D15D24"/>
    <w:rsid w:val="00D21824"/>
    <w:rsid w:val="00D218FA"/>
    <w:rsid w:val="00D226B1"/>
    <w:rsid w:val="00D26F41"/>
    <w:rsid w:val="00D301C4"/>
    <w:rsid w:val="00D3142D"/>
    <w:rsid w:val="00D317E7"/>
    <w:rsid w:val="00D322EB"/>
    <w:rsid w:val="00D324FB"/>
    <w:rsid w:val="00D32F93"/>
    <w:rsid w:val="00D357C7"/>
    <w:rsid w:val="00D35E10"/>
    <w:rsid w:val="00D35E1F"/>
    <w:rsid w:val="00D360A9"/>
    <w:rsid w:val="00D36578"/>
    <w:rsid w:val="00D36E6D"/>
    <w:rsid w:val="00D372B1"/>
    <w:rsid w:val="00D40B05"/>
    <w:rsid w:val="00D40FD3"/>
    <w:rsid w:val="00D434A6"/>
    <w:rsid w:val="00D447FC"/>
    <w:rsid w:val="00D454FC"/>
    <w:rsid w:val="00D45DD4"/>
    <w:rsid w:val="00D46B7D"/>
    <w:rsid w:val="00D46E0D"/>
    <w:rsid w:val="00D46E78"/>
    <w:rsid w:val="00D46F83"/>
    <w:rsid w:val="00D47BE2"/>
    <w:rsid w:val="00D47F4E"/>
    <w:rsid w:val="00D5053F"/>
    <w:rsid w:val="00D50650"/>
    <w:rsid w:val="00D51FB3"/>
    <w:rsid w:val="00D52BB3"/>
    <w:rsid w:val="00D53C76"/>
    <w:rsid w:val="00D54DF5"/>
    <w:rsid w:val="00D56B75"/>
    <w:rsid w:val="00D56CA7"/>
    <w:rsid w:val="00D56D34"/>
    <w:rsid w:val="00D57D6A"/>
    <w:rsid w:val="00D57D8D"/>
    <w:rsid w:val="00D57F3E"/>
    <w:rsid w:val="00D62977"/>
    <w:rsid w:val="00D64CD0"/>
    <w:rsid w:val="00D65BA8"/>
    <w:rsid w:val="00D6636A"/>
    <w:rsid w:val="00D667EF"/>
    <w:rsid w:val="00D667F8"/>
    <w:rsid w:val="00D66A96"/>
    <w:rsid w:val="00D67B8A"/>
    <w:rsid w:val="00D67BA6"/>
    <w:rsid w:val="00D67BD5"/>
    <w:rsid w:val="00D715C1"/>
    <w:rsid w:val="00D72243"/>
    <w:rsid w:val="00D72530"/>
    <w:rsid w:val="00D72A45"/>
    <w:rsid w:val="00D730AD"/>
    <w:rsid w:val="00D7340F"/>
    <w:rsid w:val="00D7398C"/>
    <w:rsid w:val="00D73AF4"/>
    <w:rsid w:val="00D73F7A"/>
    <w:rsid w:val="00D7541E"/>
    <w:rsid w:val="00D7617C"/>
    <w:rsid w:val="00D8061C"/>
    <w:rsid w:val="00D823FA"/>
    <w:rsid w:val="00D82E30"/>
    <w:rsid w:val="00D835AE"/>
    <w:rsid w:val="00D83B70"/>
    <w:rsid w:val="00D84F1F"/>
    <w:rsid w:val="00D85618"/>
    <w:rsid w:val="00D86BF1"/>
    <w:rsid w:val="00D86CA6"/>
    <w:rsid w:val="00D86D6F"/>
    <w:rsid w:val="00D87F98"/>
    <w:rsid w:val="00D90CD7"/>
    <w:rsid w:val="00D93FD1"/>
    <w:rsid w:val="00D95488"/>
    <w:rsid w:val="00D963AE"/>
    <w:rsid w:val="00D96A58"/>
    <w:rsid w:val="00D97665"/>
    <w:rsid w:val="00D978F9"/>
    <w:rsid w:val="00D97D85"/>
    <w:rsid w:val="00DA0F64"/>
    <w:rsid w:val="00DA2361"/>
    <w:rsid w:val="00DA2C66"/>
    <w:rsid w:val="00DA382F"/>
    <w:rsid w:val="00DA3B97"/>
    <w:rsid w:val="00DA50EE"/>
    <w:rsid w:val="00DA6AAD"/>
    <w:rsid w:val="00DA7E1A"/>
    <w:rsid w:val="00DB073E"/>
    <w:rsid w:val="00DB0842"/>
    <w:rsid w:val="00DB0B65"/>
    <w:rsid w:val="00DB20DC"/>
    <w:rsid w:val="00DB27B3"/>
    <w:rsid w:val="00DB2C26"/>
    <w:rsid w:val="00DB3DEE"/>
    <w:rsid w:val="00DB4B0B"/>
    <w:rsid w:val="00DB526D"/>
    <w:rsid w:val="00DB546C"/>
    <w:rsid w:val="00DB5EC5"/>
    <w:rsid w:val="00DB68EB"/>
    <w:rsid w:val="00DB73FB"/>
    <w:rsid w:val="00DC0644"/>
    <w:rsid w:val="00DC1202"/>
    <w:rsid w:val="00DC1388"/>
    <w:rsid w:val="00DC2535"/>
    <w:rsid w:val="00DC2F61"/>
    <w:rsid w:val="00DC2FFF"/>
    <w:rsid w:val="00DC581A"/>
    <w:rsid w:val="00DC5A47"/>
    <w:rsid w:val="00DD0E64"/>
    <w:rsid w:val="00DD1BA4"/>
    <w:rsid w:val="00DD2689"/>
    <w:rsid w:val="00DD2D33"/>
    <w:rsid w:val="00DD3585"/>
    <w:rsid w:val="00DD404F"/>
    <w:rsid w:val="00DD5475"/>
    <w:rsid w:val="00DD70DA"/>
    <w:rsid w:val="00DD781F"/>
    <w:rsid w:val="00DE03A2"/>
    <w:rsid w:val="00DE049A"/>
    <w:rsid w:val="00DE1C39"/>
    <w:rsid w:val="00DE29C1"/>
    <w:rsid w:val="00DE2ABD"/>
    <w:rsid w:val="00DE3930"/>
    <w:rsid w:val="00DE3D85"/>
    <w:rsid w:val="00DE64FF"/>
    <w:rsid w:val="00DE68A9"/>
    <w:rsid w:val="00DE6E56"/>
    <w:rsid w:val="00DE6EE4"/>
    <w:rsid w:val="00DF1015"/>
    <w:rsid w:val="00DF110B"/>
    <w:rsid w:val="00DF175E"/>
    <w:rsid w:val="00DF1881"/>
    <w:rsid w:val="00DF3C82"/>
    <w:rsid w:val="00DF419A"/>
    <w:rsid w:val="00DF5D7F"/>
    <w:rsid w:val="00DF6C11"/>
    <w:rsid w:val="00DF6E49"/>
    <w:rsid w:val="00DF793C"/>
    <w:rsid w:val="00DF7FA6"/>
    <w:rsid w:val="00E00189"/>
    <w:rsid w:val="00E0060C"/>
    <w:rsid w:val="00E00A37"/>
    <w:rsid w:val="00E00DC5"/>
    <w:rsid w:val="00E011B7"/>
    <w:rsid w:val="00E03166"/>
    <w:rsid w:val="00E0512B"/>
    <w:rsid w:val="00E06ABD"/>
    <w:rsid w:val="00E07CF1"/>
    <w:rsid w:val="00E122A5"/>
    <w:rsid w:val="00E12759"/>
    <w:rsid w:val="00E12966"/>
    <w:rsid w:val="00E12A89"/>
    <w:rsid w:val="00E12B2F"/>
    <w:rsid w:val="00E12F63"/>
    <w:rsid w:val="00E13986"/>
    <w:rsid w:val="00E13AB5"/>
    <w:rsid w:val="00E15A70"/>
    <w:rsid w:val="00E15CA6"/>
    <w:rsid w:val="00E16725"/>
    <w:rsid w:val="00E21849"/>
    <w:rsid w:val="00E2244D"/>
    <w:rsid w:val="00E231B4"/>
    <w:rsid w:val="00E243C6"/>
    <w:rsid w:val="00E24D53"/>
    <w:rsid w:val="00E254B6"/>
    <w:rsid w:val="00E2656A"/>
    <w:rsid w:val="00E2696D"/>
    <w:rsid w:val="00E26ECD"/>
    <w:rsid w:val="00E276E5"/>
    <w:rsid w:val="00E30999"/>
    <w:rsid w:val="00E31223"/>
    <w:rsid w:val="00E31902"/>
    <w:rsid w:val="00E3292F"/>
    <w:rsid w:val="00E3305F"/>
    <w:rsid w:val="00E343EF"/>
    <w:rsid w:val="00E34ADE"/>
    <w:rsid w:val="00E365FD"/>
    <w:rsid w:val="00E36BAA"/>
    <w:rsid w:val="00E37AF2"/>
    <w:rsid w:val="00E400A0"/>
    <w:rsid w:val="00E41663"/>
    <w:rsid w:val="00E426AE"/>
    <w:rsid w:val="00E4281A"/>
    <w:rsid w:val="00E4321F"/>
    <w:rsid w:val="00E44E06"/>
    <w:rsid w:val="00E45497"/>
    <w:rsid w:val="00E46F37"/>
    <w:rsid w:val="00E47183"/>
    <w:rsid w:val="00E47E09"/>
    <w:rsid w:val="00E50349"/>
    <w:rsid w:val="00E503A8"/>
    <w:rsid w:val="00E51963"/>
    <w:rsid w:val="00E51B47"/>
    <w:rsid w:val="00E522EF"/>
    <w:rsid w:val="00E53011"/>
    <w:rsid w:val="00E53E11"/>
    <w:rsid w:val="00E5548D"/>
    <w:rsid w:val="00E556E0"/>
    <w:rsid w:val="00E56F5D"/>
    <w:rsid w:val="00E57DB7"/>
    <w:rsid w:val="00E60AF8"/>
    <w:rsid w:val="00E62969"/>
    <w:rsid w:val="00E633A2"/>
    <w:rsid w:val="00E64391"/>
    <w:rsid w:val="00E6481C"/>
    <w:rsid w:val="00E65B87"/>
    <w:rsid w:val="00E6713E"/>
    <w:rsid w:val="00E67861"/>
    <w:rsid w:val="00E702F0"/>
    <w:rsid w:val="00E7172F"/>
    <w:rsid w:val="00E72681"/>
    <w:rsid w:val="00E72825"/>
    <w:rsid w:val="00E74533"/>
    <w:rsid w:val="00E74C14"/>
    <w:rsid w:val="00E74C1E"/>
    <w:rsid w:val="00E759E8"/>
    <w:rsid w:val="00E75F21"/>
    <w:rsid w:val="00E76B58"/>
    <w:rsid w:val="00E808D7"/>
    <w:rsid w:val="00E80FDD"/>
    <w:rsid w:val="00E820D9"/>
    <w:rsid w:val="00E82FCA"/>
    <w:rsid w:val="00E84556"/>
    <w:rsid w:val="00E85498"/>
    <w:rsid w:val="00E8637C"/>
    <w:rsid w:val="00E863D4"/>
    <w:rsid w:val="00E864FB"/>
    <w:rsid w:val="00E90FFA"/>
    <w:rsid w:val="00E92F73"/>
    <w:rsid w:val="00E93CD5"/>
    <w:rsid w:val="00E9450D"/>
    <w:rsid w:val="00E94880"/>
    <w:rsid w:val="00E97A6C"/>
    <w:rsid w:val="00EA2EC8"/>
    <w:rsid w:val="00EA33E4"/>
    <w:rsid w:val="00EA38C7"/>
    <w:rsid w:val="00EA51AB"/>
    <w:rsid w:val="00EB2137"/>
    <w:rsid w:val="00EB2CC3"/>
    <w:rsid w:val="00EB360A"/>
    <w:rsid w:val="00EB39D3"/>
    <w:rsid w:val="00EB565C"/>
    <w:rsid w:val="00EC025D"/>
    <w:rsid w:val="00EC041F"/>
    <w:rsid w:val="00EC10F7"/>
    <w:rsid w:val="00EC1485"/>
    <w:rsid w:val="00EC2385"/>
    <w:rsid w:val="00EC2C5E"/>
    <w:rsid w:val="00EC33A0"/>
    <w:rsid w:val="00EC4E0F"/>
    <w:rsid w:val="00EC4F6C"/>
    <w:rsid w:val="00EC6D77"/>
    <w:rsid w:val="00EC782A"/>
    <w:rsid w:val="00EC78E2"/>
    <w:rsid w:val="00EC7BD4"/>
    <w:rsid w:val="00ED1F0A"/>
    <w:rsid w:val="00ED3D98"/>
    <w:rsid w:val="00ED5706"/>
    <w:rsid w:val="00ED5B6C"/>
    <w:rsid w:val="00ED5C12"/>
    <w:rsid w:val="00ED5E46"/>
    <w:rsid w:val="00ED6761"/>
    <w:rsid w:val="00ED6B77"/>
    <w:rsid w:val="00ED6BC0"/>
    <w:rsid w:val="00ED75BB"/>
    <w:rsid w:val="00ED7A9F"/>
    <w:rsid w:val="00EE01EF"/>
    <w:rsid w:val="00EE114F"/>
    <w:rsid w:val="00EE2476"/>
    <w:rsid w:val="00EE293A"/>
    <w:rsid w:val="00EE2B3A"/>
    <w:rsid w:val="00EE2C88"/>
    <w:rsid w:val="00EE328D"/>
    <w:rsid w:val="00EE3A02"/>
    <w:rsid w:val="00EE417B"/>
    <w:rsid w:val="00EE5F4F"/>
    <w:rsid w:val="00EE6696"/>
    <w:rsid w:val="00EE6855"/>
    <w:rsid w:val="00EE6B89"/>
    <w:rsid w:val="00EE77C0"/>
    <w:rsid w:val="00EF09E6"/>
    <w:rsid w:val="00EF27B0"/>
    <w:rsid w:val="00EF3210"/>
    <w:rsid w:val="00EF43A8"/>
    <w:rsid w:val="00EF4B71"/>
    <w:rsid w:val="00EF5209"/>
    <w:rsid w:val="00EF5A2A"/>
    <w:rsid w:val="00EF611D"/>
    <w:rsid w:val="00EF660C"/>
    <w:rsid w:val="00EF7E1F"/>
    <w:rsid w:val="00F0089B"/>
    <w:rsid w:val="00F03171"/>
    <w:rsid w:val="00F03732"/>
    <w:rsid w:val="00F03B01"/>
    <w:rsid w:val="00F03C73"/>
    <w:rsid w:val="00F05EE1"/>
    <w:rsid w:val="00F063E8"/>
    <w:rsid w:val="00F06605"/>
    <w:rsid w:val="00F069F8"/>
    <w:rsid w:val="00F06BF3"/>
    <w:rsid w:val="00F11EC4"/>
    <w:rsid w:val="00F12F76"/>
    <w:rsid w:val="00F132F9"/>
    <w:rsid w:val="00F14CEE"/>
    <w:rsid w:val="00F15F9C"/>
    <w:rsid w:val="00F16B29"/>
    <w:rsid w:val="00F17451"/>
    <w:rsid w:val="00F1787E"/>
    <w:rsid w:val="00F20733"/>
    <w:rsid w:val="00F2116C"/>
    <w:rsid w:val="00F21B39"/>
    <w:rsid w:val="00F2231B"/>
    <w:rsid w:val="00F2311C"/>
    <w:rsid w:val="00F248CE"/>
    <w:rsid w:val="00F2625A"/>
    <w:rsid w:val="00F2626F"/>
    <w:rsid w:val="00F26B11"/>
    <w:rsid w:val="00F273E5"/>
    <w:rsid w:val="00F27679"/>
    <w:rsid w:val="00F27A9F"/>
    <w:rsid w:val="00F32BC7"/>
    <w:rsid w:val="00F32C65"/>
    <w:rsid w:val="00F36005"/>
    <w:rsid w:val="00F36BA7"/>
    <w:rsid w:val="00F40C8F"/>
    <w:rsid w:val="00F4147E"/>
    <w:rsid w:val="00F42C4E"/>
    <w:rsid w:val="00F45401"/>
    <w:rsid w:val="00F469C7"/>
    <w:rsid w:val="00F46C84"/>
    <w:rsid w:val="00F46E2E"/>
    <w:rsid w:val="00F5223E"/>
    <w:rsid w:val="00F5365F"/>
    <w:rsid w:val="00F53F82"/>
    <w:rsid w:val="00F5448D"/>
    <w:rsid w:val="00F56064"/>
    <w:rsid w:val="00F56293"/>
    <w:rsid w:val="00F56F22"/>
    <w:rsid w:val="00F57BB9"/>
    <w:rsid w:val="00F61A42"/>
    <w:rsid w:val="00F63615"/>
    <w:rsid w:val="00F660FC"/>
    <w:rsid w:val="00F66B29"/>
    <w:rsid w:val="00F67E26"/>
    <w:rsid w:val="00F70EC2"/>
    <w:rsid w:val="00F72045"/>
    <w:rsid w:val="00F739BF"/>
    <w:rsid w:val="00F73C27"/>
    <w:rsid w:val="00F741FB"/>
    <w:rsid w:val="00F75722"/>
    <w:rsid w:val="00F762DD"/>
    <w:rsid w:val="00F77142"/>
    <w:rsid w:val="00F80A95"/>
    <w:rsid w:val="00F80BB0"/>
    <w:rsid w:val="00F80C01"/>
    <w:rsid w:val="00F8177A"/>
    <w:rsid w:val="00F81E58"/>
    <w:rsid w:val="00F83DC6"/>
    <w:rsid w:val="00F847A9"/>
    <w:rsid w:val="00F8482F"/>
    <w:rsid w:val="00F84AB7"/>
    <w:rsid w:val="00F85525"/>
    <w:rsid w:val="00F85867"/>
    <w:rsid w:val="00F860AD"/>
    <w:rsid w:val="00F9029B"/>
    <w:rsid w:val="00F91129"/>
    <w:rsid w:val="00F92034"/>
    <w:rsid w:val="00F927F5"/>
    <w:rsid w:val="00F9322D"/>
    <w:rsid w:val="00F938D1"/>
    <w:rsid w:val="00F95B48"/>
    <w:rsid w:val="00F96136"/>
    <w:rsid w:val="00F96446"/>
    <w:rsid w:val="00F96D46"/>
    <w:rsid w:val="00F97A31"/>
    <w:rsid w:val="00F97B5E"/>
    <w:rsid w:val="00FA00D3"/>
    <w:rsid w:val="00FA0ADF"/>
    <w:rsid w:val="00FA2451"/>
    <w:rsid w:val="00FA2FB7"/>
    <w:rsid w:val="00FA371E"/>
    <w:rsid w:val="00FA4633"/>
    <w:rsid w:val="00FA4E73"/>
    <w:rsid w:val="00FA53D9"/>
    <w:rsid w:val="00FA69D2"/>
    <w:rsid w:val="00FA6C18"/>
    <w:rsid w:val="00FB07BC"/>
    <w:rsid w:val="00FB1519"/>
    <w:rsid w:val="00FB1644"/>
    <w:rsid w:val="00FB1D12"/>
    <w:rsid w:val="00FB453B"/>
    <w:rsid w:val="00FB5327"/>
    <w:rsid w:val="00FB6081"/>
    <w:rsid w:val="00FB733D"/>
    <w:rsid w:val="00FB7EAB"/>
    <w:rsid w:val="00FC0660"/>
    <w:rsid w:val="00FC09EE"/>
    <w:rsid w:val="00FC0D8B"/>
    <w:rsid w:val="00FC0E00"/>
    <w:rsid w:val="00FC19FE"/>
    <w:rsid w:val="00FC1D2A"/>
    <w:rsid w:val="00FC2D17"/>
    <w:rsid w:val="00FC3356"/>
    <w:rsid w:val="00FC34A5"/>
    <w:rsid w:val="00FC3D6C"/>
    <w:rsid w:val="00FC46BB"/>
    <w:rsid w:val="00FC49B0"/>
    <w:rsid w:val="00FC6831"/>
    <w:rsid w:val="00FD086C"/>
    <w:rsid w:val="00FD173A"/>
    <w:rsid w:val="00FD4505"/>
    <w:rsid w:val="00FD45D3"/>
    <w:rsid w:val="00FD6516"/>
    <w:rsid w:val="00FD6DDE"/>
    <w:rsid w:val="00FD6E9E"/>
    <w:rsid w:val="00FD7F22"/>
    <w:rsid w:val="00FD7FBE"/>
    <w:rsid w:val="00FE05A8"/>
    <w:rsid w:val="00FE12B5"/>
    <w:rsid w:val="00FE22E7"/>
    <w:rsid w:val="00FE2C55"/>
    <w:rsid w:val="00FE313D"/>
    <w:rsid w:val="00FE4565"/>
    <w:rsid w:val="00FE4A97"/>
    <w:rsid w:val="00FE52C3"/>
    <w:rsid w:val="00FE5DBE"/>
    <w:rsid w:val="00FE644D"/>
    <w:rsid w:val="00FE7006"/>
    <w:rsid w:val="00FE7671"/>
    <w:rsid w:val="00FF1452"/>
    <w:rsid w:val="00FF2ACE"/>
    <w:rsid w:val="00FF2AD1"/>
    <w:rsid w:val="00FF2D2D"/>
    <w:rsid w:val="00FF3981"/>
    <w:rsid w:val="00FF4C14"/>
    <w:rsid w:val="00FF51F4"/>
    <w:rsid w:val="00FF5328"/>
    <w:rsid w:val="00FF5700"/>
    <w:rsid w:val="00FF5B1C"/>
    <w:rsid w:val="00FF5C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AD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5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5AD4"/>
    <w:rPr>
      <w:sz w:val="18"/>
      <w:szCs w:val="18"/>
    </w:rPr>
  </w:style>
  <w:style w:type="paragraph" w:styleId="a4">
    <w:name w:val="footer"/>
    <w:basedOn w:val="a"/>
    <w:link w:val="Char0"/>
    <w:uiPriority w:val="99"/>
    <w:unhideWhenUsed/>
    <w:rsid w:val="00575AD4"/>
    <w:pPr>
      <w:tabs>
        <w:tab w:val="center" w:pos="4153"/>
        <w:tab w:val="right" w:pos="8306"/>
      </w:tabs>
      <w:snapToGrid w:val="0"/>
      <w:jc w:val="left"/>
    </w:pPr>
    <w:rPr>
      <w:sz w:val="18"/>
      <w:szCs w:val="18"/>
    </w:rPr>
  </w:style>
  <w:style w:type="character" w:customStyle="1" w:styleId="Char0">
    <w:name w:val="页脚 Char"/>
    <w:basedOn w:val="a0"/>
    <w:link w:val="a4"/>
    <w:uiPriority w:val="99"/>
    <w:rsid w:val="00575AD4"/>
    <w:rPr>
      <w:sz w:val="18"/>
      <w:szCs w:val="18"/>
    </w:rPr>
  </w:style>
  <w:style w:type="paragraph" w:styleId="a5">
    <w:name w:val="Normal (Web)"/>
    <w:basedOn w:val="a"/>
    <w:unhideWhenUsed/>
    <w:rsid w:val="00575AD4"/>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BB326C"/>
    <w:pPr>
      <w:ind w:firstLineChars="200" w:firstLine="420"/>
    </w:pPr>
  </w:style>
  <w:style w:type="paragraph" w:styleId="a7">
    <w:name w:val="Date"/>
    <w:basedOn w:val="a"/>
    <w:next w:val="a"/>
    <w:link w:val="Char1"/>
    <w:uiPriority w:val="99"/>
    <w:semiHidden/>
    <w:unhideWhenUsed/>
    <w:rsid w:val="00AB5664"/>
    <w:pPr>
      <w:ind w:leftChars="2500" w:left="100"/>
    </w:pPr>
  </w:style>
  <w:style w:type="character" w:customStyle="1" w:styleId="Char1">
    <w:name w:val="日期 Char"/>
    <w:basedOn w:val="a0"/>
    <w:link w:val="a7"/>
    <w:uiPriority w:val="99"/>
    <w:semiHidden/>
    <w:rsid w:val="00AB5664"/>
    <w:rPr>
      <w:rFonts w:ascii="Calibri" w:eastAsia="宋体" w:hAnsi="Calibri" w:cs="Times New Roman"/>
    </w:rPr>
  </w:style>
  <w:style w:type="character" w:styleId="a8">
    <w:name w:val="annotation reference"/>
    <w:basedOn w:val="a0"/>
    <w:uiPriority w:val="99"/>
    <w:unhideWhenUsed/>
    <w:qFormat/>
    <w:rsid w:val="00AB5664"/>
    <w:rPr>
      <w:sz w:val="21"/>
      <w:szCs w:val="21"/>
    </w:rPr>
  </w:style>
  <w:style w:type="paragraph" w:styleId="a9">
    <w:name w:val="annotation text"/>
    <w:basedOn w:val="a"/>
    <w:link w:val="Char2"/>
    <w:uiPriority w:val="99"/>
    <w:unhideWhenUsed/>
    <w:qFormat/>
    <w:rsid w:val="00AB5664"/>
    <w:pPr>
      <w:jc w:val="left"/>
    </w:pPr>
  </w:style>
  <w:style w:type="character" w:customStyle="1" w:styleId="Char2">
    <w:name w:val="批注文字 Char"/>
    <w:basedOn w:val="a0"/>
    <w:link w:val="a9"/>
    <w:uiPriority w:val="99"/>
    <w:qFormat/>
    <w:rsid w:val="00AB5664"/>
    <w:rPr>
      <w:rFonts w:ascii="Calibri" w:eastAsia="宋体" w:hAnsi="Calibri" w:cs="Times New Roman"/>
    </w:rPr>
  </w:style>
  <w:style w:type="paragraph" w:styleId="aa">
    <w:name w:val="annotation subject"/>
    <w:basedOn w:val="a9"/>
    <w:next w:val="a9"/>
    <w:link w:val="Char3"/>
    <w:uiPriority w:val="99"/>
    <w:semiHidden/>
    <w:unhideWhenUsed/>
    <w:rsid w:val="00AB5664"/>
    <w:rPr>
      <w:b/>
      <w:bCs/>
    </w:rPr>
  </w:style>
  <w:style w:type="character" w:customStyle="1" w:styleId="Char3">
    <w:name w:val="批注主题 Char"/>
    <w:basedOn w:val="Char2"/>
    <w:link w:val="aa"/>
    <w:uiPriority w:val="99"/>
    <w:semiHidden/>
    <w:rsid w:val="00AB5664"/>
    <w:rPr>
      <w:rFonts w:ascii="Calibri" w:eastAsia="宋体" w:hAnsi="Calibri" w:cs="Times New Roman"/>
      <w:b/>
      <w:bCs/>
    </w:rPr>
  </w:style>
  <w:style w:type="paragraph" w:styleId="ab">
    <w:name w:val="Balloon Text"/>
    <w:basedOn w:val="a"/>
    <w:link w:val="Char4"/>
    <w:uiPriority w:val="99"/>
    <w:semiHidden/>
    <w:unhideWhenUsed/>
    <w:rsid w:val="00AB5664"/>
    <w:rPr>
      <w:sz w:val="18"/>
      <w:szCs w:val="18"/>
    </w:rPr>
  </w:style>
  <w:style w:type="character" w:customStyle="1" w:styleId="Char4">
    <w:name w:val="批注框文本 Char"/>
    <w:basedOn w:val="a0"/>
    <w:link w:val="ab"/>
    <w:uiPriority w:val="99"/>
    <w:semiHidden/>
    <w:rsid w:val="00AB5664"/>
    <w:rPr>
      <w:rFonts w:ascii="Calibri" w:eastAsia="宋体" w:hAnsi="Calibri" w:cs="Times New Roman"/>
      <w:sz w:val="18"/>
      <w:szCs w:val="18"/>
    </w:rPr>
  </w:style>
  <w:style w:type="paragraph" w:styleId="ac">
    <w:name w:val="Subtitle"/>
    <w:basedOn w:val="a"/>
    <w:next w:val="a"/>
    <w:link w:val="Char5"/>
    <w:uiPriority w:val="11"/>
    <w:qFormat/>
    <w:rsid w:val="00C030A2"/>
    <w:pPr>
      <w:spacing w:before="240" w:after="60" w:line="312" w:lineRule="auto"/>
      <w:jc w:val="center"/>
      <w:outlineLvl w:val="1"/>
    </w:pPr>
    <w:rPr>
      <w:rFonts w:ascii="Cambria" w:hAnsi="Cambria" w:cs="Cambria"/>
      <w:b/>
      <w:bCs/>
      <w:kern w:val="28"/>
      <w:sz w:val="32"/>
      <w:szCs w:val="32"/>
    </w:rPr>
  </w:style>
  <w:style w:type="character" w:customStyle="1" w:styleId="Char5">
    <w:name w:val="副标题 Char"/>
    <w:basedOn w:val="a0"/>
    <w:link w:val="ac"/>
    <w:uiPriority w:val="99"/>
    <w:qFormat/>
    <w:rsid w:val="00C030A2"/>
    <w:rPr>
      <w:rFonts w:ascii="Cambria" w:eastAsia="宋体" w:hAnsi="Cambria" w:cs="Cambria"/>
      <w:b/>
      <w:bCs/>
      <w:kern w:val="28"/>
      <w:sz w:val="32"/>
      <w:szCs w:val="32"/>
    </w:rPr>
  </w:style>
  <w:style w:type="paragraph" w:customStyle="1" w:styleId="ListParagraph1">
    <w:name w:val="List Paragraph1"/>
    <w:basedOn w:val="a"/>
    <w:uiPriority w:val="99"/>
    <w:qFormat/>
    <w:rsid w:val="00C030A2"/>
    <w:pPr>
      <w:ind w:firstLineChars="200" w:firstLine="420"/>
    </w:pPr>
    <w:rPr>
      <w:rFonts w:cs="Calibri"/>
      <w:szCs w:val="21"/>
    </w:rPr>
  </w:style>
  <w:style w:type="paragraph" w:customStyle="1" w:styleId="Default">
    <w:name w:val="Default"/>
    <w:uiPriority w:val="99"/>
    <w:qFormat/>
    <w:rsid w:val="00C030A2"/>
    <w:pPr>
      <w:widowControl w:val="0"/>
      <w:autoSpaceDE w:val="0"/>
      <w:autoSpaceDN w:val="0"/>
      <w:adjustRightInd w:val="0"/>
    </w:pPr>
    <w:rPr>
      <w:rFonts w:ascii="Wingdings" w:eastAsia="宋体" w:hAnsi="Wingdings" w:cs="Wingdings"/>
      <w:color w:val="000000"/>
      <w:kern w:val="0"/>
      <w:sz w:val="24"/>
      <w:szCs w:val="24"/>
    </w:rPr>
  </w:style>
  <w:style w:type="paragraph" w:styleId="ad">
    <w:name w:val="Title"/>
    <w:basedOn w:val="a"/>
    <w:next w:val="a"/>
    <w:link w:val="Char6"/>
    <w:uiPriority w:val="10"/>
    <w:qFormat/>
    <w:rsid w:val="003257C7"/>
    <w:pPr>
      <w:spacing w:before="240" w:after="60"/>
      <w:jc w:val="center"/>
      <w:outlineLvl w:val="0"/>
    </w:pPr>
    <w:rPr>
      <w:rFonts w:ascii="Cambria" w:hAnsi="Cambria" w:cs="Cambria"/>
      <w:b/>
      <w:bCs/>
      <w:kern w:val="0"/>
      <w:sz w:val="32"/>
      <w:szCs w:val="32"/>
    </w:rPr>
  </w:style>
  <w:style w:type="character" w:customStyle="1" w:styleId="Char6">
    <w:name w:val="标题 Char"/>
    <w:basedOn w:val="a0"/>
    <w:link w:val="ad"/>
    <w:uiPriority w:val="10"/>
    <w:qFormat/>
    <w:rsid w:val="003257C7"/>
    <w:rPr>
      <w:rFonts w:ascii="Cambria" w:eastAsia="宋体" w:hAnsi="Cambria" w:cs="Cambria"/>
      <w:b/>
      <w:bCs/>
      <w:kern w:val="0"/>
      <w:sz w:val="32"/>
      <w:szCs w:val="32"/>
    </w:rPr>
  </w:style>
</w:styles>
</file>

<file path=word/webSettings.xml><?xml version="1.0" encoding="utf-8"?>
<w:webSettings xmlns:r="http://schemas.openxmlformats.org/officeDocument/2006/relationships" xmlns:w="http://schemas.openxmlformats.org/wordprocessingml/2006/main">
  <w:divs>
    <w:div w:id="117188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87426-183B-4AD4-91C2-FCD4695BB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597</TotalTime>
  <Pages>7</Pages>
  <Words>1118</Words>
  <Characters>6374</Characters>
  <Application>Microsoft Office Word</Application>
  <DocSecurity>0</DocSecurity>
  <Lines>53</Lines>
  <Paragraphs>14</Paragraphs>
  <ScaleCrop>false</ScaleCrop>
  <Company/>
  <LinksUpToDate>false</LinksUpToDate>
  <CharactersWithSpaces>7478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Ivy</dc:creator>
  <cp:keywords/>
  <dc:description/>
  <cp:lastModifiedBy>User</cp:lastModifiedBy>
  <cp:revision>103</cp:revision>
  <dcterms:created xsi:type="dcterms:W3CDTF">2018-06-12T02:04:00Z</dcterms:created>
  <dcterms:modified xsi:type="dcterms:W3CDTF">2024-04-12T07:28:00Z</dcterms:modified>
</cp:coreProperties>
</file>