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r w:rsidRPr="00D56A8B">
        <w:rPr>
          <w:rFonts w:asciiTheme="minorEastAsia" w:eastAsiaTheme="minorEastAsia" w:hAnsiTheme="minorEastAsia" w:cs="宋体" w:hint="eastAsia"/>
          <w:b/>
          <w:bCs/>
          <w:sz w:val="32"/>
          <w:szCs w:val="32"/>
        </w:rPr>
        <w:t>封闭净值型</w:t>
      </w:r>
      <w:r w:rsidR="00167F96">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A26559">
        <w:rPr>
          <w:rFonts w:asciiTheme="minorEastAsia" w:eastAsiaTheme="minorEastAsia" w:hAnsiTheme="minorEastAsia" w:cs="宋体" w:hint="eastAsia"/>
          <w:b/>
          <w:bCs/>
          <w:sz w:val="32"/>
          <w:szCs w:val="32"/>
        </w:rPr>
        <w:t>21</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桐庐农商银行丰收信福封闭净值型</w:t>
      </w:r>
      <w:r w:rsidR="00167F96">
        <w:rPr>
          <w:rFonts w:ascii="宋体" w:hAnsi="宋体" w:cs="宋体"/>
          <w:kern w:val="0"/>
        </w:rPr>
        <w:t>2024</w:t>
      </w:r>
      <w:r w:rsidRPr="00D542D6">
        <w:rPr>
          <w:rFonts w:ascii="宋体" w:hAnsi="宋体" w:cs="宋体" w:hint="eastAsia"/>
          <w:kern w:val="0"/>
        </w:rPr>
        <w:t>年第</w:t>
      </w:r>
      <w:r w:rsidR="00A26559">
        <w:rPr>
          <w:rFonts w:ascii="宋体" w:hAnsi="宋体" w:cs="宋体" w:hint="eastAsia"/>
          <w:kern w:val="0"/>
        </w:rPr>
        <w:t>21</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期限</w:t>
      </w:r>
      <w:r w:rsidRPr="00A26559">
        <w:rPr>
          <w:rFonts w:ascii="宋体" w:hAnsi="宋体" w:cs="宋体" w:hint="eastAsia"/>
          <w:kern w:val="0"/>
        </w:rPr>
        <w:t>365</w:t>
      </w:r>
      <w:r w:rsidRPr="00D542D6">
        <w:rPr>
          <w:rFonts w:asciiTheme="minorEastAsia" w:eastAsiaTheme="minorEastAsia" w:hAnsiTheme="minorEastAsia" w:cs="宋体" w:hint="eastAsia"/>
          <w:kern w:val="0"/>
        </w:rPr>
        <w:t>天</w:t>
      </w:r>
      <w:r>
        <w:rPr>
          <w:rFonts w:asciiTheme="minorEastAsia" w:eastAsiaTheme="minorEastAsia" w:hAnsiTheme="minorEastAsia" w:cs="宋体" w:hint="eastAsia"/>
          <w:kern w:val="0"/>
        </w:rPr>
        <w:t>，</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买入卖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仓位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）城投债的特别风险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本计划可能投资于城投债，城投债包含如下风险：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土地价格波动风险。城投公司存货中土地占比较高，未来土地价格尤其是二、三线城市土地价格存在进一步下跌的可能，对于城投公司所拥有的大量土地存货应关注土地价格波动风险，可能存在资产减值风险。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价格等变现价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含有减记条款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资本债被永久性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）所投资公募基金的特别风险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本计划可能投资于公募基金，管理人对发行公募基金公司的内控信息获取不全，控制力不强，并且</w:t>
      </w:r>
      <w:r w:rsidRPr="006D3301">
        <w:rPr>
          <w:rFonts w:ascii="宋体" w:hAnsi="宋体" w:cs="宋体" w:hint="eastAsia"/>
          <w:b/>
          <w:bCs/>
        </w:rPr>
        <w:lastRenderedPageBreak/>
        <w:t>所投资公募基金的管理人的知识、经验、判断、决策、技能等，会影响其对信息的占有和对经济形势、金融市场价格走势的判断，如变更投资经理、管理人判断有误、获取信息不全、或对投资工具使用不当等影响公募基金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方销售平台购买公募基金，尽管管理人、托管人将在购买时核实该第三方销售平台确属于已经公募基金管理人公开披露的销售机构，但仍可能存在第三方销售平台违反法律法规的规定或其与公募基金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）用于融资回购的债券将作为资产托管人相关结算备付金账户偿还融资回购到期购回款的质押券，若资产管理人债券回购交收违约，资产管理人和投资者面临结算公司依法对质押券进行处置的风险。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押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方面临较大的质押债券处置风险，即使债券融入方提供了足额质押债券，在债券融入方违约后作为质权人的债券融出方并不能立即获得质押债券的所有权而进行处置。债券融出方启动质押券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方面临借贷期票息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A26559">
        <w:rPr>
          <w:rFonts w:ascii="宋体" w:hAnsi="宋体" w:cs="宋体"/>
          <w:b/>
          <w:bCs/>
        </w:rPr>
        <w:t>1</w:t>
      </w:r>
      <w:r w:rsidRPr="00A26559">
        <w:rPr>
          <w:rFonts w:ascii="宋体" w:cs="宋体"/>
          <w:b/>
          <w:bCs/>
        </w:rPr>
        <w:t>0</w:t>
      </w:r>
      <w:r w:rsidRPr="00A26559">
        <w:rPr>
          <w:rFonts w:ascii="宋体" w:hAnsi="宋体" w:cs="宋体" w:hint="eastAsia"/>
          <w:b/>
          <w:bCs/>
        </w:rPr>
        <w:t>、管理人、托管人风险</w:t>
      </w:r>
    </w:p>
    <w:p w:rsidR="00D542D6" w:rsidRPr="006D3301" w:rsidRDefault="002A2D56" w:rsidP="00D542D6">
      <w:pPr>
        <w:autoSpaceDE w:val="0"/>
        <w:autoSpaceDN w:val="0"/>
        <w:spacing w:line="360" w:lineRule="exact"/>
        <w:ind w:firstLine="420"/>
        <w:rPr>
          <w:rFonts w:asciiTheme="minorEastAsia" w:eastAsiaTheme="minorEastAsia" w:hAnsiTheme="minorEastAsia" w:cs="宋体"/>
          <w:b/>
          <w:bCs/>
        </w:rPr>
      </w:pPr>
      <w:r>
        <w:rPr>
          <w:rFonts w:asciiTheme="minorEastAsia" w:eastAsiaTheme="minorEastAsia" w:hAnsiTheme="minorEastAsia" w:cs="宋体" w:hint="eastAsia"/>
          <w:b/>
          <w:bCs/>
        </w:rPr>
        <w:t>本产品投资由</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w:t>
      </w:r>
      <w:r w:rsidR="00324ED0" w:rsidRPr="007C42EA">
        <w:rPr>
          <w:rFonts w:ascii="宋体" w:hAnsi="宋体" w:cs="宋体" w:hint="eastAsia"/>
          <w:b/>
          <w:bCs/>
        </w:rPr>
        <w:t>管理的集合资产管理计划</w:t>
      </w:r>
      <w:r>
        <w:rPr>
          <w:rFonts w:asciiTheme="minorEastAsia" w:eastAsiaTheme="minorEastAsia" w:hAnsiTheme="minorEastAsia" w:cs="宋体" w:hint="eastAsia"/>
          <w:b/>
          <w:bCs/>
        </w:rPr>
        <w:t>，本产品财产托管人为招商银行杭州分行。</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证券资产管理有限公司系</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证券股份有限公司的子公司</w:t>
      </w:r>
      <w:r w:rsidR="00324ED0" w:rsidRPr="00DD6AE6">
        <w:rPr>
          <w:rFonts w:asciiTheme="minorEastAsia" w:eastAsiaTheme="minorEastAsia" w:hAnsiTheme="minorEastAsia" w:cs="宋体"/>
          <w:b/>
          <w:bCs/>
        </w:rPr>
        <w:t>，注册资本</w:t>
      </w:r>
      <w:r w:rsidR="00324ED0">
        <w:rPr>
          <w:rFonts w:asciiTheme="minorEastAsia" w:eastAsiaTheme="minorEastAsia" w:hAnsiTheme="minorEastAsia" w:cs="宋体" w:hint="eastAsia"/>
          <w:b/>
          <w:bCs/>
        </w:rPr>
        <w:t>10</w:t>
      </w:r>
      <w:r w:rsidR="00324ED0" w:rsidRPr="00510B96">
        <w:rPr>
          <w:rFonts w:asciiTheme="minorEastAsia" w:eastAsiaTheme="minorEastAsia" w:hAnsiTheme="minorEastAsia" w:cs="宋体" w:hint="eastAsia"/>
          <w:b/>
          <w:bCs/>
        </w:rPr>
        <w:t>亿元人民币</w:t>
      </w:r>
      <w:r w:rsidR="00324ED0"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截至</w:t>
      </w:r>
      <w:r>
        <w:rPr>
          <w:rFonts w:asciiTheme="minorEastAsia" w:eastAsiaTheme="minorEastAsia" w:hAnsiTheme="minorEastAsia" w:cs="宋体"/>
          <w:b/>
          <w:bCs/>
        </w:rPr>
        <w:t>202</w:t>
      </w:r>
      <w:r w:rsidR="00324ED0">
        <w:rPr>
          <w:rFonts w:asciiTheme="minorEastAsia" w:eastAsiaTheme="minorEastAsia" w:hAnsiTheme="minorEastAsia" w:cs="宋体" w:hint="eastAsia"/>
          <w:b/>
          <w:bCs/>
        </w:rPr>
        <w:t>3</w:t>
      </w:r>
      <w:r>
        <w:rPr>
          <w:rFonts w:asciiTheme="minorEastAsia" w:eastAsiaTheme="minorEastAsia" w:hAnsiTheme="minorEastAsia" w:cs="宋体" w:hint="eastAsia"/>
          <w:b/>
          <w:bCs/>
        </w:rPr>
        <w:t>年</w:t>
      </w:r>
      <w:r w:rsidR="00324ED0">
        <w:rPr>
          <w:rFonts w:asciiTheme="minorEastAsia" w:eastAsiaTheme="minorEastAsia" w:hAnsiTheme="minorEastAsia" w:cs="宋体" w:hint="eastAsia"/>
          <w:b/>
          <w:bCs/>
        </w:rPr>
        <w:t>6月末</w:t>
      </w:r>
      <w:r>
        <w:rPr>
          <w:rFonts w:asciiTheme="minorEastAsia" w:eastAsiaTheme="minorEastAsia" w:hAnsiTheme="minorEastAsia" w:cs="宋体" w:hint="eastAsia"/>
          <w:b/>
          <w:bCs/>
        </w:rPr>
        <w:t>，其资产管理业务规模</w:t>
      </w:r>
      <w:r>
        <w:rPr>
          <w:rFonts w:asciiTheme="minorEastAsia" w:eastAsiaTheme="minorEastAsia" w:hAnsiTheme="minorEastAsia" w:cs="宋体"/>
          <w:b/>
          <w:bCs/>
        </w:rPr>
        <w:t>1.</w:t>
      </w:r>
      <w:r w:rsidR="00324ED0">
        <w:rPr>
          <w:rFonts w:asciiTheme="minorEastAsia" w:eastAsiaTheme="minorEastAsia" w:hAnsiTheme="minorEastAsia" w:cs="宋体" w:hint="eastAsia"/>
          <w:b/>
          <w:bCs/>
        </w:rPr>
        <w:t>5</w:t>
      </w:r>
      <w:r>
        <w:rPr>
          <w:rFonts w:asciiTheme="minorEastAsia" w:eastAsiaTheme="minorEastAsia" w:hAnsiTheme="minorEastAsia" w:cs="宋体" w:hint="eastAsia"/>
          <w:b/>
          <w:bCs/>
        </w:rPr>
        <w:t>万亿元。中信证券</w:t>
      </w:r>
      <w:r w:rsidR="001D6820">
        <w:rPr>
          <w:rFonts w:asciiTheme="minorEastAsia" w:eastAsiaTheme="minorEastAsia" w:hAnsiTheme="minorEastAsia" w:cs="宋体" w:hint="eastAsia"/>
          <w:b/>
          <w:bCs/>
        </w:rPr>
        <w:t>资管</w:t>
      </w:r>
      <w:r>
        <w:rPr>
          <w:rFonts w:asciiTheme="minorEastAsia" w:eastAsiaTheme="minorEastAsia" w:hAnsiTheme="minorEastAsia" w:cs="宋体" w:hint="eastAsia"/>
          <w:b/>
          <w:bCs/>
        </w:rPr>
        <w:t>依法承担资产管理计划的销售、登记、备案、信披、管理、运作等职责。招商银行是全国性股份制银行，是全球著名现代综合金融服务集团，截至</w:t>
      </w:r>
      <w:r>
        <w:rPr>
          <w:rFonts w:asciiTheme="minorEastAsia" w:eastAsiaTheme="minorEastAsia" w:hAnsiTheme="minorEastAsia" w:cs="宋体"/>
          <w:b/>
          <w:bCs/>
        </w:rPr>
        <w:t>2021</w:t>
      </w:r>
      <w:r>
        <w:rPr>
          <w:rFonts w:asciiTheme="minorEastAsia" w:eastAsiaTheme="minorEastAsia" w:hAnsiTheme="minorEastAsia" w:cs="宋体" w:hint="eastAsia"/>
          <w:b/>
          <w:bCs/>
        </w:rPr>
        <w:t>年上半年末，资本净额</w:t>
      </w:r>
      <w:r>
        <w:rPr>
          <w:rFonts w:asciiTheme="minorEastAsia" w:eastAsiaTheme="minorEastAsia" w:hAnsiTheme="minorEastAsia" w:cs="宋体"/>
          <w:b/>
          <w:bCs/>
        </w:rPr>
        <w:t>8567</w:t>
      </w:r>
      <w:r>
        <w:rPr>
          <w:rFonts w:asciiTheme="minorEastAsia" w:eastAsiaTheme="minorEastAsia" w:hAnsiTheme="minorEastAsia" w:cs="宋体" w:hint="eastAsia"/>
          <w:b/>
          <w:bCs/>
        </w:rPr>
        <w:t>亿元，资产托管业务规模</w:t>
      </w:r>
      <w:r>
        <w:rPr>
          <w:rFonts w:asciiTheme="minorEastAsia" w:eastAsiaTheme="minorEastAsia" w:hAnsiTheme="minorEastAsia"/>
          <w:b/>
          <w:bCs/>
        </w:rPr>
        <w:t>18.23</w:t>
      </w:r>
      <w:r>
        <w:rPr>
          <w:rFonts w:asciiTheme="minorEastAsia" w:eastAsiaTheme="minorEastAsia" w:hAnsiTheme="minorEastAsia" w:cs="宋体" w:hint="eastAsia"/>
          <w:b/>
          <w:bCs/>
        </w:rPr>
        <w:t>万亿元。招商银行杭州分行依法承担安全保管理财产品财产、监督管理人依法合规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不视为违反约定，管理人可能亦不会因此调整本计划的投资或持仓，投资标的的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操作风险。管理人、托管人、证券交易所、证券登记结算机构、第三方销售平台等在业务操作过程中，因操作失误或违反操作规程而引起的风险。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w:t>
      </w:r>
      <w:r w:rsidRPr="006D3301">
        <w:rPr>
          <w:rFonts w:ascii="宋体" w:hAnsi="宋体" w:cs="宋体" w:hint="eastAsia"/>
          <w:b/>
          <w:bCs/>
        </w:rPr>
        <w:lastRenderedPageBreak/>
        <w:t>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（本风险等级为我行内部风险评级结果，仅供参考，我行不对前述风险评级结果的准确性做出任何形式的保证，也不承担任何法律责任）；适合购买本理财产品的客户：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若您认购前已在我行开立结算账户，可直接进行下一步骤。我行强烈建议您采用自助终端、手机银行渠道进行理财产品认购，系统会提示您进行每一步操作，产品办理更加方便快捷。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您超过1年未再次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5C0C6C">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bookmarkStart w:id="0" w:name="_GoBack"/>
      <w:bookmarkEnd w:id="0"/>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BE6" w:rsidRDefault="00CE1BE6" w:rsidP="00E750E6">
      <w:r>
        <w:separator/>
      </w:r>
    </w:p>
  </w:endnote>
  <w:endnote w:type="continuationSeparator" w:id="0">
    <w:p w:rsidR="00CE1BE6" w:rsidRDefault="00CE1BE6" w:rsidP="00E7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panose1 w:val="00000000000000000000"/>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6E4" w:rsidRPr="008E7C3D" w:rsidRDefault="0072720E" w:rsidP="00770C0C">
    <w:pPr>
      <w:pStyle w:val="a5"/>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6E4" w:rsidRPr="00021FAD" w:rsidRDefault="00CE1BE6" w:rsidP="00021FAD">
    <w:pPr>
      <w:pStyle w:val="a5"/>
      <w:jc w:val="center"/>
    </w:pPr>
    <w:r>
      <w:fldChar w:fldCharType="begin"/>
    </w:r>
    <w:r>
      <w:instrText>PAGE   \* MERGEFORMAT</w:instrText>
    </w:r>
    <w:r>
      <w:fldChar w:fldCharType="separate"/>
    </w:r>
    <w:r w:rsidR="005C0C6C" w:rsidRPr="005C0C6C">
      <w:rPr>
        <w:noProof/>
        <w:lang w:val="zh-CN"/>
      </w:rPr>
      <w:t>-</w:t>
    </w:r>
    <w:r w:rsidR="005C0C6C">
      <w:rPr>
        <w:noProof/>
      </w:rPr>
      <w:t xml:space="preserve"> 8 -</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72720E"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end"/>
    </w:r>
  </w:p>
  <w:p w:rsidR="00E750E6" w:rsidRDefault="00E750E6" w:rsidP="006B08B4">
    <w:pPr>
      <w:pStyle w:val="a5"/>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72720E"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separate"/>
    </w:r>
    <w:r w:rsidR="005C0C6C">
      <w:rPr>
        <w:rStyle w:val="a8"/>
        <w:noProof/>
      </w:rPr>
      <w:t>12</w:t>
    </w:r>
    <w:r>
      <w:rPr>
        <w:rStyle w:val="a8"/>
      </w:rPr>
      <w:fldChar w:fldCharType="end"/>
    </w:r>
  </w:p>
  <w:p w:rsidR="00E750E6" w:rsidRDefault="00E750E6" w:rsidP="006B08B4">
    <w:pPr>
      <w:pStyle w:val="a5"/>
      <w:ind w:right="360"/>
      <w:jc w:val="right"/>
    </w:pPr>
  </w:p>
  <w:p w:rsidR="00E750E6" w:rsidRDefault="00E750E6" w:rsidP="006B08B4">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BE6" w:rsidRDefault="00CE1BE6" w:rsidP="00E750E6">
      <w:r>
        <w:separator/>
      </w:r>
    </w:p>
  </w:footnote>
  <w:footnote w:type="continuationSeparator" w:id="0">
    <w:p w:rsidR="00CE1BE6" w:rsidRDefault="00CE1BE6" w:rsidP="00E75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50E6"/>
    <w:rsid w:val="00001CDF"/>
    <w:rsid w:val="000200DC"/>
    <w:rsid w:val="0003798B"/>
    <w:rsid w:val="000435DA"/>
    <w:rsid w:val="000E0D13"/>
    <w:rsid w:val="0010093D"/>
    <w:rsid w:val="00117B1F"/>
    <w:rsid w:val="00121F34"/>
    <w:rsid w:val="00123B38"/>
    <w:rsid w:val="0012695E"/>
    <w:rsid w:val="00134FA3"/>
    <w:rsid w:val="00152169"/>
    <w:rsid w:val="001618BE"/>
    <w:rsid w:val="00167F96"/>
    <w:rsid w:val="001C2275"/>
    <w:rsid w:val="001C4F70"/>
    <w:rsid w:val="001C6DE5"/>
    <w:rsid w:val="001D6820"/>
    <w:rsid w:val="001E0CC6"/>
    <w:rsid w:val="001E3C4D"/>
    <w:rsid w:val="00220213"/>
    <w:rsid w:val="0022402E"/>
    <w:rsid w:val="00234722"/>
    <w:rsid w:val="0026379D"/>
    <w:rsid w:val="0026405E"/>
    <w:rsid w:val="002A2D56"/>
    <w:rsid w:val="002B63D7"/>
    <w:rsid w:val="002E0194"/>
    <w:rsid w:val="002F1B1B"/>
    <w:rsid w:val="002F6C77"/>
    <w:rsid w:val="00301795"/>
    <w:rsid w:val="00324ED0"/>
    <w:rsid w:val="0032779B"/>
    <w:rsid w:val="00386ACF"/>
    <w:rsid w:val="003C761D"/>
    <w:rsid w:val="003F16FF"/>
    <w:rsid w:val="003F23CD"/>
    <w:rsid w:val="003F7E23"/>
    <w:rsid w:val="0046650F"/>
    <w:rsid w:val="00496C69"/>
    <w:rsid w:val="004A41B7"/>
    <w:rsid w:val="004C55A7"/>
    <w:rsid w:val="004F4450"/>
    <w:rsid w:val="00511AA1"/>
    <w:rsid w:val="00536AE4"/>
    <w:rsid w:val="00563A8A"/>
    <w:rsid w:val="00583F97"/>
    <w:rsid w:val="005926B2"/>
    <w:rsid w:val="005B353E"/>
    <w:rsid w:val="005C0C6C"/>
    <w:rsid w:val="005E457B"/>
    <w:rsid w:val="006077EE"/>
    <w:rsid w:val="00624350"/>
    <w:rsid w:val="00630B76"/>
    <w:rsid w:val="00687F54"/>
    <w:rsid w:val="006A3F49"/>
    <w:rsid w:val="006B073A"/>
    <w:rsid w:val="006C48E5"/>
    <w:rsid w:val="006E0334"/>
    <w:rsid w:val="006F24F1"/>
    <w:rsid w:val="00702C08"/>
    <w:rsid w:val="0070614B"/>
    <w:rsid w:val="0072720E"/>
    <w:rsid w:val="007D403D"/>
    <w:rsid w:val="007E2C65"/>
    <w:rsid w:val="00800EA5"/>
    <w:rsid w:val="008310CB"/>
    <w:rsid w:val="0085029D"/>
    <w:rsid w:val="00857FC9"/>
    <w:rsid w:val="008622B0"/>
    <w:rsid w:val="008D03B5"/>
    <w:rsid w:val="008D3435"/>
    <w:rsid w:val="008E0336"/>
    <w:rsid w:val="00910331"/>
    <w:rsid w:val="00911775"/>
    <w:rsid w:val="009271A1"/>
    <w:rsid w:val="00933042"/>
    <w:rsid w:val="00935323"/>
    <w:rsid w:val="00935C4D"/>
    <w:rsid w:val="009377B5"/>
    <w:rsid w:val="00940287"/>
    <w:rsid w:val="009711F6"/>
    <w:rsid w:val="009C4FA0"/>
    <w:rsid w:val="009F3020"/>
    <w:rsid w:val="00A26559"/>
    <w:rsid w:val="00A330E5"/>
    <w:rsid w:val="00A53439"/>
    <w:rsid w:val="00A70916"/>
    <w:rsid w:val="00A83BE1"/>
    <w:rsid w:val="00A876E4"/>
    <w:rsid w:val="00A90718"/>
    <w:rsid w:val="00AA0FE6"/>
    <w:rsid w:val="00AB069D"/>
    <w:rsid w:val="00AC7AA8"/>
    <w:rsid w:val="00B1073E"/>
    <w:rsid w:val="00B13AE5"/>
    <w:rsid w:val="00B6623C"/>
    <w:rsid w:val="00B76C90"/>
    <w:rsid w:val="00BC7B79"/>
    <w:rsid w:val="00BF0291"/>
    <w:rsid w:val="00BF2DDD"/>
    <w:rsid w:val="00BF5104"/>
    <w:rsid w:val="00BF73F7"/>
    <w:rsid w:val="00C13CBD"/>
    <w:rsid w:val="00C3443A"/>
    <w:rsid w:val="00C40D68"/>
    <w:rsid w:val="00C4692A"/>
    <w:rsid w:val="00C61E48"/>
    <w:rsid w:val="00C76793"/>
    <w:rsid w:val="00C92C4D"/>
    <w:rsid w:val="00CB711A"/>
    <w:rsid w:val="00CD7D37"/>
    <w:rsid w:val="00CE1BE6"/>
    <w:rsid w:val="00CF2F79"/>
    <w:rsid w:val="00D10B09"/>
    <w:rsid w:val="00D53EBC"/>
    <w:rsid w:val="00D542D6"/>
    <w:rsid w:val="00D801A1"/>
    <w:rsid w:val="00DC34B8"/>
    <w:rsid w:val="00DD246B"/>
    <w:rsid w:val="00E01CDA"/>
    <w:rsid w:val="00E0768F"/>
    <w:rsid w:val="00E328FA"/>
    <w:rsid w:val="00E55EE8"/>
    <w:rsid w:val="00E62613"/>
    <w:rsid w:val="00E6550D"/>
    <w:rsid w:val="00E7377E"/>
    <w:rsid w:val="00E750E6"/>
    <w:rsid w:val="00EC197D"/>
    <w:rsid w:val="00ED4224"/>
    <w:rsid w:val="00EE0310"/>
    <w:rsid w:val="00F04FF7"/>
    <w:rsid w:val="00F20A60"/>
    <w:rsid w:val="00F251BE"/>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47C5928-59A3-41CA-A98C-163417A31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E750E6"/>
    <w:rPr>
      <w:sz w:val="18"/>
      <w:szCs w:val="18"/>
    </w:rPr>
  </w:style>
  <w:style w:type="paragraph" w:styleId="a5">
    <w:name w:val="footer"/>
    <w:basedOn w:val="a"/>
    <w:link w:val="a6"/>
    <w:uiPriority w:val="99"/>
    <w:unhideWhenUsed/>
    <w:rsid w:val="00E750E6"/>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E750E6"/>
    <w:rPr>
      <w:sz w:val="18"/>
      <w:szCs w:val="18"/>
    </w:rPr>
  </w:style>
  <w:style w:type="paragraph" w:styleId="a7">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8">
    <w:name w:val="page number"/>
    <w:rsid w:val="00E750E6"/>
  </w:style>
  <w:style w:type="paragraph" w:styleId="a9">
    <w:name w:val="Body Text"/>
    <w:basedOn w:val="a"/>
    <w:link w:val="aa"/>
    <w:rsid w:val="00E750E6"/>
    <w:pPr>
      <w:spacing w:after="120"/>
    </w:pPr>
    <w:rPr>
      <w:rFonts w:ascii="Times New Roman" w:hAnsi="Times New Roman"/>
      <w:kern w:val="0"/>
      <w:sz w:val="20"/>
      <w:szCs w:val="24"/>
    </w:rPr>
  </w:style>
  <w:style w:type="character" w:customStyle="1" w:styleId="aa">
    <w:name w:val="正文文本 字符"/>
    <w:basedOn w:val="a0"/>
    <w:link w:val="a9"/>
    <w:rsid w:val="00E750E6"/>
    <w:rPr>
      <w:rFonts w:ascii="Times New Roman" w:eastAsia="宋体" w:hAnsi="Times New Roman" w:cs="Times New Roman"/>
      <w:kern w:val="0"/>
      <w:sz w:val="20"/>
      <w:szCs w:val="24"/>
    </w:rPr>
  </w:style>
  <w:style w:type="character" w:styleId="ab">
    <w:name w:val="Strong"/>
    <w:qFormat/>
    <w:rsid w:val="00E750E6"/>
    <w:rPr>
      <w:b/>
    </w:rPr>
  </w:style>
  <w:style w:type="paragraph" w:styleId="ac">
    <w:name w:val="Balloon Text"/>
    <w:basedOn w:val="a"/>
    <w:link w:val="ad"/>
    <w:uiPriority w:val="99"/>
    <w:semiHidden/>
    <w:unhideWhenUsed/>
    <w:rsid w:val="003F23CD"/>
    <w:rPr>
      <w:sz w:val="18"/>
      <w:szCs w:val="18"/>
    </w:rPr>
  </w:style>
  <w:style w:type="character" w:customStyle="1" w:styleId="ad">
    <w:name w:val="批注框文本 字符"/>
    <w:basedOn w:val="a0"/>
    <w:link w:val="ac"/>
    <w:uiPriority w:val="99"/>
    <w:semiHidden/>
    <w:rsid w:val="003F23CD"/>
    <w:rPr>
      <w:rFonts w:ascii="Calibri" w:eastAsia="宋体" w:hAnsi="Calibri" w:cs="Times New Roman"/>
      <w:sz w:val="18"/>
      <w:szCs w:val="18"/>
    </w:rPr>
  </w:style>
  <w:style w:type="paragraph" w:styleId="ae">
    <w:name w:val="List Paragraph"/>
    <w:basedOn w:val="a"/>
    <w:uiPriority w:val="34"/>
    <w:qFormat/>
    <w:rsid w:val="00DD246B"/>
    <w:pPr>
      <w:ind w:firstLineChars="200" w:firstLine="420"/>
    </w:pPr>
  </w:style>
  <w:style w:type="paragraph" w:styleId="af">
    <w:name w:val="Body Text Indent"/>
    <w:basedOn w:val="a"/>
    <w:link w:val="af0"/>
    <w:uiPriority w:val="99"/>
    <w:semiHidden/>
    <w:unhideWhenUsed/>
    <w:rsid w:val="007E2C65"/>
    <w:pPr>
      <w:spacing w:after="120"/>
      <w:ind w:leftChars="200" w:left="420"/>
    </w:pPr>
  </w:style>
  <w:style w:type="character" w:customStyle="1" w:styleId="af0">
    <w:name w:val="正文文本缩进 字符"/>
    <w:basedOn w:val="a0"/>
    <w:link w:val="af"/>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12</Pages>
  <Words>1831</Words>
  <Characters>10439</Characters>
  <Application>Microsoft Office Word</Application>
  <DocSecurity>0</DocSecurity>
  <Lines>86</Lines>
  <Paragraphs>24</Paragraphs>
  <ScaleCrop>false</ScaleCrop>
  <Company>hh</Company>
  <LinksUpToDate>false</LinksUpToDate>
  <CharactersWithSpaces>12246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Q睿</cp:lastModifiedBy>
  <cp:revision>51</cp:revision>
  <cp:lastPrinted>2019-07-05T00:32:00Z</cp:lastPrinted>
  <dcterms:created xsi:type="dcterms:W3CDTF">2016-06-14T08:24:00Z</dcterms:created>
  <dcterms:modified xsi:type="dcterms:W3CDTF">2024-04-19T07:59:00Z</dcterms:modified>
</cp:coreProperties>
</file>