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cs="宋体" w:asciiTheme="minorEastAsia" w:hAnsiTheme="minorEastAsia" w:eastAsiaTheme="minorEastAsia"/>
          <w:b/>
          <w:bCs/>
          <w:sz w:val="32"/>
          <w:szCs w:val="32"/>
        </w:rPr>
      </w:pPr>
      <w:r>
        <w:rPr>
          <w:rFonts w:hint="eastAsia" w:cs="宋体" w:asciiTheme="minorEastAsia" w:hAnsiTheme="minorEastAsia" w:eastAsiaTheme="minorEastAsia"/>
          <w:b/>
          <w:bCs/>
          <w:sz w:val="32"/>
          <w:szCs w:val="32"/>
        </w:rPr>
        <w:t>桐庐农商银行丰收信福封闭净值型</w:t>
      </w:r>
      <w:r>
        <w:rPr>
          <w:rFonts w:cs="宋体" w:asciiTheme="minorEastAsia" w:hAnsiTheme="minorEastAsia" w:eastAsiaTheme="minorEastAsia"/>
          <w:b/>
          <w:bCs/>
          <w:sz w:val="32"/>
          <w:szCs w:val="32"/>
        </w:rPr>
        <w:t>2024</w:t>
      </w:r>
      <w:r>
        <w:rPr>
          <w:rFonts w:hint="eastAsia" w:cs="宋体" w:asciiTheme="minorEastAsia" w:hAnsiTheme="minorEastAsia" w:eastAsiaTheme="minorEastAsia"/>
          <w:b/>
          <w:bCs/>
          <w:sz w:val="32"/>
          <w:szCs w:val="32"/>
        </w:rPr>
        <w:t>年第23期</w:t>
      </w:r>
    </w:p>
    <w:p>
      <w:pPr>
        <w:spacing w:line="360" w:lineRule="auto"/>
        <w:jc w:val="center"/>
        <w:rPr>
          <w:rFonts w:asciiTheme="minorEastAsia" w:hAnsiTheme="minorEastAsia" w:eastAsiaTheme="minorEastAsia"/>
          <w:b/>
          <w:sz w:val="32"/>
          <w:szCs w:val="32"/>
        </w:rPr>
      </w:pPr>
      <w:r>
        <w:rPr>
          <w:rFonts w:hint="eastAsia" w:asciiTheme="minorEastAsia" w:hAnsiTheme="minorEastAsia" w:eastAsiaTheme="minorEastAsia"/>
          <w:b/>
          <w:sz w:val="32"/>
          <w:szCs w:val="32"/>
        </w:rPr>
        <w:t>理财产品风险揭示书</w:t>
      </w:r>
    </w:p>
    <w:p>
      <w:pPr>
        <w:autoSpaceDE w:val="0"/>
        <w:autoSpaceDN w:val="0"/>
        <w:adjustRightInd w:val="0"/>
        <w:spacing w:line="360" w:lineRule="auto"/>
        <w:jc w:val="center"/>
        <w:rPr>
          <w:rFonts w:asciiTheme="minorEastAsia" w:hAnsiTheme="minorEastAsia" w:eastAsiaTheme="minorEastAsia"/>
          <w:kern w:val="0"/>
        </w:rPr>
      </w:pPr>
      <w:r>
        <w:rPr>
          <w:rFonts w:hint="eastAsia" w:asciiTheme="minorEastAsia" w:hAnsiTheme="minorEastAsia" w:eastAsiaTheme="minorEastAsia"/>
          <w:b/>
          <w:kern w:val="0"/>
        </w:rPr>
        <w:t>“理财非存款、产品有风险、投资须谨慎</w:t>
      </w:r>
      <w:r>
        <w:rPr>
          <w:rFonts w:hint="eastAsia" w:asciiTheme="minorEastAsia" w:hAnsiTheme="minorEastAsia" w:eastAsiaTheme="minorEastAsia"/>
          <w:kern w:val="0"/>
        </w:rPr>
        <w:t>”</w:t>
      </w:r>
    </w:p>
    <w:p>
      <w:pPr>
        <w:autoSpaceDE w:val="0"/>
        <w:autoSpaceDN w:val="0"/>
        <w:spacing w:line="360" w:lineRule="exact"/>
        <w:rPr>
          <w:rFonts w:ascii="宋体" w:cs="宋体"/>
          <w:kern w:val="0"/>
        </w:rPr>
      </w:pPr>
      <w:r>
        <w:rPr>
          <w:rFonts w:hint="eastAsia" w:ascii="宋体" w:hAnsi="宋体" w:cs="宋体"/>
          <w:kern w:val="0"/>
        </w:rPr>
        <w:t>尊敬的理财客户：</w:t>
      </w:r>
    </w:p>
    <w:p>
      <w:pPr>
        <w:autoSpaceDE w:val="0"/>
        <w:autoSpaceDN w:val="0"/>
        <w:spacing w:line="360" w:lineRule="exact"/>
        <w:ind w:firstLine="420" w:firstLineChars="200"/>
        <w:rPr>
          <w:rFonts w:ascii="宋体" w:cs="宋体"/>
          <w:kern w:val="0"/>
        </w:rPr>
      </w:pPr>
      <w:r>
        <w:rPr>
          <w:rFonts w:hint="eastAsia" w:ascii="宋体" w:hAnsi="宋体" w:cs="宋体"/>
          <w:kern w:val="0"/>
        </w:rPr>
        <w:t>本理财产品（也称理财计划，下同）：桐庐农商银行丰收信福封闭净值型</w:t>
      </w:r>
      <w:r>
        <w:rPr>
          <w:rFonts w:ascii="宋体" w:hAnsi="宋体" w:cs="宋体"/>
          <w:kern w:val="0"/>
        </w:rPr>
        <w:t>2024</w:t>
      </w:r>
      <w:r>
        <w:rPr>
          <w:rFonts w:hint="eastAsia" w:ascii="宋体" w:hAnsi="宋体" w:cs="宋体"/>
          <w:kern w:val="0"/>
        </w:rPr>
        <w:t>年第23期理财产品，</w:t>
      </w:r>
      <w:r>
        <w:rPr>
          <w:rFonts w:hint="eastAsia" w:cs="宋体" w:asciiTheme="minorEastAsia" w:hAnsiTheme="minorEastAsia" w:eastAsiaTheme="minorEastAsia"/>
          <w:kern w:val="0"/>
        </w:rPr>
        <w:t>期限</w:t>
      </w:r>
      <w:r>
        <w:rPr>
          <w:rFonts w:hint="eastAsia" w:ascii="宋体" w:hAnsi="宋体" w:cs="宋体"/>
          <w:kern w:val="0"/>
        </w:rPr>
        <w:t>365</w:t>
      </w:r>
      <w:r>
        <w:rPr>
          <w:rFonts w:hint="eastAsia" w:cs="宋体" w:asciiTheme="minorEastAsia" w:hAnsiTheme="minorEastAsia" w:eastAsiaTheme="minorEastAsia"/>
          <w:kern w:val="0"/>
        </w:rPr>
        <w:t>天，</w:t>
      </w:r>
      <w:r>
        <w:rPr>
          <w:rFonts w:hint="eastAsia" w:ascii="宋体" w:hAnsi="宋体" w:cs="宋体"/>
          <w:kern w:val="0"/>
        </w:rPr>
        <w:t>为</w:t>
      </w:r>
      <w:r>
        <w:rPr>
          <w:rFonts w:hint="eastAsia" w:ascii="宋体" w:hAnsi="宋体" w:cs="宋体"/>
          <w:b/>
          <w:kern w:val="0"/>
          <w:sz w:val="24"/>
          <w:szCs w:val="24"/>
        </w:rPr>
        <w:t>固定收益类非保本净值型</w:t>
      </w:r>
      <w:r>
        <w:rPr>
          <w:rFonts w:hint="eastAsia" w:ascii="宋体" w:hAnsi="宋体" w:cs="宋体"/>
          <w:bCs/>
          <w:kern w:val="0"/>
        </w:rPr>
        <w:t>理财产品</w:t>
      </w:r>
      <w:r>
        <w:rPr>
          <w:rFonts w:hint="eastAsia" w:ascii="宋体" w:hAnsi="宋体" w:cs="宋体"/>
          <w:b/>
          <w:kern w:val="0"/>
        </w:rPr>
        <w:t>。</w:t>
      </w:r>
      <w:r>
        <w:rPr>
          <w:rFonts w:hint="eastAsia" w:ascii="宋体" w:hAnsi="宋体" w:cs="宋体"/>
          <w:kern w:val="0"/>
        </w:rPr>
        <w:t>本产品有投资风险，不保证本金和收益，理财本金与收益可能会因市场变动而蒙受重大损失。产品净值可能会有波动，投资者持有的理财计划份额可能会有浮亏或浮盈，赎回的理财份额可能会损失部分本金，若到期日发生净值大幅度下降的最不利情形，投资者可能将遭受本金的重大损失。</w:t>
      </w:r>
      <w:r>
        <w:rPr>
          <w:rFonts w:ascii="宋体" w:hAnsi="宋体" w:cs="宋体"/>
          <w:kern w:val="0"/>
        </w:rPr>
        <w:t>桐庐农商银行</w:t>
      </w:r>
      <w:r>
        <w:rPr>
          <w:rFonts w:hint="eastAsia" w:ascii="宋体" w:hAnsi="宋体" w:cs="宋体"/>
          <w:kern w:val="0"/>
        </w:rPr>
        <w:t>对本产品的内部风险评级结果为</w:t>
      </w:r>
      <w:r>
        <w:rPr>
          <w:rFonts w:ascii="宋体" w:hAnsi="宋体" w:cs="宋体"/>
          <w:b/>
          <w:bCs/>
          <w:kern w:val="0"/>
          <w:sz w:val="28"/>
          <w:szCs w:val="28"/>
        </w:rPr>
        <w:t>PR2</w:t>
      </w:r>
      <w:r>
        <w:rPr>
          <w:rFonts w:ascii="宋体" w:cs="宋体"/>
          <w:kern w:val="0"/>
        </w:rPr>
        <w:t>,</w:t>
      </w:r>
      <w:r>
        <w:rPr>
          <w:rFonts w:hint="eastAsia" w:ascii="宋体" w:hAnsi="宋体" w:cs="宋体"/>
          <w:kern w:val="0"/>
        </w:rPr>
        <w:t>中低风险，本产品理财本金亏损的概率较小。</w:t>
      </w:r>
    </w:p>
    <w:p>
      <w:pPr>
        <w:autoSpaceDE w:val="0"/>
        <w:autoSpaceDN w:val="0"/>
        <w:spacing w:line="360" w:lineRule="exact"/>
        <w:ind w:firstLine="420" w:firstLineChars="200"/>
        <w:rPr>
          <w:rFonts w:ascii="宋体" w:cs="宋体"/>
          <w:b/>
          <w:kern w:val="0"/>
        </w:rPr>
      </w:pPr>
      <w:r>
        <w:rPr>
          <w:rFonts w:hint="eastAsia" w:ascii="宋体" w:hAnsi="宋体" w:cs="宋体"/>
          <w:b/>
          <w:bCs/>
          <w:kern w:val="0"/>
        </w:rPr>
        <w:t>您应仔细阅读理财产品风险揭示书、理财产品说明书、客户权益须知、理财产品协议全部条款</w:t>
      </w:r>
      <w:r>
        <w:rPr>
          <w:rFonts w:hint="eastAsia" w:ascii="宋体" w:hAnsi="宋体" w:cs="宋体"/>
          <w:kern w:val="0"/>
        </w:rPr>
        <w:t>，这些销售文件将共同构成客户与发行银行之间的理财交易合同（若通过丰收互联购买的，成功交易后视同为客户与</w:t>
      </w:r>
      <w:r>
        <w:rPr>
          <w:rFonts w:ascii="宋体" w:hAnsi="宋体" w:cs="宋体"/>
          <w:kern w:val="0"/>
        </w:rPr>
        <w:t>桐庐农商银行</w:t>
      </w:r>
      <w:r>
        <w:rPr>
          <w:rFonts w:hint="eastAsia" w:ascii="宋体" w:hAnsi="宋体" w:cs="宋体"/>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pPr>
        <w:autoSpaceDE w:val="0"/>
        <w:autoSpaceDN w:val="0"/>
        <w:spacing w:line="360" w:lineRule="exact"/>
        <w:ind w:firstLine="420"/>
        <w:rPr>
          <w:rFonts w:ascii="宋体" w:cs="宋体"/>
          <w:b/>
          <w:bCs/>
        </w:rPr>
      </w:pPr>
      <w:r>
        <w:rPr>
          <w:rFonts w:hint="eastAsia" w:ascii="宋体" w:hAnsi="宋体" w:cs="宋体"/>
          <w:b/>
          <w:bCs/>
        </w:rPr>
        <w:t>一、一般风险提示</w:t>
      </w:r>
    </w:p>
    <w:p>
      <w:pPr>
        <w:autoSpaceDE w:val="0"/>
        <w:autoSpaceDN w:val="0"/>
        <w:spacing w:line="360" w:lineRule="exact"/>
        <w:ind w:firstLine="420"/>
        <w:rPr>
          <w:rFonts w:ascii="宋体" w:cs="宋体"/>
          <w:b/>
          <w:bCs/>
        </w:rPr>
      </w:pPr>
      <w:r>
        <w:rPr>
          <w:rFonts w:ascii="宋体" w:hAnsi="宋体" w:cs="宋体"/>
          <w:b/>
          <w:bCs/>
        </w:rPr>
        <w:t>1.</w:t>
      </w:r>
      <w:r>
        <w:rPr>
          <w:rFonts w:hint="eastAsia" w:ascii="宋体" w:hAnsi="宋体" w:cs="宋体"/>
          <w:b/>
          <w:bCs/>
        </w:rPr>
        <w:t>本金损失风险</w:t>
      </w:r>
    </w:p>
    <w:p>
      <w:pPr>
        <w:autoSpaceDE w:val="0"/>
        <w:autoSpaceDN w:val="0"/>
        <w:spacing w:line="360" w:lineRule="exact"/>
        <w:ind w:firstLine="420"/>
        <w:rPr>
          <w:rFonts w:ascii="宋体" w:cs="宋体"/>
          <w:b/>
          <w:bCs/>
        </w:rPr>
      </w:pPr>
      <w:r>
        <w:rPr>
          <w:rFonts w:hint="eastAsia" w:ascii="宋体" w:hAnsi="宋体" w:cs="宋体"/>
          <w:b/>
          <w:bCs/>
        </w:rPr>
        <w:t>管理人依照恪尽职守、诚实信用、谨慎勤勉的原则管理和运用理财产品财产，但不保证理财产品财产中的认购资金本金不受损失，也不保证一定盈利及最低收益。</w:t>
      </w:r>
    </w:p>
    <w:p>
      <w:pPr>
        <w:autoSpaceDE w:val="0"/>
        <w:autoSpaceDN w:val="0"/>
        <w:spacing w:line="360" w:lineRule="exact"/>
        <w:ind w:firstLine="420"/>
        <w:rPr>
          <w:rFonts w:ascii="宋体" w:cs="宋体"/>
          <w:b/>
          <w:bCs/>
        </w:rPr>
      </w:pPr>
      <w:r>
        <w:rPr>
          <w:rFonts w:hint="eastAsia" w:ascii="宋体" w:hAnsi="宋体" w:cs="宋体"/>
          <w:b/>
          <w:bCs/>
        </w:rPr>
        <w:t>管理人评定的本产品风险等级为</w:t>
      </w:r>
      <w:r>
        <w:rPr>
          <w:rFonts w:ascii="宋体" w:hAnsi="宋体" w:cs="宋体"/>
          <w:b/>
          <w:bCs/>
        </w:rPr>
        <w:t>PR2</w:t>
      </w:r>
      <w:r>
        <w:rPr>
          <w:rFonts w:ascii="宋体" w:cs="宋体"/>
          <w:b/>
          <w:bCs/>
        </w:rPr>
        <w:t>-</w:t>
      </w:r>
      <w:r>
        <w:rPr>
          <w:rFonts w:hint="eastAsia" w:ascii="宋体" w:hAnsi="宋体" w:cs="宋体"/>
          <w:b/>
          <w:bCs/>
        </w:rPr>
        <w:t>中低风险，适合能够承受</w:t>
      </w:r>
      <w:r>
        <w:rPr>
          <w:rFonts w:ascii="宋体" w:hAnsi="宋体" w:cs="宋体"/>
          <w:b/>
          <w:bCs/>
        </w:rPr>
        <w:t>PR2</w:t>
      </w:r>
      <w:r>
        <w:rPr>
          <w:rFonts w:ascii="宋体" w:cs="宋体"/>
          <w:b/>
          <w:bCs/>
        </w:rPr>
        <w:t>-</w:t>
      </w:r>
      <w:r>
        <w:rPr>
          <w:rFonts w:hint="eastAsia" w:ascii="宋体" w:hAnsi="宋体" w:cs="宋体"/>
          <w:b/>
          <w:bCs/>
        </w:rPr>
        <w:t>中低风险及以上风险等级的投资者。</w:t>
      </w:r>
    </w:p>
    <w:p>
      <w:pPr>
        <w:autoSpaceDE w:val="0"/>
        <w:autoSpaceDN w:val="0"/>
        <w:spacing w:line="360" w:lineRule="exact"/>
        <w:ind w:firstLine="420"/>
        <w:rPr>
          <w:rFonts w:ascii="宋体" w:cs="宋体"/>
          <w:b/>
          <w:bCs/>
        </w:rPr>
      </w:pPr>
      <w:r>
        <w:rPr>
          <w:rFonts w:ascii="宋体" w:hAnsi="宋体" w:cs="宋体"/>
          <w:b/>
          <w:bCs/>
        </w:rPr>
        <w:t>2.</w:t>
      </w:r>
      <w:r>
        <w:rPr>
          <w:rFonts w:hint="eastAsia" w:ascii="宋体" w:hAnsi="宋体" w:cs="宋体"/>
          <w:b/>
          <w:bCs/>
        </w:rPr>
        <w:t>市场风险</w:t>
      </w:r>
    </w:p>
    <w:p>
      <w:pPr>
        <w:autoSpaceDE w:val="0"/>
        <w:autoSpaceDN w:val="0"/>
        <w:spacing w:line="360" w:lineRule="exact"/>
        <w:ind w:firstLine="420"/>
        <w:rPr>
          <w:rFonts w:ascii="宋体" w:cs="宋体"/>
          <w:b/>
          <w:bCs/>
        </w:rPr>
      </w:pPr>
      <w:r>
        <w:rPr>
          <w:rFonts w:hint="eastAsia" w:ascii="宋体" w:hAnsi="宋体" w:cs="宋体"/>
          <w:b/>
          <w:bCs/>
        </w:rPr>
        <w:t>理财产品的投资品种价格因受经济因素、政治因素、投资心理和交易制度等各种因素影响而引起的波动，导致收益水平变化、理财产品的单位净值出现一定回撤产生的风险。市场风险主要包括：</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1</w:t>
      </w:r>
      <w:r>
        <w:rPr>
          <w:rFonts w:hint="eastAsia" w:ascii="宋体" w:hAnsi="宋体" w:cs="宋体"/>
          <w:b/>
          <w:bCs/>
        </w:rPr>
        <w:t>）政策风险。货币政策、财政政策、产业政策等国家宏观经济政策的变化对资本市场产生一定的影响，导致市场价格波动，影响理财产品的收益而产生风险。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2</w:t>
      </w:r>
      <w:r>
        <w:rPr>
          <w:rFonts w:hint="eastAsia" w:ascii="宋体" w:hAnsi="宋体" w:cs="宋体"/>
          <w:b/>
          <w:bCs/>
        </w:rPr>
        <w:t>）经济周期风险。经济运行具有周期性的特点，受其影响，理财产品的收益水平也会随之发生变化，从而产生风险。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3</w:t>
      </w:r>
      <w:r>
        <w:rPr>
          <w:rFonts w:hint="eastAsia" w:ascii="宋体" w:hAnsi="宋体" w:cs="宋体"/>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4</w:t>
      </w:r>
      <w:r>
        <w:rPr>
          <w:rFonts w:hint="eastAsia" w:ascii="宋体" w:hAnsi="宋体" w:cs="宋体"/>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5</w:t>
      </w:r>
      <w:r>
        <w:rPr>
          <w:rFonts w:hint="eastAsia" w:ascii="宋体" w:hAnsi="宋体" w:cs="宋体"/>
          <w:b/>
          <w:bCs/>
        </w:rPr>
        <w:t>）购买力风险。理财产品的利润将主要通过现金形式来分配，而现金可能因为通货膨胀的影响而导致购买力下降，从而使理财产品的实际收益下降。</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6</w:t>
      </w:r>
      <w:r>
        <w:rPr>
          <w:rFonts w:hint="eastAsia" w:ascii="宋体" w:hAnsi="宋体" w:cs="宋体"/>
          <w:b/>
          <w:bCs/>
        </w:rPr>
        <w:t>）再投资风险。债权类资产获得的本息收入或者回购到期的资金，可能由于市场利率的下降面临资金再投资的收益率低于原来利率，从而对本计划产生再投资风险。</w:t>
      </w:r>
    </w:p>
    <w:p>
      <w:pPr>
        <w:autoSpaceDE w:val="0"/>
        <w:autoSpaceDN w:val="0"/>
        <w:spacing w:line="360" w:lineRule="exact"/>
        <w:ind w:firstLine="420"/>
        <w:rPr>
          <w:rFonts w:ascii="宋体" w:cs="宋体"/>
          <w:b/>
          <w:bCs/>
        </w:rPr>
      </w:pPr>
      <w:r>
        <w:rPr>
          <w:rFonts w:ascii="宋体" w:hAnsi="宋体" w:cs="宋体"/>
          <w:b/>
          <w:bCs/>
        </w:rPr>
        <w:t>3.</w:t>
      </w:r>
      <w:r>
        <w:rPr>
          <w:rFonts w:hint="eastAsia" w:ascii="宋体" w:hAnsi="宋体" w:cs="宋体"/>
          <w:b/>
          <w:bCs/>
        </w:rPr>
        <w:t>管理风险</w:t>
      </w:r>
    </w:p>
    <w:p>
      <w:pPr>
        <w:autoSpaceDE w:val="0"/>
        <w:autoSpaceDN w:val="0"/>
        <w:spacing w:line="360" w:lineRule="exact"/>
        <w:ind w:firstLine="420"/>
        <w:rPr>
          <w:rFonts w:ascii="宋体" w:cs="宋体"/>
          <w:b/>
          <w:bCs/>
        </w:rPr>
      </w:pPr>
      <w:r>
        <w:rPr>
          <w:rFonts w:hint="eastAsia" w:ascii="宋体" w:hAnsi="宋体" w:cs="宋体"/>
          <w:b/>
          <w:bCs/>
        </w:rPr>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pPr>
        <w:autoSpaceDE w:val="0"/>
        <w:autoSpaceDN w:val="0"/>
        <w:spacing w:line="360" w:lineRule="exact"/>
        <w:ind w:firstLine="420"/>
        <w:rPr>
          <w:rFonts w:ascii="宋体" w:cs="宋体"/>
          <w:b/>
          <w:bCs/>
        </w:rPr>
      </w:pPr>
      <w:r>
        <w:rPr>
          <w:rFonts w:ascii="宋体" w:hAnsi="宋体" w:cs="宋体"/>
          <w:b/>
          <w:bCs/>
        </w:rPr>
        <w:t>4.</w:t>
      </w:r>
      <w:r>
        <w:rPr>
          <w:rFonts w:hint="eastAsia" w:ascii="宋体" w:hAnsi="宋体" w:cs="宋体"/>
          <w:b/>
          <w:bCs/>
        </w:rPr>
        <w:t>流动性风险</w:t>
      </w:r>
    </w:p>
    <w:p>
      <w:pPr>
        <w:autoSpaceDE w:val="0"/>
        <w:autoSpaceDN w:val="0"/>
        <w:spacing w:line="360" w:lineRule="exact"/>
        <w:ind w:firstLine="420"/>
        <w:rPr>
          <w:rFonts w:ascii="宋体" w:cs="宋体"/>
          <w:b/>
          <w:bCs/>
        </w:rPr>
      </w:pPr>
      <w:r>
        <w:rPr>
          <w:rFonts w:hint="eastAsia" w:ascii="宋体" w:hAnsi="宋体" w:cs="宋体"/>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1</w:t>
      </w:r>
      <w:r>
        <w:rPr>
          <w:rFonts w:hint="eastAsia" w:ascii="宋体" w:hAnsi="宋体" w:cs="宋体"/>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pPr>
        <w:autoSpaceDE w:val="0"/>
        <w:autoSpaceDN w:val="0"/>
        <w:spacing w:line="360" w:lineRule="exact"/>
        <w:ind w:firstLine="420"/>
        <w:rPr>
          <w:rFonts w:ascii="宋体" w:cs="宋体"/>
          <w:b/>
          <w:bCs/>
        </w:rPr>
      </w:pPr>
      <w:r>
        <w:rPr>
          <w:rFonts w:hint="eastAsia" w:ascii="宋体" w:hAnsi="宋体" w:cs="宋体"/>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买入卖出行为对上述证券价格产生比较大的影响，增加上述证券的建仓成本或变现成本。</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2</w:t>
      </w:r>
      <w:r>
        <w:rPr>
          <w:rFonts w:hint="eastAsia" w:ascii="宋体" w:hAnsi="宋体" w:cs="宋体"/>
          <w:b/>
          <w:bCs/>
        </w:rPr>
        <w:t>）理财产品中的资产不能应付可能出现的投资者巨额退出或大额退出的风险。在理财产品开放期间，可能会发生巨额退出或大额退出的情形，巨额退出或大额退出可能会产生本计划仓位调整的困难，导致流动性风险，甚至影响本计划份额净值。</w:t>
      </w:r>
    </w:p>
    <w:p>
      <w:pPr>
        <w:autoSpaceDE w:val="0"/>
        <w:autoSpaceDN w:val="0"/>
        <w:spacing w:line="360" w:lineRule="exact"/>
        <w:ind w:firstLine="420"/>
        <w:rPr>
          <w:rFonts w:ascii="宋体" w:cs="宋体"/>
          <w:b/>
          <w:bCs/>
        </w:rPr>
      </w:pPr>
      <w:r>
        <w:rPr>
          <w:rFonts w:ascii="宋体" w:hAnsi="宋体" w:cs="宋体"/>
          <w:b/>
          <w:bCs/>
        </w:rPr>
        <w:t>5.</w:t>
      </w:r>
      <w:r>
        <w:rPr>
          <w:rFonts w:hint="eastAsia" w:ascii="宋体" w:hAnsi="宋体" w:cs="宋体"/>
          <w:b/>
          <w:bCs/>
        </w:rPr>
        <w:t>信用风险</w:t>
      </w:r>
    </w:p>
    <w:p>
      <w:pPr>
        <w:autoSpaceDE w:val="0"/>
        <w:autoSpaceDN w:val="0"/>
        <w:spacing w:line="360" w:lineRule="exact"/>
        <w:ind w:firstLine="420"/>
        <w:rPr>
          <w:rFonts w:ascii="宋体" w:cs="宋体"/>
          <w:b/>
          <w:bCs/>
        </w:rPr>
      </w:pPr>
      <w:r>
        <w:rPr>
          <w:rFonts w:hint="eastAsia" w:ascii="宋体" w:hAnsi="宋体" w:cs="宋体"/>
          <w:b/>
          <w:bCs/>
        </w:rPr>
        <w:t>信用风险主要是指因债务人、交易对手或持仓金融头寸的发行人未能履约（包括未能按时足额还本付息、未能按时全面履约等）或信用资质恶化而给计划资产带来损失的风险。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1</w:t>
      </w:r>
      <w:r>
        <w:rPr>
          <w:rFonts w:hint="eastAsia" w:ascii="宋体" w:hAnsi="宋体" w:cs="宋体"/>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2</w:t>
      </w:r>
      <w:r>
        <w:rPr>
          <w:rFonts w:hint="eastAsia" w:ascii="宋体" w:hAnsi="宋体" w:cs="宋体"/>
          <w:b/>
          <w:bCs/>
        </w:rPr>
        <w:t>）交易对手的信用风险。交易对手未能履行合约，或在交易期间未如约支付已借出证券产生的所有股息、利息和分红，将使理财产品面临交易对手的信用风险。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3</w:t>
      </w:r>
      <w:r>
        <w:rPr>
          <w:rFonts w:hint="eastAsia" w:ascii="宋体" w:hAnsi="宋体" w:cs="宋体"/>
          <w:b/>
          <w:bCs/>
        </w:rPr>
        <w:t>）本计划投资的债权类资产中可能包含中低评级信用债品种，其信用风险可能大大高于国债和高评级信用债品种，存在因所投品种未按时足额兑付，给投资者带来大额损失的可能性。</w:t>
      </w:r>
    </w:p>
    <w:p>
      <w:pPr>
        <w:autoSpaceDE w:val="0"/>
        <w:autoSpaceDN w:val="0"/>
        <w:spacing w:line="360" w:lineRule="exact"/>
        <w:ind w:firstLine="420"/>
        <w:rPr>
          <w:rFonts w:ascii="宋体" w:cs="宋体"/>
          <w:b/>
          <w:bCs/>
        </w:rPr>
      </w:pPr>
      <w:r>
        <w:rPr>
          <w:rFonts w:hint="eastAsia" w:ascii="宋体" w:hAnsi="宋体" w:cs="宋体"/>
          <w:b/>
          <w:bCs/>
        </w:rPr>
        <w:t>如本计划所投资的债权类品种中的一个或多个出现因流动性匮乏等原因无法按时变现，或因信用恶化出现发行人延迟或无法按时足额还本付息，截至计划终止清算前仍未处置完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pPr>
        <w:autoSpaceDE w:val="0"/>
        <w:autoSpaceDN w:val="0"/>
        <w:spacing w:line="360" w:lineRule="exact"/>
        <w:ind w:firstLine="420"/>
        <w:rPr>
          <w:rFonts w:ascii="宋体" w:cs="宋体"/>
          <w:b/>
          <w:bCs/>
        </w:rPr>
      </w:pPr>
      <w:r>
        <w:rPr>
          <w:rFonts w:ascii="宋体" w:hAnsi="宋体" w:cs="宋体"/>
          <w:b/>
          <w:bCs/>
        </w:rPr>
        <w:t>6.</w:t>
      </w:r>
      <w:r>
        <w:rPr>
          <w:rFonts w:hint="eastAsia" w:ascii="宋体" w:hAnsi="宋体" w:cs="宋体"/>
          <w:b/>
          <w:bCs/>
        </w:rPr>
        <w:t>募集失败风险</w:t>
      </w:r>
    </w:p>
    <w:p>
      <w:pPr>
        <w:autoSpaceDE w:val="0"/>
        <w:autoSpaceDN w:val="0"/>
        <w:spacing w:line="360" w:lineRule="exact"/>
        <w:ind w:firstLine="420"/>
        <w:rPr>
          <w:rFonts w:ascii="宋体" w:cs="宋体"/>
          <w:b/>
          <w:bCs/>
        </w:rPr>
      </w:pPr>
      <w:r>
        <w:rPr>
          <w:rFonts w:hint="eastAsia" w:ascii="宋体" w:hAnsi="宋体" w:cs="宋体"/>
          <w:b/>
          <w:bCs/>
        </w:rPr>
        <w:t>本计划的成立需符合相关法律法规的规定，本计划可能存在不能满足成立条件从而无法成立的风险。未能成立的资金将在</w:t>
      </w:r>
      <w:r>
        <w:rPr>
          <w:rFonts w:ascii="宋体" w:hAnsi="宋体" w:cs="宋体"/>
          <w:b/>
          <w:bCs/>
        </w:rPr>
        <w:t>T+2</w:t>
      </w:r>
      <w:r>
        <w:rPr>
          <w:rFonts w:hint="eastAsia" w:ascii="宋体" w:hAnsi="宋体" w:cs="宋体"/>
          <w:b/>
          <w:bCs/>
        </w:rPr>
        <w:t>个工作日原路径返回，期间以活期利率计息。</w:t>
      </w:r>
    </w:p>
    <w:p>
      <w:pPr>
        <w:autoSpaceDE w:val="0"/>
        <w:autoSpaceDN w:val="0"/>
        <w:spacing w:line="360" w:lineRule="exact"/>
        <w:ind w:firstLine="420"/>
        <w:rPr>
          <w:rFonts w:ascii="宋体" w:cs="宋体"/>
          <w:b/>
          <w:bCs/>
        </w:rPr>
      </w:pPr>
      <w:r>
        <w:rPr>
          <w:rFonts w:ascii="宋体" w:hAnsi="宋体" w:cs="宋体"/>
          <w:b/>
          <w:bCs/>
        </w:rPr>
        <w:t>7.</w:t>
      </w:r>
      <w:r>
        <w:rPr>
          <w:rFonts w:hint="eastAsia" w:ascii="宋体" w:hAnsi="宋体" w:cs="宋体"/>
          <w:b/>
          <w:bCs/>
        </w:rPr>
        <w:t>投资标的风险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1</w:t>
      </w:r>
      <w:r>
        <w:rPr>
          <w:rFonts w:hint="eastAsia" w:ascii="宋体" w:hAnsi="宋体" w:cs="宋体"/>
          <w:b/>
          <w:bCs/>
        </w:rPr>
        <w:t>）城投债的特别风险</w:t>
      </w:r>
    </w:p>
    <w:p>
      <w:pPr>
        <w:autoSpaceDE w:val="0"/>
        <w:autoSpaceDN w:val="0"/>
        <w:spacing w:line="360" w:lineRule="exact"/>
        <w:ind w:firstLine="420"/>
        <w:rPr>
          <w:rFonts w:ascii="宋体" w:cs="宋体"/>
          <w:b/>
          <w:bCs/>
        </w:rPr>
      </w:pPr>
      <w:r>
        <w:rPr>
          <w:rFonts w:hint="eastAsia" w:ascii="宋体" w:hAnsi="宋体" w:cs="宋体"/>
          <w:b/>
          <w:bCs/>
        </w:rPr>
        <w:t>本计划可能投资于城投债，城投债包含如下风险：</w:t>
      </w:r>
    </w:p>
    <w:p>
      <w:pPr>
        <w:autoSpaceDE w:val="0"/>
        <w:autoSpaceDN w:val="0"/>
        <w:spacing w:line="360" w:lineRule="exact"/>
        <w:ind w:firstLine="420"/>
        <w:rPr>
          <w:rFonts w:ascii="宋体" w:cs="宋体"/>
          <w:b/>
          <w:bCs/>
        </w:rPr>
      </w:pPr>
      <w:r>
        <w:rPr>
          <w:rFonts w:hint="eastAsia" w:ascii="宋体" w:hAnsi="宋体" w:cs="宋体"/>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pPr>
        <w:autoSpaceDE w:val="0"/>
        <w:autoSpaceDN w:val="0"/>
        <w:spacing w:line="360" w:lineRule="exact"/>
        <w:ind w:firstLine="420"/>
        <w:rPr>
          <w:rFonts w:ascii="宋体" w:cs="宋体"/>
          <w:b/>
          <w:bCs/>
        </w:rPr>
      </w:pPr>
      <w:r>
        <w:rPr>
          <w:rFonts w:hint="eastAsia" w:ascii="宋体" w:hAnsi="宋体" w:cs="宋体"/>
          <w:b/>
          <w:bCs/>
        </w:rPr>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pPr>
        <w:autoSpaceDE w:val="0"/>
        <w:autoSpaceDN w:val="0"/>
        <w:spacing w:line="360" w:lineRule="exact"/>
        <w:ind w:firstLine="420"/>
        <w:rPr>
          <w:rFonts w:ascii="宋体" w:cs="宋体"/>
          <w:b/>
          <w:bCs/>
        </w:rPr>
      </w:pPr>
      <w:r>
        <w:rPr>
          <w:rFonts w:hint="eastAsia" w:ascii="宋体" w:hAnsi="宋体" w:cs="宋体"/>
          <w:b/>
          <w:bCs/>
        </w:rPr>
        <w:t>土地价格波动风险。城投公司存货中土地占比较高，未来土地价格尤其是二、三线城市土地价格存在进一步下跌的可能，对于城投公司所拥有的大量土地存货应关注土地价格波动风险，可能存在资产减值风险。</w:t>
      </w:r>
    </w:p>
    <w:p>
      <w:pPr>
        <w:autoSpaceDE w:val="0"/>
        <w:autoSpaceDN w:val="0"/>
        <w:spacing w:line="360" w:lineRule="exact"/>
        <w:ind w:firstLine="420"/>
        <w:rPr>
          <w:rFonts w:ascii="宋体" w:cs="宋体"/>
          <w:b/>
          <w:bCs/>
        </w:rPr>
      </w:pPr>
      <w:r>
        <w:rPr>
          <w:rFonts w:hint="eastAsia" w:ascii="宋体" w:hAnsi="宋体" w:cs="宋体"/>
          <w:b/>
          <w:bCs/>
        </w:rPr>
        <w:t>融资平台政策变化风险。监管政策变动可能对城投公司生产、经营以及投融资活动产生的风险。</w:t>
      </w:r>
    </w:p>
    <w:p>
      <w:pPr>
        <w:autoSpaceDE w:val="0"/>
        <w:autoSpaceDN w:val="0"/>
        <w:spacing w:line="360" w:lineRule="exact"/>
        <w:ind w:firstLine="420"/>
        <w:rPr>
          <w:rFonts w:ascii="宋体" w:cs="宋体"/>
          <w:b/>
          <w:bCs/>
        </w:rPr>
      </w:pPr>
      <w:r>
        <w:rPr>
          <w:rFonts w:hint="eastAsia" w:ascii="宋体" w:hAnsi="宋体" w:cs="宋体"/>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pPr>
        <w:autoSpaceDE w:val="0"/>
        <w:autoSpaceDN w:val="0"/>
        <w:spacing w:line="360" w:lineRule="exact"/>
        <w:ind w:firstLine="420"/>
        <w:rPr>
          <w:rFonts w:ascii="宋体" w:cs="宋体"/>
          <w:b/>
          <w:bCs/>
        </w:rPr>
      </w:pPr>
      <w:r>
        <w:rPr>
          <w:rFonts w:hint="eastAsia" w:ascii="宋体" w:hAnsi="宋体" w:cs="宋体"/>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2</w:t>
      </w:r>
      <w:r>
        <w:rPr>
          <w:rFonts w:hint="eastAsia" w:ascii="宋体" w:hAnsi="宋体" w:cs="宋体"/>
          <w:b/>
          <w:bCs/>
        </w:rPr>
        <w:t>）所投资资产支持证券的特别风险</w:t>
      </w:r>
    </w:p>
    <w:p>
      <w:pPr>
        <w:autoSpaceDE w:val="0"/>
        <w:autoSpaceDN w:val="0"/>
        <w:spacing w:line="360" w:lineRule="exact"/>
        <w:ind w:firstLine="420"/>
        <w:rPr>
          <w:rFonts w:ascii="宋体" w:cs="宋体"/>
          <w:b/>
          <w:bCs/>
        </w:rPr>
      </w:pPr>
      <w:r>
        <w:rPr>
          <w:rFonts w:hint="eastAsia" w:ascii="宋体" w:hAnsi="宋体" w:cs="宋体"/>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3</w:t>
      </w:r>
      <w:r>
        <w:rPr>
          <w:rFonts w:hint="eastAsia" w:ascii="宋体" w:hAnsi="宋体" w:cs="宋体"/>
          <w:b/>
          <w:bCs/>
        </w:rPr>
        <w:t>）可转换债券、可交换债券的特别风险</w:t>
      </w:r>
    </w:p>
    <w:p>
      <w:pPr>
        <w:autoSpaceDE w:val="0"/>
        <w:autoSpaceDN w:val="0"/>
        <w:spacing w:line="360" w:lineRule="exact"/>
        <w:ind w:firstLine="420"/>
        <w:rPr>
          <w:rFonts w:ascii="宋体" w:cs="宋体"/>
          <w:b/>
          <w:bCs/>
        </w:rPr>
      </w:pPr>
      <w:r>
        <w:rPr>
          <w:rFonts w:hint="eastAsia" w:ascii="宋体" w:hAnsi="宋体" w:cs="宋体"/>
          <w:b/>
          <w:bCs/>
        </w:rPr>
        <w:t>本计划可能投资于可转换债券、可交换债券，其市场风险不仅来自于市场利率变化，其转股期权价值也随标的股票价格波动而波动，从而导致可转换债券、可交换债券的二级市场价格等变现价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4</w:t>
      </w:r>
      <w:r>
        <w:rPr>
          <w:rFonts w:hint="eastAsia" w:ascii="宋体" w:hAnsi="宋体" w:cs="宋体"/>
          <w:b/>
          <w:bCs/>
        </w:rPr>
        <w:t>）所投二级资本债的特别风险</w:t>
      </w:r>
    </w:p>
    <w:p>
      <w:pPr>
        <w:autoSpaceDE w:val="0"/>
        <w:autoSpaceDN w:val="0"/>
        <w:spacing w:line="360" w:lineRule="exact"/>
        <w:ind w:firstLine="420"/>
        <w:rPr>
          <w:rFonts w:ascii="宋体" w:cs="宋体"/>
          <w:b/>
          <w:bCs/>
        </w:rPr>
      </w:pPr>
      <w:r>
        <w:rPr>
          <w:rFonts w:hint="eastAsia" w:ascii="宋体" w:hAnsi="宋体" w:cs="宋体"/>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pPr>
        <w:autoSpaceDE w:val="0"/>
        <w:autoSpaceDN w:val="0"/>
        <w:spacing w:line="360" w:lineRule="exact"/>
        <w:ind w:firstLine="420"/>
        <w:rPr>
          <w:rFonts w:ascii="宋体" w:cs="宋体"/>
          <w:b/>
          <w:bCs/>
        </w:rPr>
      </w:pPr>
      <w:r>
        <w:rPr>
          <w:rFonts w:hint="eastAsia" w:ascii="宋体" w:hAnsi="宋体" w:cs="宋体"/>
          <w:b/>
          <w:bCs/>
        </w:rPr>
        <w:t>针对含有减记条款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资本债被永久性注销，且在任何条件下不再被恢复，此种情况下，本计划面临投资的二级资本债的全部本金和利息将无法得到偿付，全部确认为损失的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5</w:t>
      </w:r>
      <w:r>
        <w:rPr>
          <w:rFonts w:hint="eastAsia" w:ascii="宋体" w:hAnsi="宋体" w:cs="宋体"/>
          <w:b/>
          <w:bCs/>
        </w:rPr>
        <w:t>）所投资公募基金的特别风险</w:t>
      </w:r>
    </w:p>
    <w:p>
      <w:pPr>
        <w:autoSpaceDE w:val="0"/>
        <w:autoSpaceDN w:val="0"/>
        <w:spacing w:line="360" w:lineRule="exact"/>
        <w:ind w:firstLine="420"/>
        <w:rPr>
          <w:rFonts w:ascii="宋体" w:cs="宋体"/>
          <w:b/>
          <w:bCs/>
        </w:rPr>
      </w:pPr>
      <w:r>
        <w:rPr>
          <w:rFonts w:hint="eastAsia" w:ascii="宋体" w:hAnsi="宋体" w:cs="宋体"/>
          <w:b/>
          <w:bCs/>
        </w:rPr>
        <w:t>本计划可能投资于公募基金，管理人对发行公募基金公司的内控信息获取不全，控制力不强，并且所投资公募基金的管理人的知识、经验、判断、决策、技能等，会影响其对信息的占有和对经济形势、金融市场价格走势的判断，如变更投资经理、管理人判断有误、获取信息不全、或对投资工具使用不当等影响公募基金的收益水平，从而产生风险。</w:t>
      </w:r>
    </w:p>
    <w:p>
      <w:pPr>
        <w:autoSpaceDE w:val="0"/>
        <w:autoSpaceDN w:val="0"/>
        <w:spacing w:line="360" w:lineRule="exact"/>
        <w:ind w:firstLine="420"/>
        <w:rPr>
          <w:rFonts w:ascii="宋体" w:cs="宋体"/>
          <w:b/>
          <w:bCs/>
        </w:rPr>
      </w:pPr>
      <w:r>
        <w:rPr>
          <w:rFonts w:hint="eastAsia" w:ascii="宋体" w:hAnsi="宋体" w:cs="宋体"/>
          <w:b/>
          <w:bCs/>
        </w:rPr>
        <w:t>本计划可能投资于</w:t>
      </w:r>
      <w:r>
        <w:rPr>
          <w:rFonts w:ascii="宋体" w:hAnsi="宋体" w:cs="宋体"/>
          <w:b/>
          <w:bCs/>
        </w:rPr>
        <w:t>QDII</w:t>
      </w:r>
      <w:r>
        <w:rPr>
          <w:rFonts w:hint="eastAsia" w:ascii="宋体" w:hAnsi="宋体" w:cs="宋体"/>
          <w:b/>
          <w:bCs/>
        </w:rPr>
        <w:t>基金，由于境外投资受到各个国家</w:t>
      </w:r>
      <w:r>
        <w:rPr>
          <w:rFonts w:ascii="宋体" w:hAnsi="宋体" w:cs="宋体"/>
          <w:b/>
          <w:bCs/>
        </w:rPr>
        <w:t>/</w:t>
      </w:r>
      <w:r>
        <w:rPr>
          <w:rFonts w:hint="eastAsia" w:ascii="宋体" w:hAnsi="宋体" w:cs="宋体"/>
          <w:b/>
          <w:bCs/>
        </w:rPr>
        <w:t>地区宏观经济运行情况、货币政策、财政政策、产业政策、税法、汇率、交易规则、结算、托管以及其他运作风险等多种因素的影响，上述因素的波动和变化可能会使</w:t>
      </w:r>
      <w:r>
        <w:rPr>
          <w:rFonts w:ascii="宋体" w:hAnsi="宋体" w:cs="宋体"/>
          <w:b/>
          <w:bCs/>
        </w:rPr>
        <w:t>QDII</w:t>
      </w:r>
      <w:r>
        <w:rPr>
          <w:rFonts w:hint="eastAsia" w:ascii="宋体" w:hAnsi="宋体" w:cs="宋体"/>
          <w:b/>
          <w:bCs/>
        </w:rPr>
        <w:t>基金资产面临潜在风险。此外，境外投资的成本、境外市场的波动性也可能高于国内市场，存在一定的市场风险。</w:t>
      </w:r>
    </w:p>
    <w:p>
      <w:pPr>
        <w:autoSpaceDE w:val="0"/>
        <w:autoSpaceDN w:val="0"/>
        <w:spacing w:line="360" w:lineRule="exact"/>
        <w:ind w:firstLine="420"/>
        <w:rPr>
          <w:rFonts w:ascii="宋体" w:cs="宋体"/>
          <w:b/>
          <w:bCs/>
        </w:rPr>
      </w:pPr>
      <w:r>
        <w:rPr>
          <w:rFonts w:hint="eastAsia" w:ascii="宋体" w:hAnsi="宋体" w:cs="宋体"/>
          <w:b/>
          <w:bCs/>
        </w:rPr>
        <w:t>本计划若通过第三方销售平台购买公募基金，尽管管理人、托管人将在购买时核实该第三方销售平台确属于已经公募基金管理人公开披露的销售机构，但仍可能存在第三方销售平台违反法律法规的规定或其与公募基金管理人的约定、擅自挪用本计划认（申）购基金、赎回基金、基金现金分红时的资金，从而可能导致的追偿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6</w:t>
      </w:r>
      <w:r>
        <w:rPr>
          <w:rFonts w:hint="eastAsia" w:ascii="宋体" w:hAnsi="宋体" w:cs="宋体"/>
          <w:b/>
          <w:bCs/>
        </w:rPr>
        <w:t>）参与债券正回购的风险</w:t>
      </w:r>
    </w:p>
    <w:p>
      <w:pPr>
        <w:autoSpaceDE w:val="0"/>
        <w:autoSpaceDN w:val="0"/>
        <w:spacing w:line="360" w:lineRule="exact"/>
        <w:ind w:firstLine="420"/>
        <w:rPr>
          <w:rFonts w:ascii="宋体" w:cs="宋体"/>
          <w:b/>
          <w:bCs/>
        </w:rPr>
      </w:pPr>
      <w:r>
        <w:rPr>
          <w:rFonts w:hint="eastAsia" w:ascii="宋体" w:hAnsi="宋体" w:cs="宋体"/>
          <w:b/>
          <w:bCs/>
        </w:rPr>
        <w:t>债券回购为提升计划的组合收益提供了可能，但也存在风险。</w:t>
      </w:r>
    </w:p>
    <w:p>
      <w:pPr>
        <w:autoSpaceDE w:val="0"/>
        <w:autoSpaceDN w:val="0"/>
        <w:spacing w:line="360" w:lineRule="exact"/>
        <w:ind w:firstLine="420"/>
        <w:rPr>
          <w:rFonts w:ascii="宋体" w:cs="宋体"/>
          <w:b/>
          <w:bCs/>
        </w:rPr>
      </w:pPr>
      <w:r>
        <w:rPr>
          <w:rFonts w:ascii="宋体" w:hAnsi="宋体" w:cs="宋体"/>
          <w:b/>
          <w:bCs/>
        </w:rPr>
        <w:t>1</w:t>
      </w:r>
      <w:r>
        <w:rPr>
          <w:rFonts w:hint="eastAsia" w:ascii="宋体" w:hAnsi="宋体" w:cs="宋体"/>
          <w:b/>
          <w:bCs/>
        </w:rPr>
        <w:t>）用于融资回购的债券将作为资产托管人相关结算备付金账户偿还融资回购到期购回款的质押券，若资产管理人债券回购交收违约，资产管理人和投资者面临结算公司依法对质押券进行处置的风险。</w:t>
      </w:r>
    </w:p>
    <w:p>
      <w:pPr>
        <w:autoSpaceDE w:val="0"/>
        <w:autoSpaceDN w:val="0"/>
        <w:spacing w:line="360" w:lineRule="exact"/>
        <w:ind w:firstLine="420"/>
        <w:rPr>
          <w:rFonts w:ascii="宋体" w:cs="宋体"/>
          <w:b/>
          <w:bCs/>
        </w:rPr>
      </w:pPr>
      <w:r>
        <w:rPr>
          <w:rFonts w:ascii="宋体" w:hAnsi="宋体" w:cs="宋体"/>
          <w:b/>
          <w:bCs/>
        </w:rPr>
        <w:t>2</w:t>
      </w:r>
      <w:r>
        <w:rPr>
          <w:rFonts w:hint="eastAsia" w:ascii="宋体" w:hAnsi="宋体" w:cs="宋体"/>
          <w:b/>
          <w:bCs/>
        </w:rPr>
        <w:t>）债券回购在对计划组合收益进行放大的同时，也对计划组合的波动性（标准差）进行了放大，即计划组合的风险将会加大。回购比例越高，风险暴露程度也就越高，对计划净值造成损失的可能性也就越大。</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7</w:t>
      </w:r>
      <w:r>
        <w:rPr>
          <w:rFonts w:hint="eastAsia" w:ascii="宋体" w:hAnsi="宋体" w:cs="宋体"/>
          <w:b/>
          <w:bCs/>
        </w:rPr>
        <w:t>）参与债券逆回购的风险</w:t>
      </w:r>
    </w:p>
    <w:p>
      <w:pPr>
        <w:autoSpaceDE w:val="0"/>
        <w:autoSpaceDN w:val="0"/>
        <w:spacing w:line="360" w:lineRule="exact"/>
        <w:ind w:firstLine="420"/>
        <w:rPr>
          <w:rFonts w:ascii="宋体" w:cs="宋体"/>
          <w:b/>
          <w:bCs/>
        </w:rPr>
      </w:pPr>
      <w:r>
        <w:rPr>
          <w:rFonts w:hint="eastAsia" w:ascii="宋体" w:hAnsi="宋体" w:cs="宋体"/>
          <w:b/>
          <w:bCs/>
        </w:rPr>
        <w:t>如果其他投资收益率更高，则债券逆回购存在机会成本损失；经济萧条时，包括债券逆回购在内的所有投资产品收益下降；回购义务人不履约造成的风险。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8</w:t>
      </w:r>
      <w:r>
        <w:rPr>
          <w:rFonts w:hint="eastAsia" w:ascii="宋体" w:hAnsi="宋体" w:cs="宋体"/>
          <w:b/>
          <w:bCs/>
        </w:rPr>
        <w:t>）进行债券借贷交易的风险</w:t>
      </w:r>
    </w:p>
    <w:p>
      <w:pPr>
        <w:autoSpaceDE w:val="0"/>
        <w:autoSpaceDN w:val="0"/>
        <w:spacing w:line="360" w:lineRule="exact"/>
        <w:ind w:firstLine="420"/>
        <w:rPr>
          <w:rFonts w:ascii="宋体" w:cs="宋体"/>
          <w:b/>
          <w:bCs/>
        </w:rPr>
      </w:pPr>
      <w:r>
        <w:rPr>
          <w:rFonts w:hint="eastAsia" w:ascii="宋体" w:hAnsi="宋体" w:cs="宋体"/>
          <w:b/>
          <w:bCs/>
        </w:rPr>
        <w:t>因为利率或其他市场因子变化，质押债券与标的债券的市值均存在波动的可能，若质押债券市值不足以补偿标的债券市值，债券融入方可能需要对质押债券进行置换；在债券融入方违约的情况下，债券融出方拍卖质押债券进行清查存在补偿缺口。</w:t>
      </w:r>
    </w:p>
    <w:p>
      <w:pPr>
        <w:autoSpaceDE w:val="0"/>
        <w:autoSpaceDN w:val="0"/>
        <w:spacing w:line="360" w:lineRule="exact"/>
        <w:ind w:firstLine="420"/>
        <w:rPr>
          <w:rFonts w:ascii="宋体" w:cs="宋体"/>
          <w:b/>
          <w:bCs/>
        </w:rPr>
      </w:pPr>
      <w:r>
        <w:rPr>
          <w:rFonts w:hint="eastAsia" w:ascii="宋体" w:hAnsi="宋体" w:cs="宋体"/>
          <w:b/>
          <w:bCs/>
        </w:rPr>
        <w:t>债券融出方面临较大的质押债券处置风险，即使债券融入方提供了足额质押债券，在债券融入方违约后作为质权人的债券融出方并不能立即获得质押债券的所有权而进行处置。债券融出方启动质押券清偿程序须向中央国债登记结算有限公司提交以下三项中的一项：（</w:t>
      </w:r>
      <w:r>
        <w:rPr>
          <w:rFonts w:ascii="宋体" w:hAnsi="宋体" w:cs="宋体"/>
          <w:b/>
          <w:bCs/>
        </w:rPr>
        <w:t>1</w:t>
      </w:r>
      <w:r>
        <w:rPr>
          <w:rFonts w:hint="eastAsia" w:ascii="宋体" w:hAnsi="宋体" w:cs="宋体"/>
          <w:b/>
          <w:bCs/>
        </w:rPr>
        <w:t>）债券借贷双方协议和经双方确认的清偿过户申请书；（</w:t>
      </w:r>
      <w:r>
        <w:rPr>
          <w:rFonts w:ascii="宋体" w:hAnsi="宋体" w:cs="宋体"/>
          <w:b/>
          <w:bCs/>
        </w:rPr>
        <w:t>2</w:t>
      </w:r>
      <w:r>
        <w:rPr>
          <w:rFonts w:hint="eastAsia" w:ascii="宋体" w:hAnsi="宋体" w:cs="宋体"/>
          <w:b/>
          <w:bCs/>
        </w:rPr>
        <w:t>）仲裁机关出具的具有法律效力的裁定书；（</w:t>
      </w:r>
      <w:r>
        <w:rPr>
          <w:rFonts w:ascii="宋体" w:hAnsi="宋体" w:cs="宋体"/>
          <w:b/>
          <w:bCs/>
        </w:rPr>
        <w:t>3</w:t>
      </w:r>
      <w:r>
        <w:rPr>
          <w:rFonts w:hint="eastAsia" w:ascii="宋体" w:hAnsi="宋体" w:cs="宋体"/>
          <w:b/>
          <w:bCs/>
        </w:rPr>
        <w:t>）法院的判决或裁定。因此，在债券融入方违约的情况下，启动质押债券清偿程序存在不确定因素：（</w:t>
      </w:r>
      <w:r>
        <w:rPr>
          <w:rFonts w:ascii="宋体" w:hAnsi="宋体" w:cs="宋体"/>
          <w:b/>
          <w:bCs/>
        </w:rPr>
        <w:t>1</w:t>
      </w:r>
      <w:r>
        <w:rPr>
          <w:rFonts w:hint="eastAsia" w:ascii="宋体" w:hAnsi="宋体" w:cs="宋体"/>
          <w:b/>
          <w:bCs/>
        </w:rPr>
        <w:t>）征得债券融入方书面同意需要时间协调，存在协调成本；（</w:t>
      </w:r>
      <w:r>
        <w:rPr>
          <w:rFonts w:ascii="宋体" w:hAnsi="宋体" w:cs="宋体"/>
          <w:b/>
          <w:bCs/>
        </w:rPr>
        <w:t>2</w:t>
      </w:r>
      <w:r>
        <w:rPr>
          <w:rFonts w:hint="eastAsia" w:ascii="宋体" w:hAnsi="宋体" w:cs="宋体"/>
          <w:b/>
          <w:bCs/>
        </w:rPr>
        <w:t>）进入诉讼或仲裁程序需要更多时间协调、谈判。</w:t>
      </w:r>
    </w:p>
    <w:p>
      <w:pPr>
        <w:autoSpaceDE w:val="0"/>
        <w:autoSpaceDN w:val="0"/>
        <w:spacing w:line="360" w:lineRule="exact"/>
        <w:ind w:firstLine="420"/>
        <w:rPr>
          <w:rFonts w:ascii="宋体" w:cs="宋体"/>
          <w:b/>
          <w:bCs/>
        </w:rPr>
      </w:pPr>
      <w:r>
        <w:rPr>
          <w:rFonts w:hint="eastAsia" w:ascii="宋体" w:hAnsi="宋体" w:cs="宋体"/>
          <w:b/>
          <w:bCs/>
        </w:rPr>
        <w:t>标的债券在借贷期有票息支付的，如因债券融入方违约未及时足额向债券融出方划付票息，融出方面临借贷期票息支付风险；标的债券在借贷期未有票息支付的，如债券融入方违约未能及时足额归还标的债券或未及时足额支付债券借贷费用，融出方将面临标的债券与借贷费用支付风险。</w:t>
      </w:r>
    </w:p>
    <w:p>
      <w:pPr>
        <w:autoSpaceDE w:val="0"/>
        <w:autoSpaceDN w:val="0"/>
        <w:spacing w:line="360" w:lineRule="exact"/>
        <w:ind w:firstLine="420"/>
        <w:rPr>
          <w:rFonts w:ascii="宋体" w:cs="宋体"/>
          <w:b/>
          <w:bCs/>
        </w:rPr>
      </w:pPr>
      <w:r>
        <w:rPr>
          <w:rFonts w:hint="eastAsia" w:ascii="宋体" w:hAnsi="宋体" w:cs="宋体"/>
          <w:b/>
          <w:bCs/>
        </w:rPr>
        <w:t>如若出现债券融出方在债券借贷到期结算日违约未及时发送结算指令或相关辅助指令解押债券融入方质押的债券等情况，债券融入方将面临债券融出方的信用风险。</w:t>
      </w:r>
    </w:p>
    <w:p>
      <w:pPr>
        <w:autoSpaceDE w:val="0"/>
        <w:autoSpaceDN w:val="0"/>
        <w:spacing w:line="360" w:lineRule="exact"/>
        <w:ind w:firstLine="420"/>
        <w:rPr>
          <w:rFonts w:ascii="宋体" w:cs="宋体"/>
          <w:b/>
          <w:bCs/>
        </w:rPr>
      </w:pPr>
      <w:r>
        <w:rPr>
          <w:rFonts w:ascii="宋体" w:hAnsi="宋体" w:cs="宋体"/>
          <w:b/>
          <w:bCs/>
        </w:rPr>
        <w:t>8</w:t>
      </w:r>
      <w:r>
        <w:rPr>
          <w:rFonts w:hint="eastAsia" w:ascii="宋体" w:hAnsi="宋体" w:cs="宋体"/>
          <w:b/>
          <w:bCs/>
        </w:rPr>
        <w:t>、税收风险</w:t>
      </w:r>
    </w:p>
    <w:p>
      <w:pPr>
        <w:autoSpaceDE w:val="0"/>
        <w:autoSpaceDN w:val="0"/>
        <w:spacing w:line="360" w:lineRule="exact"/>
        <w:ind w:firstLine="420"/>
        <w:rPr>
          <w:rFonts w:ascii="宋体" w:cs="宋体"/>
          <w:b/>
          <w:bCs/>
        </w:rPr>
      </w:pPr>
      <w:r>
        <w:rPr>
          <w:rFonts w:hint="eastAsia" w:ascii="宋体" w:hAnsi="宋体" w:cs="宋体"/>
          <w:b/>
          <w:bCs/>
        </w:rPr>
        <w:t>契约式产品所适用的税收征管法律法规可能会由于国家相关税收政策调整而发生变化，投资者收益也可能因相关税收政策调整而受到影响。</w:t>
      </w:r>
    </w:p>
    <w:p>
      <w:pPr>
        <w:autoSpaceDE w:val="0"/>
        <w:autoSpaceDN w:val="0"/>
        <w:spacing w:line="360" w:lineRule="exact"/>
        <w:ind w:firstLine="420"/>
        <w:rPr>
          <w:rFonts w:ascii="宋体" w:cs="宋体"/>
          <w:b/>
          <w:bCs/>
        </w:rPr>
      </w:pPr>
      <w:r>
        <w:rPr>
          <w:rFonts w:ascii="宋体" w:hAnsi="宋体" w:cs="宋体"/>
          <w:b/>
          <w:bCs/>
        </w:rPr>
        <w:t>9</w:t>
      </w:r>
      <w:r>
        <w:rPr>
          <w:rFonts w:hint="eastAsia" w:ascii="宋体" w:hAnsi="宋体" w:cs="宋体"/>
          <w:b/>
          <w:bCs/>
        </w:rPr>
        <w:t>、投资者参与、退出计划风险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1</w:t>
      </w:r>
      <w:r>
        <w:rPr>
          <w:rFonts w:hint="eastAsia" w:ascii="宋体" w:hAnsi="宋体" w:cs="宋体"/>
          <w:b/>
          <w:bCs/>
        </w:rPr>
        <w:t>）本计划封闭期内不办理参与、退出业务。投资者参与本计划时应充分认识到本计划封闭期内封闭运作的特征和在封闭期内无法退出的风险。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2</w:t>
      </w:r>
      <w:r>
        <w:rPr>
          <w:rFonts w:hint="eastAsia" w:ascii="宋体" w:hAnsi="宋体" w:cs="宋体"/>
          <w:b/>
          <w:bCs/>
        </w:rPr>
        <w:t>）出现拒绝或暂停接受投资者参与的情况导致投资者不能及时参与的风险。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3</w:t>
      </w:r>
      <w:r>
        <w:rPr>
          <w:rFonts w:hint="eastAsia" w:ascii="宋体" w:hAnsi="宋体" w:cs="宋体"/>
          <w:b/>
          <w:bCs/>
        </w:rPr>
        <w:t>）管理人有权调整募集期，可能存在募集期变动导致本计划成立日推迟或提前的风险。</w:t>
      </w:r>
    </w:p>
    <w:p>
      <w:pPr>
        <w:autoSpaceDE w:val="0"/>
        <w:autoSpaceDN w:val="0"/>
        <w:spacing w:line="360" w:lineRule="exact"/>
        <w:ind w:firstLine="420"/>
        <w:rPr>
          <w:rFonts w:ascii="宋体" w:cs="宋体"/>
          <w:b/>
          <w:bCs/>
        </w:rPr>
      </w:pPr>
      <w:r>
        <w:rPr>
          <w:rFonts w:ascii="宋体" w:hAnsi="宋体" w:cs="宋体"/>
          <w:b/>
          <w:bCs/>
        </w:rPr>
        <w:t>1</w:t>
      </w:r>
      <w:r>
        <w:rPr>
          <w:rFonts w:ascii="宋体" w:cs="宋体"/>
          <w:b/>
          <w:bCs/>
        </w:rPr>
        <w:t>0</w:t>
      </w:r>
      <w:r>
        <w:rPr>
          <w:rFonts w:hint="eastAsia" w:ascii="宋体" w:hAnsi="宋体" w:cs="宋体"/>
          <w:b/>
          <w:bCs/>
        </w:rPr>
        <w:t>、管理人、托管人风险</w:t>
      </w:r>
    </w:p>
    <w:p>
      <w:pPr>
        <w:autoSpaceDE w:val="0"/>
        <w:autoSpaceDN w:val="0"/>
        <w:spacing w:line="360" w:lineRule="exact"/>
        <w:ind w:firstLine="420"/>
        <w:rPr>
          <w:rFonts w:cs="宋体" w:asciiTheme="minorEastAsia" w:hAnsiTheme="minorEastAsia" w:eastAsiaTheme="minorEastAsia"/>
          <w:b/>
          <w:bCs/>
        </w:rPr>
      </w:pPr>
      <w:r>
        <w:rPr>
          <w:rFonts w:hint="eastAsia" w:cs="宋体" w:asciiTheme="minorEastAsia" w:hAnsiTheme="minorEastAsia" w:eastAsiaTheme="minorEastAsia"/>
          <w:b/>
          <w:bCs/>
        </w:rPr>
        <w:t>本产品投资由中信证券资产管理有限公司</w:t>
      </w:r>
      <w:r>
        <w:rPr>
          <w:rFonts w:hint="eastAsia" w:ascii="宋体" w:hAnsi="宋体" w:cs="宋体"/>
          <w:b/>
          <w:bCs/>
        </w:rPr>
        <w:t>管理的集合资产管理计划</w:t>
      </w:r>
      <w:r>
        <w:rPr>
          <w:rFonts w:hint="eastAsia" w:cs="宋体" w:asciiTheme="minorEastAsia" w:hAnsiTheme="minorEastAsia" w:eastAsiaTheme="minorEastAsia"/>
          <w:b/>
          <w:bCs/>
        </w:rPr>
        <w:t>，本产品财产托管人为招商银行杭州分行。中信证券资产管理有限公司系中信证券股份有限公司的子公司</w:t>
      </w:r>
      <w:r>
        <w:rPr>
          <w:rFonts w:cs="宋体" w:asciiTheme="minorEastAsia" w:hAnsiTheme="minorEastAsia" w:eastAsiaTheme="minorEastAsia"/>
          <w:b/>
          <w:bCs/>
        </w:rPr>
        <w:t>，注册资本</w:t>
      </w:r>
      <w:r>
        <w:rPr>
          <w:rFonts w:hint="eastAsia" w:cs="宋体" w:asciiTheme="minorEastAsia" w:hAnsiTheme="minorEastAsia" w:eastAsiaTheme="minorEastAsia"/>
          <w:b/>
          <w:bCs/>
        </w:rPr>
        <w:t>10亿元人民币。截至</w:t>
      </w:r>
      <w:r>
        <w:rPr>
          <w:rFonts w:cs="宋体" w:asciiTheme="minorEastAsia" w:hAnsiTheme="minorEastAsia" w:eastAsiaTheme="minorEastAsia"/>
          <w:b/>
          <w:bCs/>
        </w:rPr>
        <w:t>202</w:t>
      </w:r>
      <w:r>
        <w:rPr>
          <w:rFonts w:hint="eastAsia" w:cs="宋体" w:asciiTheme="minorEastAsia" w:hAnsiTheme="minorEastAsia" w:eastAsiaTheme="minorEastAsia"/>
          <w:b/>
          <w:bCs/>
        </w:rPr>
        <w:t>3年6月末，其资产管理业务规模</w:t>
      </w:r>
      <w:r>
        <w:rPr>
          <w:rFonts w:cs="宋体" w:asciiTheme="minorEastAsia" w:hAnsiTheme="minorEastAsia" w:eastAsiaTheme="minorEastAsia"/>
          <w:b/>
          <w:bCs/>
        </w:rPr>
        <w:t>1.</w:t>
      </w:r>
      <w:r>
        <w:rPr>
          <w:rFonts w:hint="eastAsia" w:cs="宋体" w:asciiTheme="minorEastAsia" w:hAnsiTheme="minorEastAsia" w:eastAsiaTheme="minorEastAsia"/>
          <w:b/>
          <w:bCs/>
        </w:rPr>
        <w:t>5万亿元。中信证券资管依法承担资产管理计划的销售、登记、备案、信披、管理、运作等职责。招商银行是全国性股份制银行，是全球著名现代综合金融服务集团，截至</w:t>
      </w:r>
      <w:r>
        <w:rPr>
          <w:rFonts w:cs="宋体" w:asciiTheme="minorEastAsia" w:hAnsiTheme="minorEastAsia" w:eastAsiaTheme="minorEastAsia"/>
          <w:b/>
          <w:bCs/>
        </w:rPr>
        <w:t>2021</w:t>
      </w:r>
      <w:r>
        <w:rPr>
          <w:rFonts w:hint="eastAsia" w:cs="宋体" w:asciiTheme="minorEastAsia" w:hAnsiTheme="minorEastAsia" w:eastAsiaTheme="minorEastAsia"/>
          <w:b/>
          <w:bCs/>
        </w:rPr>
        <w:t>年上半年末，资本净额</w:t>
      </w:r>
      <w:r>
        <w:rPr>
          <w:rFonts w:cs="宋体" w:asciiTheme="minorEastAsia" w:hAnsiTheme="minorEastAsia" w:eastAsiaTheme="minorEastAsia"/>
          <w:b/>
          <w:bCs/>
        </w:rPr>
        <w:t>8567</w:t>
      </w:r>
      <w:r>
        <w:rPr>
          <w:rFonts w:hint="eastAsia" w:cs="宋体" w:asciiTheme="minorEastAsia" w:hAnsiTheme="minorEastAsia" w:eastAsiaTheme="minorEastAsia"/>
          <w:b/>
          <w:bCs/>
        </w:rPr>
        <w:t>亿元，资产托管业务规模</w:t>
      </w:r>
      <w:r>
        <w:rPr>
          <w:rFonts w:asciiTheme="minorEastAsia" w:hAnsiTheme="minorEastAsia" w:eastAsiaTheme="minorEastAsia"/>
          <w:b/>
          <w:bCs/>
        </w:rPr>
        <w:t>18.23</w:t>
      </w:r>
      <w:r>
        <w:rPr>
          <w:rFonts w:hint="eastAsia" w:cs="宋体" w:asciiTheme="minorEastAsia" w:hAnsiTheme="minorEastAsia" w:eastAsiaTheme="minorEastAsia"/>
          <w:b/>
          <w:bCs/>
        </w:rPr>
        <w:t>万亿元。招商银行杭州分行依法承担安全保管理财产品财产、监督管理人依法合规运作、复核产品净值、编制相关定期报告等职责。上述两家机构因停业整顿、解散、撤销、破产，或者被中国证监会撤销相关业务许可等原因不能履行职责，可能给投资者带来一定的风险。</w:t>
      </w:r>
    </w:p>
    <w:p>
      <w:pPr>
        <w:autoSpaceDE w:val="0"/>
        <w:autoSpaceDN w:val="0"/>
        <w:spacing w:line="360" w:lineRule="exact"/>
        <w:ind w:firstLine="420"/>
        <w:rPr>
          <w:rFonts w:ascii="宋体" w:cs="宋体"/>
          <w:b/>
          <w:bCs/>
        </w:rPr>
      </w:pPr>
      <w:r>
        <w:rPr>
          <w:rFonts w:ascii="宋体" w:hAnsi="宋体" w:cs="宋体"/>
          <w:b/>
          <w:bCs/>
        </w:rPr>
        <w:t>11</w:t>
      </w:r>
      <w:r>
        <w:rPr>
          <w:rFonts w:hint="eastAsia" w:ascii="宋体" w:hAnsi="宋体" w:cs="宋体"/>
          <w:b/>
          <w:bCs/>
        </w:rPr>
        <w:t>、管理人与托管人估值结果不一致导致的风险</w:t>
      </w:r>
    </w:p>
    <w:p>
      <w:pPr>
        <w:autoSpaceDE w:val="0"/>
        <w:autoSpaceDN w:val="0"/>
        <w:spacing w:line="360" w:lineRule="exact"/>
        <w:ind w:firstLine="420"/>
        <w:rPr>
          <w:rFonts w:ascii="宋体" w:cs="宋体"/>
          <w:b/>
          <w:bCs/>
        </w:rPr>
      </w:pPr>
      <w:r>
        <w:rPr>
          <w:rFonts w:hint="eastAsia" w:ascii="宋体" w:hAnsi="宋体" w:cs="宋体"/>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pPr>
        <w:autoSpaceDE w:val="0"/>
        <w:autoSpaceDN w:val="0"/>
        <w:spacing w:line="360" w:lineRule="exact"/>
        <w:ind w:firstLine="420"/>
        <w:rPr>
          <w:rFonts w:ascii="宋体" w:cs="宋体"/>
          <w:b/>
          <w:bCs/>
        </w:rPr>
      </w:pPr>
      <w:r>
        <w:rPr>
          <w:rFonts w:ascii="宋体" w:hAnsi="宋体" w:cs="宋体"/>
          <w:b/>
          <w:bCs/>
        </w:rPr>
        <w:t>12</w:t>
      </w:r>
      <w:r>
        <w:rPr>
          <w:rFonts w:hint="eastAsia" w:ascii="宋体" w:hAnsi="宋体" w:cs="宋体"/>
          <w:b/>
          <w:bCs/>
        </w:rPr>
        <w:t>、债权类资产在持有期间信用评级下降的特殊风险</w:t>
      </w:r>
    </w:p>
    <w:p>
      <w:pPr>
        <w:autoSpaceDE w:val="0"/>
        <w:autoSpaceDN w:val="0"/>
        <w:spacing w:line="360" w:lineRule="exact"/>
        <w:ind w:firstLine="420"/>
        <w:rPr>
          <w:rFonts w:ascii="宋体" w:cs="宋体"/>
          <w:b/>
          <w:bCs/>
        </w:rPr>
      </w:pPr>
      <w:r>
        <w:rPr>
          <w:rFonts w:hint="eastAsia" w:ascii="宋体" w:hAnsi="宋体" w:cs="宋体"/>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不视为违反约定，管理人可能亦不会因此调整本计划的投资或持仓，投资标的的评级下降等原因可能进一步加大本产品的信用风险、流动性风险等，并可能直接导致投资标的价值的减损，从而给投资者带来一定的风险，请投资者知悉。</w:t>
      </w:r>
    </w:p>
    <w:p>
      <w:pPr>
        <w:autoSpaceDE w:val="0"/>
        <w:autoSpaceDN w:val="0"/>
        <w:spacing w:line="360" w:lineRule="exact"/>
        <w:ind w:firstLine="420"/>
        <w:rPr>
          <w:rFonts w:ascii="宋体" w:cs="宋体"/>
          <w:b/>
          <w:bCs/>
        </w:rPr>
      </w:pPr>
      <w:r>
        <w:rPr>
          <w:rFonts w:hint="eastAsia" w:ascii="宋体" w:hAnsi="宋体" w:cs="宋体"/>
          <w:b/>
          <w:bCs/>
        </w:rPr>
        <w:t>二、其他风险提示</w:t>
      </w:r>
    </w:p>
    <w:p>
      <w:pPr>
        <w:autoSpaceDE w:val="0"/>
        <w:autoSpaceDN w:val="0"/>
        <w:spacing w:line="360" w:lineRule="exact"/>
        <w:ind w:firstLine="420"/>
        <w:rPr>
          <w:rFonts w:ascii="宋体" w:cs="宋体"/>
          <w:b/>
          <w:bCs/>
        </w:rPr>
      </w:pPr>
      <w:r>
        <w:rPr>
          <w:rFonts w:ascii="宋体" w:hAnsi="宋体" w:cs="宋体"/>
          <w:b/>
          <w:bCs/>
        </w:rPr>
        <w:t>1.</w:t>
      </w:r>
      <w:r>
        <w:rPr>
          <w:rFonts w:hint="eastAsia" w:ascii="宋体" w:hAnsi="宋体" w:cs="宋体"/>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pPr>
        <w:autoSpaceDE w:val="0"/>
        <w:autoSpaceDN w:val="0"/>
        <w:spacing w:line="360" w:lineRule="exact"/>
        <w:ind w:firstLine="420"/>
        <w:rPr>
          <w:rFonts w:ascii="宋体" w:cs="宋体"/>
          <w:b/>
          <w:bCs/>
        </w:rPr>
      </w:pPr>
      <w:r>
        <w:rPr>
          <w:rFonts w:ascii="宋体" w:hAnsi="宋体" w:cs="宋体"/>
          <w:b/>
          <w:bCs/>
        </w:rPr>
        <w:t>2.</w:t>
      </w:r>
      <w:r>
        <w:rPr>
          <w:rFonts w:hint="eastAsia" w:ascii="宋体" w:hAnsi="宋体" w:cs="宋体"/>
          <w:b/>
          <w:bCs/>
        </w:rPr>
        <w:t>操作风险。管理人、托管人、证券交易所、证券登记结算机构、第三方销售平台等在业务操作过程中，因操作失误或违反操作规程而引起的风险。</w:t>
      </w:r>
    </w:p>
    <w:p>
      <w:pPr>
        <w:autoSpaceDE w:val="0"/>
        <w:autoSpaceDN w:val="0"/>
        <w:spacing w:line="360" w:lineRule="exact"/>
        <w:ind w:firstLine="420"/>
        <w:rPr>
          <w:rFonts w:ascii="宋体" w:cs="宋体"/>
          <w:b/>
          <w:bCs/>
        </w:rPr>
      </w:pPr>
      <w:r>
        <w:rPr>
          <w:rFonts w:ascii="宋体" w:hAnsi="宋体" w:cs="宋体"/>
          <w:b/>
          <w:bCs/>
        </w:rPr>
        <w:t>3.</w:t>
      </w:r>
      <w:r>
        <w:rPr>
          <w:rFonts w:hint="eastAsia" w:ascii="宋体" w:hAnsi="宋体" w:cs="宋体"/>
          <w:b/>
          <w:bCs/>
        </w:rPr>
        <w:t>战争、自然灾害等不可抗力因素的出现，将会严重影响证券市场的运行，可能导致委托资产的损失，从而带来风险。</w:t>
      </w:r>
    </w:p>
    <w:p>
      <w:pPr>
        <w:autoSpaceDE w:val="0"/>
        <w:autoSpaceDN w:val="0"/>
        <w:spacing w:line="360" w:lineRule="exact"/>
        <w:ind w:firstLine="420"/>
        <w:rPr>
          <w:rFonts w:ascii="宋体" w:cs="宋体"/>
          <w:b/>
          <w:bCs/>
        </w:rPr>
      </w:pPr>
      <w:r>
        <w:rPr>
          <w:rFonts w:ascii="宋体" w:hAnsi="宋体" w:cs="宋体"/>
          <w:b/>
          <w:bCs/>
        </w:rPr>
        <w:t>4.</w:t>
      </w:r>
      <w:r>
        <w:rPr>
          <w:rFonts w:hint="eastAsia" w:ascii="宋体" w:hAnsi="宋体" w:cs="宋体"/>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pPr>
        <w:autoSpaceDE w:val="0"/>
        <w:autoSpaceDN w:val="0"/>
        <w:spacing w:line="360" w:lineRule="exact"/>
        <w:ind w:firstLine="420"/>
        <w:rPr>
          <w:rFonts w:ascii="宋体" w:cs="宋体"/>
          <w:b/>
          <w:bCs/>
        </w:rPr>
      </w:pPr>
      <w:r>
        <w:rPr>
          <w:rFonts w:ascii="宋体" w:hAnsi="宋体" w:cs="宋体"/>
          <w:b/>
          <w:bCs/>
        </w:rPr>
        <w:t>5.</w:t>
      </w:r>
      <w:r>
        <w:rPr>
          <w:rFonts w:hint="eastAsia" w:ascii="宋体" w:hAnsi="宋体" w:cs="宋体"/>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pPr>
        <w:autoSpaceDE w:val="0"/>
        <w:autoSpaceDN w:val="0"/>
        <w:spacing w:line="360" w:lineRule="exact"/>
        <w:ind w:firstLine="420"/>
        <w:rPr>
          <w:rFonts w:ascii="宋体" w:cs="宋体"/>
          <w:b/>
          <w:bCs/>
        </w:rPr>
      </w:pPr>
      <w:r>
        <w:rPr>
          <w:rFonts w:hint="eastAsia" w:ascii="宋体" w:hAnsi="宋体" w:cs="宋体"/>
          <w:b/>
          <w:bCs/>
        </w:rPr>
        <w:t>特殊情况下，管理人有权根据披露事项的性质、时间、情形以及对投资者的影响情况等，决定将通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Pr>
          <w:rFonts w:ascii="宋体" w:hAnsi="宋体" w:cs="宋体"/>
          <w:b/>
          <w:bCs/>
        </w:rPr>
        <w:t>/</w:t>
      </w:r>
      <w:r>
        <w:rPr>
          <w:rFonts w:hint="eastAsia" w:ascii="宋体" w:hAnsi="宋体" w:cs="宋体"/>
          <w:b/>
          <w:bCs/>
        </w:rPr>
        <w:t>手机、通讯地址、住所地、电子邮箱等）不准确、不更新的，将导致管理人无法及时通知到投资者、投资者无法及时获知披露信息的风险。</w:t>
      </w:r>
    </w:p>
    <w:p>
      <w:pPr>
        <w:autoSpaceDE w:val="0"/>
        <w:autoSpaceDN w:val="0"/>
        <w:spacing w:line="360" w:lineRule="exact"/>
        <w:ind w:firstLine="420"/>
        <w:rPr>
          <w:rFonts w:ascii="宋体" w:cs="宋体"/>
          <w:b/>
          <w:bCs/>
        </w:rPr>
      </w:pPr>
      <w:r>
        <w:rPr>
          <w:rFonts w:ascii="宋体" w:hAnsi="宋体" w:cs="宋体"/>
          <w:b/>
          <w:bCs/>
        </w:rPr>
        <w:t>6.</w:t>
      </w:r>
      <w:r>
        <w:rPr>
          <w:rFonts w:hint="eastAsia" w:ascii="宋体" w:hAnsi="宋体" w:cs="宋体"/>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pPr>
        <w:autoSpaceDE w:val="0"/>
        <w:autoSpaceDN w:val="0"/>
        <w:spacing w:line="360" w:lineRule="exact"/>
        <w:ind w:firstLine="420"/>
        <w:rPr>
          <w:rFonts w:ascii="宋体" w:cs="宋体"/>
          <w:b/>
          <w:bCs/>
        </w:rPr>
      </w:pPr>
      <w:r>
        <w:rPr>
          <w:rFonts w:ascii="宋体" w:hAnsi="宋体" w:cs="宋体"/>
          <w:b/>
          <w:bCs/>
        </w:rPr>
        <w:t>7.</w:t>
      </w:r>
      <w:r>
        <w:rPr>
          <w:rFonts w:hint="eastAsia" w:ascii="宋体" w:hAnsi="宋体" w:cs="宋体"/>
          <w:b/>
          <w:bCs/>
        </w:rPr>
        <w:t>在不损害投资者实质利益的前提下，管理人有权根据管理运作实际情况对计划管理运作过程中的相关事项进行调整或补充明确，并及时予以公告，可能给投资者带来和预期不相符的风险。</w:t>
      </w:r>
    </w:p>
    <w:p>
      <w:pPr>
        <w:autoSpaceDE w:val="0"/>
        <w:autoSpaceDN w:val="0"/>
        <w:spacing w:line="360" w:lineRule="exact"/>
        <w:ind w:firstLine="420"/>
        <w:rPr>
          <w:rFonts w:ascii="宋体" w:cs="宋体"/>
          <w:b/>
          <w:bCs/>
        </w:rPr>
      </w:pPr>
      <w:r>
        <w:rPr>
          <w:rFonts w:ascii="宋体" w:hAnsi="宋体" w:cs="宋体"/>
          <w:b/>
          <w:bCs/>
        </w:rPr>
        <w:t>8.</w:t>
      </w:r>
      <w:r>
        <w:rPr>
          <w:rFonts w:hint="eastAsia" w:ascii="宋体" w:hAnsi="宋体" w:cs="宋体"/>
          <w:b/>
          <w:bCs/>
        </w:rPr>
        <w:t>其他不可预知、不可防范的风险。</w:t>
      </w:r>
    </w:p>
    <w:p>
      <w:pPr>
        <w:autoSpaceDE w:val="0"/>
        <w:autoSpaceDN w:val="0"/>
        <w:spacing w:line="360" w:lineRule="exact"/>
        <w:ind w:firstLine="420"/>
        <w:rPr>
          <w:rFonts w:ascii="宋体" w:cs="宋体"/>
        </w:rPr>
      </w:pPr>
      <w:r>
        <w:rPr>
          <w:rFonts w:hint="eastAsia" w:ascii="宋体" w:hAnsi="宋体" w:cs="宋体"/>
        </w:rPr>
        <w:t>上述举例提示可能并未穷尽本理财产品项下可能出现的所有风险。</w:t>
      </w:r>
    </w:p>
    <w:p>
      <w:pPr>
        <w:autoSpaceDE w:val="0"/>
        <w:autoSpaceDN w:val="0"/>
        <w:spacing w:line="360" w:lineRule="exact"/>
        <w:ind w:firstLine="420"/>
        <w:rPr>
          <w:rFonts w:ascii="宋体" w:cs="宋体"/>
        </w:rPr>
      </w:pPr>
      <w:r>
        <w:rPr>
          <w:rFonts w:hint="eastAsia" w:ascii="宋体" w:hAnsi="宋体" w:cs="宋体"/>
        </w:rPr>
        <w:t>银行按照理财产品说明书有关条款的约定，发布理财产品的运作、到期清算或提前终止等信息公告。客户应根据约定及时登陆</w:t>
      </w:r>
      <w:r>
        <w:rPr>
          <w:rFonts w:ascii="宋体" w:hAnsi="宋体" w:cs="宋体"/>
        </w:rPr>
        <w:t>桐庐农商银行</w:t>
      </w:r>
      <w:r>
        <w:rPr>
          <w:rFonts w:hint="eastAsia" w:ascii="宋体" w:hAnsi="宋体" w:cs="宋体"/>
        </w:rPr>
        <w:t>网站或拨打银行</w:t>
      </w:r>
      <w:r>
        <w:rPr>
          <w:rFonts w:ascii="宋体" w:hAnsi="宋体" w:cs="宋体"/>
        </w:rPr>
        <w:t>24</w:t>
      </w:r>
      <w:r>
        <w:rPr>
          <w:rFonts w:hint="eastAsia" w:ascii="宋体" w:hAnsi="宋体" w:cs="宋体"/>
        </w:rPr>
        <w:t>小时热线057164296596查询，如果客户未及时查询，或由于通信故障、系统故障以及其他不可抗力等因素的影响使得客户无法及时了解产品信息，因此而产生的责任和风险由客户自行承担。对于个人客户，</w:t>
      </w:r>
      <w:r>
        <w:rPr>
          <w:rFonts w:hint="eastAsia" w:ascii="宋体" w:hAnsi="宋体" w:cs="宋体"/>
          <w:b/>
        </w:rPr>
        <w:t>如果影响客户风险承受能力的因素发生变化或风险承受能力评估结果已过一年的有效期，请及时完成风险承受能力评估，否则可能造成客户无法认购，由此产生的责任和风险由客户自行承担。</w:t>
      </w:r>
      <w:r>
        <w:rPr>
          <w:rFonts w:hint="eastAsia" w:ascii="宋体" w:hAnsi="宋体" w:cs="宋体"/>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pPr>
        <w:autoSpaceDE w:val="0"/>
        <w:autoSpaceDN w:val="0"/>
        <w:spacing w:line="360" w:lineRule="auto"/>
        <w:ind w:firstLine="420"/>
        <w:jc w:val="left"/>
        <w:rPr>
          <w:rFonts w:cs="宋体" w:asciiTheme="minorEastAsia" w:hAnsiTheme="minorEastAsia" w:eastAsiaTheme="minorEastAsia"/>
          <w:bCs/>
          <w:color w:val="000000"/>
        </w:rPr>
      </w:pPr>
      <w:r>
        <w:rPr>
          <w:rFonts w:hint="eastAsia" w:ascii="宋体" w:hAnsi="宋体" w:cs="宋体"/>
        </w:rPr>
        <w:t>本理财产品类型：非保本净值型；本理财产品风险评级结果：根据本行理财产品内部风险评级，该产品风险评级结果为</w:t>
      </w:r>
      <w:r>
        <w:rPr>
          <w:rFonts w:ascii="宋体" w:hAnsi="宋体" w:cs="宋体"/>
          <w:b/>
          <w:sz w:val="24"/>
          <w:szCs w:val="24"/>
        </w:rPr>
        <w:t>PR2</w:t>
      </w:r>
      <w:r>
        <w:rPr>
          <w:rFonts w:hint="eastAsia" w:ascii="宋体" w:hAnsi="宋体" w:cs="宋体"/>
        </w:rPr>
        <w:t>（本风险等级为我行内部风险评级结果，仅供参考，我行不对前述风险评级结果的准确性做出任何形式的保证，也不承担任何法律责任）；适合购买本理财产品的客户：</w:t>
      </w:r>
      <w:r>
        <w:rPr>
          <w:rFonts w:hint="eastAsia" w:ascii="宋体" w:hAnsi="宋体" w:cs="宋体"/>
          <w:b/>
        </w:rPr>
        <w:t>本理财产品适合机构投资者及谨慎型、稳健型、进取型、激进型的个人投资者。</w:t>
      </w:r>
      <w:r>
        <w:rPr>
          <w:rFonts w:hint="eastAsia" w:ascii="宋体" w:hAnsi="宋体" w:cs="宋体"/>
          <w:bCs/>
        </w:rPr>
        <w:t>本理财产品总体风险程度较低，收益波动一般，</w:t>
      </w:r>
      <w:r>
        <w:rPr>
          <w:rFonts w:ascii="宋体" w:hAnsi="宋体" w:cs="宋体"/>
          <w:bCs/>
        </w:rPr>
        <w:t>桐庐农商银行</w:t>
      </w:r>
      <w:r>
        <w:rPr>
          <w:rFonts w:hint="eastAsia" w:ascii="宋体" w:hAnsi="宋体" w:cs="宋体"/>
          <w:bCs/>
        </w:rPr>
        <w:t>不承诺本金保障。在发生最不利投资情形下（可能但并不一定发生），客户可能无法取得收益并可能面临损失本金的风险。上述风险客观存在，敬请投资人予以充分关注！</w:t>
      </w:r>
    </w:p>
    <w:p>
      <w:pPr>
        <w:autoSpaceDE w:val="0"/>
        <w:autoSpaceDN w:val="0"/>
        <w:spacing w:line="360" w:lineRule="auto"/>
        <w:ind w:firstLine="420"/>
        <w:jc w:val="left"/>
        <w:rPr>
          <w:rFonts w:cs="宋体" w:asciiTheme="minorEastAsia" w:hAnsiTheme="minorEastAsia" w:eastAsiaTheme="minorEastAsia"/>
        </w:rPr>
      </w:pPr>
    </w:p>
    <w:p>
      <w:pPr>
        <w:autoSpaceDE w:val="0"/>
        <w:autoSpaceDN w:val="0"/>
        <w:spacing w:line="360" w:lineRule="auto"/>
        <w:ind w:firstLine="420"/>
        <w:jc w:val="left"/>
        <w:rPr>
          <w:rFonts w:cs="宋体" w:asciiTheme="minorEastAsia" w:hAnsiTheme="minorEastAsia" w:eastAsiaTheme="minorEastAsia"/>
        </w:rPr>
      </w:pPr>
    </w:p>
    <w:p>
      <w:pPr>
        <w:autoSpaceDE w:val="0"/>
        <w:autoSpaceDN w:val="0"/>
        <w:adjustRightInd w:val="0"/>
        <w:spacing w:line="360" w:lineRule="auto"/>
        <w:ind w:firstLine="2940" w:firstLineChars="1400"/>
        <w:jc w:val="right"/>
        <w:rPr>
          <w:rFonts w:asciiTheme="minorEastAsia" w:hAnsiTheme="minorEastAsia" w:eastAsiaTheme="minorEastAsia"/>
        </w:rPr>
      </w:pPr>
      <w:r>
        <w:rPr>
          <w:rFonts w:hint="eastAsia" w:cs="宋体" w:asciiTheme="minorEastAsia" w:hAnsiTheme="minorEastAsia" w:eastAsiaTheme="minorEastAsia"/>
          <w:kern w:val="0"/>
        </w:rPr>
        <w:t>风险提示方：浙江桐庐农村商业银行股份有限公司</w:t>
      </w:r>
    </w:p>
    <w:p>
      <w:pPr>
        <w:widowControl/>
        <w:spacing w:line="360" w:lineRule="auto"/>
        <w:jc w:val="left"/>
        <w:rPr>
          <w:rFonts w:asciiTheme="minorEastAsia" w:hAnsiTheme="minorEastAsia" w:eastAsiaTheme="minorEastAsia"/>
          <w:b/>
          <w:sz w:val="36"/>
          <w:szCs w:val="28"/>
        </w:rPr>
      </w:pPr>
      <w:r>
        <w:rPr>
          <w:rFonts w:asciiTheme="minorEastAsia" w:hAnsiTheme="minorEastAsia" w:eastAsiaTheme="minorEastAsia"/>
          <w:b/>
          <w:sz w:val="36"/>
          <w:szCs w:val="28"/>
        </w:rPr>
        <w:br w:type="page"/>
      </w:r>
    </w:p>
    <w:p>
      <w:pPr>
        <w:spacing w:line="360" w:lineRule="auto"/>
        <w:jc w:val="center"/>
        <w:rPr>
          <w:rFonts w:asciiTheme="minorEastAsia" w:hAnsiTheme="minorEastAsia" w:eastAsiaTheme="minorEastAsia"/>
          <w:b/>
          <w:sz w:val="36"/>
          <w:szCs w:val="28"/>
        </w:rPr>
      </w:pPr>
      <w:r>
        <w:rPr>
          <w:rFonts w:hint="eastAsia" w:asciiTheme="minorEastAsia" w:hAnsiTheme="minorEastAsia" w:eastAsiaTheme="minorEastAsia"/>
          <w:b/>
          <w:sz w:val="36"/>
          <w:szCs w:val="28"/>
        </w:rPr>
        <w:t>桐庐农商银行理财产品客户权益须知</w:t>
      </w:r>
    </w:p>
    <w:p>
      <w:pPr>
        <w:spacing w:line="360" w:lineRule="auto"/>
        <w:jc w:val="center"/>
        <w:rPr>
          <w:rFonts w:asciiTheme="minorEastAsia" w:hAnsiTheme="minorEastAsia" w:eastAsiaTheme="minorEastAsia"/>
        </w:rPr>
      </w:pPr>
    </w:p>
    <w:p>
      <w:pPr>
        <w:spacing w:line="360" w:lineRule="auto"/>
        <w:rPr>
          <w:rFonts w:asciiTheme="minorEastAsia" w:hAnsiTheme="minorEastAsia" w:eastAsiaTheme="minorEastAsia"/>
          <w:b/>
        </w:rPr>
      </w:pPr>
      <w:r>
        <w:rPr>
          <w:rFonts w:hint="eastAsia" w:asciiTheme="minorEastAsia" w:hAnsiTheme="minorEastAsia" w:eastAsiaTheme="minorEastAsia"/>
          <w:b/>
        </w:rPr>
        <w:t>尊敬的客户：</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pPr>
        <w:spacing w:line="360" w:lineRule="auto"/>
        <w:rPr>
          <w:rFonts w:asciiTheme="minorEastAsia" w:hAnsiTheme="minorEastAsia" w:eastAsiaTheme="minorEastAsia"/>
        </w:rPr>
      </w:pPr>
      <w:r>
        <w:rPr>
          <w:rFonts w:hint="eastAsia" w:asciiTheme="minorEastAsia" w:hAnsiTheme="minorEastAsia" w:eastAsiaTheme="minorEastAsia"/>
        </w:rPr>
        <w:t>（一）理财产品办理流程</w:t>
      </w:r>
    </w:p>
    <w:p>
      <w:pPr>
        <w:spacing w:line="360" w:lineRule="auto"/>
        <w:rPr>
          <w:rFonts w:asciiTheme="minorEastAsia" w:hAnsiTheme="minorEastAsia" w:eastAsiaTheme="minorEastAsia"/>
        </w:rPr>
      </w:pPr>
      <w:r>
        <w:rPr>
          <w:rFonts w:hint="eastAsia" w:asciiTheme="minorEastAsia" w:hAnsiTheme="minorEastAsia" w:eastAsiaTheme="minorEastAsia"/>
        </w:rPr>
        <w:t>1.认购流程</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我行理财产品可通过营业柜台、自助终端、网上银行、手机银行等方式进行认购，其中认购主流程如下：</w:t>
      </w:r>
    </w:p>
    <w:p>
      <w:pPr>
        <w:spacing w:line="360" w:lineRule="auto"/>
        <w:ind w:firstLine="420" w:firstLineChars="200"/>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drawing>
          <wp:inline distT="0" distB="0" distL="0" distR="0">
            <wp:extent cx="5276850" cy="1857375"/>
            <wp:effectExtent l="19050" t="0" r="0" b="0"/>
            <wp:docPr id="1" name="图片 1" descr="16826628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82662807230"/>
                    <pic:cNvPicPr>
                      <a:picLocks noChangeAspect="1" noChangeArrowheads="1"/>
                    </pic:cNvPicPr>
                  </pic:nvPicPr>
                  <pic:blipFill>
                    <a:blip r:embed="rId8"/>
                    <a:srcRect/>
                    <a:stretch>
                      <a:fillRect/>
                    </a:stretch>
                  </pic:blipFill>
                  <pic:spPr>
                    <a:xfrm>
                      <a:off x="0" y="0"/>
                      <a:ext cx="5276850" cy="1857375"/>
                    </a:xfrm>
                    <a:prstGeom prst="rect">
                      <a:avLst/>
                    </a:prstGeom>
                    <a:noFill/>
                    <a:ln w="9525">
                      <a:noFill/>
                      <a:miter lim="800000"/>
                      <a:headEnd/>
                      <a:tailEnd/>
                    </a:ln>
                  </pic:spPr>
                </pic:pic>
              </a:graphicData>
            </a:graphic>
          </wp:inline>
        </w:drawing>
      </w:r>
    </w:p>
    <w:p>
      <w:pPr>
        <w:spacing w:line="360" w:lineRule="auto"/>
        <w:ind w:firstLine="420" w:firstLineChars="200"/>
        <w:rPr>
          <w:rFonts w:asciiTheme="minorEastAsia" w:hAnsiTheme="minorEastAsia" w:eastAsiaTheme="minorEastAsia"/>
        </w:rPr>
      </w:pP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若您认购前已在我行开立结算账户，可直接进行下一步骤。我行强烈建议您采用自助终端、手机银行渠道进行理财产品认购，系统会提示您进行每一步操作，产品办理更加方便快捷。</w:t>
      </w:r>
    </w:p>
    <w:p>
      <w:pPr>
        <w:spacing w:line="360" w:lineRule="auto"/>
        <w:rPr>
          <w:rFonts w:asciiTheme="minorEastAsia" w:hAnsiTheme="minorEastAsia" w:eastAsiaTheme="minorEastAsia"/>
        </w:rPr>
      </w:pPr>
      <w:r>
        <w:rPr>
          <w:rFonts w:hint="eastAsia" w:asciiTheme="minorEastAsia" w:hAnsiTheme="minorEastAsia" w:eastAsiaTheme="minorEastAsia"/>
        </w:rPr>
        <w:t>（二）风险测评流程</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1.客户风险测评采用《桐庐农商银行理财客户风险评估问卷》进行，您需回答涉及自身财务状况、投资经验、投资风格、风险承受能力四个方面共11小题，得出风险测评结果。</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2.客户首次认购理财产品前必须在我行网点进行风险测评，有效期1年，期间认购理财产品无需再次测评；若您超过1年未再次进行风险测评或判断自身风险承受能力产生变化，应在我行营业柜台或手机银行等电子渠道重新进行风险测评。</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3.风险测评评级定义、及各评级与理财产品风险等级的匹配关系详见下表：</w:t>
      </w:r>
    </w:p>
    <w:p>
      <w:pPr>
        <w:spacing w:line="360" w:lineRule="auto"/>
        <w:ind w:firstLine="420" w:firstLineChars="200"/>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drawing>
          <wp:inline distT="0" distB="0" distL="0" distR="0">
            <wp:extent cx="5267325" cy="5229225"/>
            <wp:effectExtent l="19050" t="0" r="9525"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82663040418"/>
                    <pic:cNvPicPr>
                      <a:picLocks noChangeAspect="1" noChangeArrowheads="1"/>
                    </pic:cNvPicPr>
                  </pic:nvPicPr>
                  <pic:blipFill>
                    <a:blip r:embed="rId9"/>
                    <a:srcRect/>
                    <a:stretch>
                      <a:fillRect/>
                    </a:stretch>
                  </pic:blipFill>
                  <pic:spPr>
                    <a:xfrm>
                      <a:off x="0" y="0"/>
                      <a:ext cx="5267325" cy="5229225"/>
                    </a:xfrm>
                    <a:prstGeom prst="rect">
                      <a:avLst/>
                    </a:prstGeom>
                    <a:noFill/>
                    <a:ln w="9525">
                      <a:noFill/>
                      <a:miter lim="800000"/>
                      <a:headEnd/>
                      <a:tailEnd/>
                    </a:ln>
                  </pic:spPr>
                </pic:pic>
              </a:graphicData>
            </a:graphic>
          </wp:inline>
        </w:drawing>
      </w:r>
    </w:p>
    <w:p>
      <w:pPr>
        <w:spacing w:line="360" w:lineRule="auto"/>
        <w:rPr>
          <w:rFonts w:asciiTheme="minorEastAsia" w:hAnsiTheme="minorEastAsia" w:eastAsiaTheme="minorEastAsia"/>
        </w:rPr>
      </w:pPr>
      <w:r>
        <w:rPr>
          <w:rFonts w:hint="eastAsia" w:asciiTheme="minorEastAsia" w:hAnsiTheme="minorEastAsia" w:eastAsiaTheme="minorEastAsia"/>
        </w:rPr>
        <w:t>（三）理财信息披露</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1.理财产品收益率、产品终止或提前终止、产品延期、产品清算、产品净值、结构性产品挂钩标的市场表现等信息，我行将在官方网站发布公告，请您及时登录桐庐农商银行网站（http:// www.tlrcbk.com），或到桐庐农商银行各营业网点或拨打咨询热线64296596进行咨询。</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2.重大事项披露和披露方式：对于我行认为已经、即将或可能对理财产品的全体投资者利益有重大影响的事项，桐庐农商银行将在3个工作日内，通过官方网站或/及银行认为适当的其他方式进行公告。</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3.特殊事项披露和披露方式：若遇需要单独告知或确认的特殊事项，我行将通过您的预留联系方式进行告知或确认。您预留在桐庐农商银行的有效联系方式变更的，应及时到我行营业柜台办理信息更新。</w:t>
      </w:r>
    </w:p>
    <w:p>
      <w:pPr>
        <w:spacing w:line="360" w:lineRule="auto"/>
        <w:rPr>
          <w:rFonts w:asciiTheme="minorEastAsia" w:hAnsiTheme="minorEastAsia" w:eastAsiaTheme="minorEastAsia"/>
        </w:rPr>
      </w:pPr>
      <w:r>
        <w:rPr>
          <w:rFonts w:hint="eastAsia" w:asciiTheme="minorEastAsia" w:hAnsiTheme="minorEastAsia" w:eastAsiaTheme="minorEastAsia"/>
        </w:rPr>
        <w:t>（四）客户咨询投诉渠道及桐庐农商银行联系方式</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若您在理财产品办理中有任何的疑问或不满，可拨打我行理财业务投诉热线64296596进行咨询或投诉；或就近咨询桐庐农商银行网点理财经理。</w:t>
      </w:r>
    </w:p>
    <w:p/>
    <w:p>
      <w:pPr>
        <w:widowControl/>
        <w:spacing w:line="360" w:lineRule="auto"/>
        <w:jc w:val="left"/>
        <w:rPr>
          <w:rFonts w:cs="楷体_GB2312" w:asciiTheme="minorEastAsia" w:hAnsiTheme="minorEastAsia" w:eastAsiaTheme="minorEastAsia"/>
          <w:b/>
          <w:color w:val="000000"/>
          <w:kern w:val="0"/>
          <w:sz w:val="28"/>
          <w:szCs w:val="28"/>
        </w:rPr>
      </w:pPr>
      <w:r>
        <w:rPr>
          <w:rFonts w:cs="楷体_GB2312" w:asciiTheme="minorEastAsia" w:hAnsiTheme="minorEastAsia" w:eastAsiaTheme="minorEastAsia"/>
          <w:b/>
          <w:sz w:val="28"/>
          <w:szCs w:val="28"/>
        </w:rPr>
        <w:br w:type="page"/>
      </w:r>
    </w:p>
    <w:p>
      <w:pPr>
        <w:spacing w:line="360" w:lineRule="auto"/>
        <w:rPr>
          <w:b/>
        </w:rPr>
        <w:sectPr>
          <w:footerReference r:id="rId3" w:type="default"/>
          <w:footerReference r:id="rId4" w:type="even"/>
          <w:pgSz w:w="11906" w:h="16838"/>
          <w:pgMar w:top="567" w:right="1134" w:bottom="567" w:left="1134" w:header="851" w:footer="1247" w:gutter="0"/>
          <w:pgNumType w:fmt="numberInDash"/>
          <w:cols w:space="425" w:num="1"/>
          <w:docGrid w:type="linesAndChars" w:linePitch="312" w:charSpace="0"/>
        </w:sectPr>
      </w:pPr>
    </w:p>
    <w:p>
      <w:pPr>
        <w:adjustRightInd w:val="0"/>
        <w:snapToGrid w:val="0"/>
        <w:spacing w:line="360" w:lineRule="auto"/>
        <w:jc w:val="center"/>
        <w:rPr>
          <w:rFonts w:asciiTheme="minorEastAsia" w:hAnsiTheme="minorEastAsia" w:eastAsiaTheme="minorEastAsia"/>
          <w:b/>
          <w:bCs/>
          <w:sz w:val="28"/>
          <w:szCs w:val="32"/>
        </w:rPr>
      </w:pPr>
      <w:r>
        <w:rPr>
          <w:rFonts w:hint="eastAsia" w:asciiTheme="minorEastAsia" w:hAnsiTheme="minorEastAsia" w:eastAsiaTheme="minorEastAsia"/>
          <w:b/>
          <w:bCs/>
          <w:sz w:val="28"/>
          <w:szCs w:val="32"/>
        </w:rPr>
        <w:t>浙江桐庐农村商业银行股份有限公司理财产品协议</w:t>
      </w:r>
    </w:p>
    <w:p>
      <w:pPr>
        <w:spacing w:line="360" w:lineRule="auto"/>
        <w:ind w:firstLine="422" w:firstLineChars="200"/>
        <w:rPr>
          <w:rFonts w:cs="楷体_GB2312" w:asciiTheme="minorEastAsia" w:hAnsiTheme="minorEastAsia" w:eastAsiaTheme="minorEastAsia"/>
          <w:sz w:val="22"/>
          <w:szCs w:val="28"/>
        </w:rPr>
      </w:pPr>
      <w:r>
        <w:rPr>
          <w:rFonts w:hint="eastAsia" w:asciiTheme="minorEastAsia" w:hAnsiTheme="minorEastAsia" w:eastAsiaTheme="minorEastAsia"/>
          <w:b/>
          <w:bCs/>
        </w:rPr>
        <w:t>《产品揭示书》、《权益须知》、《产品说明书》及《</w:t>
      </w:r>
      <w:r>
        <w:rPr>
          <w:rFonts w:hint="eastAsia" w:cs="楷体_GB2312" w:asciiTheme="minorEastAsia" w:hAnsiTheme="minorEastAsia" w:eastAsiaTheme="minorEastAsia"/>
          <w:b/>
          <w:color w:val="000000"/>
          <w:sz w:val="22"/>
          <w:szCs w:val="28"/>
        </w:rPr>
        <w:t>产品协议</w:t>
      </w:r>
      <w:r>
        <w:rPr>
          <w:rFonts w:hint="eastAsia" w:asciiTheme="minorEastAsia" w:hAnsiTheme="minorEastAsia" w:eastAsiaTheme="minorEastAsia"/>
          <w:b/>
          <w:bCs/>
        </w:rPr>
        <w:t>》</w:t>
      </w:r>
      <w:r>
        <w:rPr>
          <w:rFonts w:hint="eastAsia" w:cs="楷体_GB2312" w:asciiTheme="minorEastAsia" w:hAnsiTheme="minorEastAsia" w:eastAsiaTheme="minorEastAsia"/>
          <w:sz w:val="22"/>
          <w:szCs w:val="28"/>
        </w:rPr>
        <w:t>共同构成甲、乙双方之间的理财产品交易协议（以下简称“本协议”）。</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根据相关法律法规和监管规定，甲乙双方经友好协商，本着平等自愿、诚实信用的原则，就甲方向乙方购买人民币理财产品，达成协议如下：</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一、</w:t>
      </w:r>
      <w:r>
        <w:rPr>
          <w:rFonts w:hint="eastAsia" w:asciiTheme="minorEastAsia" w:hAnsiTheme="minorEastAsia" w:eastAsiaTheme="minorEastAsia"/>
          <w:b/>
          <w:bCs/>
        </w:rPr>
        <w:t>《产品揭示书》、《权益须知》、《产品说明书》及《</w:t>
      </w:r>
      <w:r>
        <w:rPr>
          <w:rFonts w:hint="eastAsia" w:cs="楷体_GB2312" w:asciiTheme="minorEastAsia" w:hAnsiTheme="minorEastAsia" w:eastAsiaTheme="minorEastAsia"/>
          <w:b/>
          <w:color w:val="000000"/>
          <w:sz w:val="22"/>
          <w:szCs w:val="28"/>
        </w:rPr>
        <w:t>产品协议</w:t>
      </w:r>
      <w:r>
        <w:rPr>
          <w:rFonts w:hint="eastAsia" w:asciiTheme="minorEastAsia" w:hAnsiTheme="minorEastAsia" w:eastAsiaTheme="minorEastAsia"/>
          <w:b/>
          <w:bCs/>
        </w:rPr>
        <w:t>》</w:t>
      </w:r>
      <w:r>
        <w:rPr>
          <w:rFonts w:hint="eastAsia" w:cs="楷体_GB2312" w:asciiTheme="minorEastAsia" w:hAnsiTheme="minorEastAsia" w:eastAsiaTheme="minorEastAsia"/>
          <w:sz w:val="22"/>
          <w:szCs w:val="28"/>
        </w:rPr>
        <w:t>以及业务凭证共同构成一份完整的、关于甲方所购某一理财产品的理财产品法律文件（以下简称“理财产品文件”）。</w:t>
      </w:r>
      <w:r>
        <w:rPr>
          <w:rFonts w:cs="楷体_GB2312" w:asciiTheme="minorEastAsia" w:hAnsiTheme="minorEastAsia" w:eastAsiaTheme="minorEastAsia"/>
          <w:sz w:val="22"/>
          <w:szCs w:val="28"/>
        </w:rPr>
        <w:t xml:space="preserve"> </w:t>
      </w:r>
    </w:p>
    <w:p>
      <w:pPr>
        <w:spacing w:line="360" w:lineRule="auto"/>
        <w:ind w:firstLine="442" w:firstLineChars="200"/>
        <w:rPr>
          <w:rFonts w:cs="楷体_GB2312" w:asciiTheme="minorEastAsia" w:hAnsiTheme="minorEastAsia" w:eastAsiaTheme="minorEastAsia"/>
          <w:b/>
          <w:sz w:val="22"/>
          <w:szCs w:val="28"/>
        </w:rPr>
      </w:pPr>
      <w:r>
        <w:rPr>
          <w:rFonts w:hint="eastAsia" w:cs="楷体_GB2312" w:asciiTheme="minorEastAsia" w:hAnsiTheme="minorEastAsia" w:eastAsiaTheme="minorEastAsia"/>
          <w:b/>
          <w:sz w:val="22"/>
          <w:szCs w:val="28"/>
        </w:rPr>
        <w:t>二、甲方声明和保证：</w:t>
      </w:r>
      <w:r>
        <w:rPr>
          <w:rFonts w:cs="楷体_GB2312" w:asciiTheme="minorEastAsia" w:hAnsiTheme="minorEastAsia" w:eastAsiaTheme="minorEastAsia"/>
          <w:b/>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（一）个人投资者声明和保证</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cs="楷体_GB2312" w:asciiTheme="minorEastAsia" w:hAnsiTheme="minorEastAsia" w:eastAsiaTheme="minorEastAsia"/>
          <w:sz w:val="22"/>
          <w:szCs w:val="28"/>
        </w:rPr>
        <w:t>1</w:t>
      </w:r>
      <w:r>
        <w:rPr>
          <w:rFonts w:hint="eastAsia" w:cs="楷体_GB2312" w:asciiTheme="minorEastAsia" w:hAnsiTheme="minorEastAsia" w:eastAsiaTheme="minorEastAsia"/>
          <w:sz w:val="22"/>
          <w:szCs w:val="28"/>
        </w:rPr>
        <w:t>、甲方具有完全民事行为能力；</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cs="楷体_GB2312" w:asciiTheme="minorEastAsia" w:hAnsiTheme="minorEastAsia" w:eastAsiaTheme="minorEastAsia"/>
          <w:sz w:val="22"/>
          <w:szCs w:val="28"/>
        </w:rPr>
        <w:t>2</w:t>
      </w:r>
      <w:r>
        <w:rPr>
          <w:rFonts w:hint="eastAsia" w:cs="楷体_GB2312" w:asciiTheme="minorEastAsia" w:hAnsiTheme="minorEastAsia" w:eastAsiaTheme="minorEastAsia"/>
          <w:sz w:val="22"/>
          <w:szCs w:val="28"/>
        </w:rPr>
        <w:t>、甲方以本人合法所有的资金购买理财产品；</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cs="楷体_GB2312" w:asciiTheme="minorEastAsia" w:hAnsiTheme="minorEastAsia" w:eastAsiaTheme="minorEastAsia"/>
          <w:sz w:val="22"/>
          <w:szCs w:val="28"/>
        </w:rPr>
        <w:t>3</w:t>
      </w:r>
      <w:r>
        <w:rPr>
          <w:rFonts w:hint="eastAsia" w:cs="楷体_GB2312" w:asciiTheme="minorEastAsia" w:hAnsiTheme="minorEastAsia" w:eastAsiaTheme="minorEastAsia"/>
          <w:sz w:val="22"/>
          <w:szCs w:val="28"/>
        </w:rPr>
        <w:t>、甲方已如实向乙方披露其风险承受能力状况及相关信息；</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cs="楷体_GB2312" w:asciiTheme="minorEastAsia" w:hAnsiTheme="minorEastAsia" w:eastAsiaTheme="minorEastAsia"/>
          <w:sz w:val="22"/>
          <w:szCs w:val="28"/>
        </w:rPr>
        <w:t>4</w:t>
      </w:r>
      <w:r>
        <w:rPr>
          <w:rFonts w:hint="eastAsia" w:cs="楷体_GB2312" w:asciiTheme="minorEastAsia" w:hAnsiTheme="minorEastAsia" w:eastAsiaTheme="minor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（二）机构投资者声明和保证</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cs="楷体_GB2312" w:asciiTheme="minorEastAsia" w:hAnsiTheme="minorEastAsia" w:eastAsiaTheme="minorEastAsia"/>
          <w:sz w:val="22"/>
          <w:szCs w:val="28"/>
        </w:rPr>
        <w:t>1</w:t>
      </w:r>
      <w:r>
        <w:rPr>
          <w:rFonts w:hint="eastAsia" w:cs="楷体_GB2312" w:asciiTheme="minorEastAsia" w:hAnsiTheme="minorEastAsia" w:eastAsiaTheme="minorEastAsia"/>
          <w:sz w:val="22"/>
          <w:szCs w:val="28"/>
        </w:rPr>
        <w:t>、甲方为依法设立并合法存续的企业法人、事业法人、社会团体或其他组织，具有依据法律法规投资理财产品的资格；</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cs="楷体_GB2312" w:asciiTheme="minorEastAsia" w:hAnsiTheme="minorEastAsia" w:eastAsiaTheme="minorEastAsia"/>
          <w:sz w:val="22"/>
          <w:szCs w:val="28"/>
        </w:rPr>
        <w:t>2</w:t>
      </w:r>
      <w:r>
        <w:rPr>
          <w:rFonts w:hint="eastAsia" w:cs="楷体_GB2312" w:asciiTheme="minorEastAsia" w:hAnsiTheme="minorEastAsia" w:eastAsiaTheme="minor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cs="楷体_GB2312" w:asciiTheme="minorEastAsia" w:hAnsiTheme="minorEastAsia" w:eastAsiaTheme="minorEastAsia"/>
          <w:sz w:val="22"/>
          <w:szCs w:val="28"/>
        </w:rPr>
        <w:t>3</w:t>
      </w:r>
      <w:r>
        <w:rPr>
          <w:rFonts w:hint="eastAsia" w:cs="楷体_GB2312" w:asciiTheme="minorEastAsia" w:hAnsiTheme="minorEastAsia" w:eastAsiaTheme="minorEastAsia"/>
          <w:sz w:val="22"/>
          <w:szCs w:val="28"/>
        </w:rPr>
        <w:t>、甲方用于购买理财产品的资金为其合法所有并具有完全的占有、使用、收益、处分权，该资金可合法地投资于理财产品而不存在任何禁止或限制情形；</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cs="楷体_GB2312" w:asciiTheme="minorEastAsia" w:hAnsiTheme="minorEastAsia" w:eastAsiaTheme="minorEastAsia"/>
          <w:sz w:val="22"/>
          <w:szCs w:val="28"/>
        </w:rPr>
        <w:t>4</w:t>
      </w:r>
      <w:r>
        <w:rPr>
          <w:rFonts w:hint="eastAsia" w:cs="楷体_GB2312" w:asciiTheme="minorEastAsia" w:hAnsiTheme="minorEastAsia" w:eastAsiaTheme="minorEastAsia"/>
          <w:sz w:val="22"/>
          <w:szCs w:val="28"/>
        </w:rPr>
        <w:t>、甲方已如实、完整向乙方披露其风险承受能力状况及相关信息；</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cs="楷体_GB2312" w:asciiTheme="minorEastAsia" w:hAnsiTheme="minorEastAsia" w:eastAsiaTheme="minorEastAsia"/>
          <w:sz w:val="22"/>
          <w:szCs w:val="28"/>
        </w:rPr>
        <w:t>5</w:t>
      </w:r>
      <w:r>
        <w:rPr>
          <w:rFonts w:hint="eastAsia" w:cs="楷体_GB2312" w:asciiTheme="minorEastAsia" w:hAnsiTheme="minorEastAsia" w:eastAsiaTheme="minorEastAsia"/>
          <w:sz w:val="22"/>
          <w:szCs w:val="28"/>
        </w:rPr>
        <w:t>、甲方之授权签字人已得到签署理财产品文件的充分有效授权。甲方的法定代表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pPr>
        <w:spacing w:line="360" w:lineRule="auto"/>
        <w:ind w:firstLine="442" w:firstLineChars="200"/>
        <w:rPr>
          <w:rFonts w:cs="楷体_GB2312" w:asciiTheme="minorEastAsia" w:hAnsiTheme="minorEastAsia" w:eastAsiaTheme="minorEastAsia"/>
          <w:b/>
          <w:sz w:val="22"/>
          <w:szCs w:val="28"/>
        </w:rPr>
      </w:pPr>
      <w:r>
        <w:rPr>
          <w:rFonts w:hint="eastAsia" w:cs="楷体_GB2312" w:asciiTheme="minorEastAsia" w:hAnsiTheme="minorEastAsia" w:eastAsiaTheme="minorEastAsia"/>
          <w:b/>
          <w:sz w:val="22"/>
          <w:szCs w:val="28"/>
        </w:rPr>
        <w:t>三、双方权利与义务</w:t>
      </w:r>
      <w:r>
        <w:rPr>
          <w:rFonts w:cs="楷体_GB2312" w:asciiTheme="minorEastAsia" w:hAnsiTheme="minorEastAsia" w:eastAsiaTheme="minorEastAsia"/>
          <w:b/>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（一）甲方有权依照理财产品文件约定获取投资收益，在约定的投资期内，投资本金不另计存款利息。</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（二）甲方有义务保证投资资金的来源合法，投资行为及资金投向符合法律、法规及相关监管部门的规定。</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（三）甲方有义务保证所提供的信息、资料真实有效，如变更，应及时到乙方办理变更登记，因甲方未及时办理相关变更手续而造成的损失，乙方不承担责任。</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（四）甲方有义务在其资金账户中预留足额的认</w:t>
      </w:r>
      <w:r>
        <w:rPr>
          <w:rFonts w:cs="楷体_GB2312" w:asciiTheme="minorEastAsia" w:hAnsiTheme="minorEastAsia" w:eastAsiaTheme="minorEastAsia"/>
          <w:sz w:val="22"/>
          <w:szCs w:val="28"/>
        </w:rPr>
        <w:t>/</w:t>
      </w:r>
      <w:r>
        <w:rPr>
          <w:rFonts w:hint="eastAsia" w:cs="楷体_GB2312" w:asciiTheme="minorEastAsia" w:hAnsiTheme="minorEastAsia" w:eastAsiaTheme="minorEastAsia"/>
          <w:sz w:val="22"/>
          <w:szCs w:val="28"/>
        </w:rPr>
        <w:t>申购资金，并按照理财产品文件和乙方业务规定办理认</w:t>
      </w:r>
      <w:r>
        <w:rPr>
          <w:rFonts w:cs="楷体_GB2312" w:asciiTheme="minorEastAsia" w:hAnsiTheme="minorEastAsia" w:eastAsiaTheme="minorEastAsia"/>
          <w:sz w:val="22"/>
          <w:szCs w:val="28"/>
        </w:rPr>
        <w:t>/</w:t>
      </w:r>
      <w:r>
        <w:rPr>
          <w:rFonts w:hint="eastAsia" w:cs="楷体_GB2312" w:asciiTheme="minorEastAsia" w:hAnsiTheme="minorEastAsia" w:eastAsiaTheme="minorEastAsia"/>
          <w:sz w:val="22"/>
          <w:szCs w:val="28"/>
        </w:rPr>
        <w:t>申购、赎回、转换理财产品，缴纳认</w:t>
      </w:r>
      <w:r>
        <w:rPr>
          <w:rFonts w:cs="楷体_GB2312" w:asciiTheme="minorEastAsia" w:hAnsiTheme="minorEastAsia" w:eastAsiaTheme="minorEastAsia"/>
          <w:sz w:val="22"/>
          <w:szCs w:val="28"/>
        </w:rPr>
        <w:t>/</w:t>
      </w:r>
      <w:r>
        <w:rPr>
          <w:rFonts w:hint="eastAsia" w:cs="楷体_GB2312" w:asciiTheme="minorEastAsia" w:hAnsiTheme="minorEastAsia" w:eastAsiaTheme="minorEastAsia"/>
          <w:sz w:val="22"/>
          <w:szCs w:val="28"/>
        </w:rPr>
        <w:t>申购、赎回、转换理财产品的资金和费用等理财款项。如因甲方原因导致理财款项不能从其资金账户足额划转的，认</w:t>
      </w:r>
      <w:r>
        <w:rPr>
          <w:rFonts w:cs="楷体_GB2312" w:asciiTheme="minorEastAsia" w:hAnsiTheme="minorEastAsia" w:eastAsiaTheme="minorEastAsia"/>
          <w:sz w:val="22"/>
          <w:szCs w:val="28"/>
        </w:rPr>
        <w:t>/</w:t>
      </w:r>
      <w:r>
        <w:rPr>
          <w:rFonts w:hint="eastAsia" w:cs="楷体_GB2312" w:asciiTheme="minorEastAsia" w:hAnsiTheme="minorEastAsia" w:eastAsiaTheme="minorEastAsia"/>
          <w:sz w:val="22"/>
          <w:szCs w:val="28"/>
        </w:rPr>
        <w:t>申购、赎回、转换等行为无效，乙方不承担责任。</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（六）乙方有权从甲方资金账户扣划本协议项下理财产品相应认</w:t>
      </w:r>
      <w:r>
        <w:rPr>
          <w:rFonts w:cs="楷体_GB2312" w:asciiTheme="minorEastAsia" w:hAnsiTheme="minorEastAsia" w:eastAsiaTheme="minorEastAsia"/>
          <w:sz w:val="22"/>
          <w:szCs w:val="28"/>
        </w:rPr>
        <w:t>/</w:t>
      </w:r>
      <w:r>
        <w:rPr>
          <w:rFonts w:hint="eastAsia" w:cs="楷体_GB2312" w:asciiTheme="minorEastAsia" w:hAnsiTheme="minorEastAsia" w:eastAsiaTheme="minorEastAsia"/>
          <w:sz w:val="22"/>
          <w:szCs w:val="28"/>
        </w:rPr>
        <w:t>申购资金等理财款项，或将相应资金币种转换后进行境外投资。</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（七）乙方有权依据理财产品文件决定投资本金和收益分配方案；乙方有权向甲方收取一定的理财产品管理费，具体收费方式和标准在《产品说明书》中载明。</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理变更手续，如因甲方未及时办理变更手续而造成投资本金误扣划以及投资本金与收益无法入账，甲方承担全部责任。</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（十）乙方有义务根据恪守信用、勤勉尽责的原则管理和运用理财产品财产，维护甲方利益。</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（十一）除另有约定外，乙方不负责代扣代缴甲方应缴纳的税款。</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（十二）甲、乙双方对本协议及其条款负有保密义务。除法律法规、监管部门另有规定外，未经一方书面认可，另一方不得向任何组织、个人提供或泄漏与对方有关的资料和信息。</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（十三）法律法规和理财产品文件规定的其他权利和义务。</w:t>
      </w:r>
    </w:p>
    <w:p>
      <w:pPr>
        <w:spacing w:line="360" w:lineRule="auto"/>
        <w:ind w:firstLine="442" w:firstLineChars="200"/>
        <w:rPr>
          <w:rFonts w:cs="楷体_GB2312" w:asciiTheme="minorEastAsia" w:hAnsiTheme="minorEastAsia" w:eastAsiaTheme="minorEastAsia"/>
          <w:b/>
          <w:sz w:val="22"/>
          <w:szCs w:val="28"/>
        </w:rPr>
      </w:pPr>
      <w:r>
        <w:rPr>
          <w:rFonts w:hint="eastAsia" w:cs="楷体_GB2312" w:asciiTheme="minorEastAsia" w:hAnsiTheme="minorEastAsia" w:eastAsiaTheme="minorEastAsia"/>
          <w:b/>
          <w:sz w:val="22"/>
          <w:szCs w:val="28"/>
        </w:rPr>
        <w:t>四、违约及争议解决</w:t>
      </w:r>
      <w:r>
        <w:rPr>
          <w:rFonts w:cs="楷体_GB2312" w:asciiTheme="minorEastAsia" w:hAnsiTheme="minorEastAsia" w:eastAsiaTheme="minorEastAsia"/>
          <w:b/>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（一）一方不能履行或者不能完全履行理财产品文件的，应承担违约责任。</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（四）本协议及理财产品文件均适用中华人民共和国法律。本协议项下的任何争议，双方应通过友好协商解决；若协商不成，应向乙方所在地人民法院诉讼解决。</w:t>
      </w:r>
    </w:p>
    <w:p>
      <w:pPr>
        <w:spacing w:line="360" w:lineRule="auto"/>
        <w:ind w:firstLine="442" w:firstLineChars="200"/>
        <w:rPr>
          <w:rFonts w:cs="楷体_GB2312" w:asciiTheme="minorEastAsia" w:hAnsiTheme="minorEastAsia" w:eastAsiaTheme="minorEastAsia"/>
          <w:b/>
          <w:sz w:val="22"/>
          <w:szCs w:val="28"/>
        </w:rPr>
      </w:pPr>
      <w:r>
        <w:rPr>
          <w:rFonts w:cs="楷体_GB2312" w:asciiTheme="minorEastAsia" w:hAnsiTheme="minorEastAsia" w:eastAsiaTheme="minorEastAsia"/>
          <w:b/>
          <w:sz w:val="22"/>
          <w:szCs w:val="28"/>
        </w:rPr>
        <w:t xml:space="preserve"> </w:t>
      </w:r>
      <w:r>
        <w:rPr>
          <w:rFonts w:hint="eastAsia" w:cs="楷体_GB2312" w:asciiTheme="minorEastAsia" w:hAnsiTheme="minorEastAsia" w:eastAsiaTheme="minorEastAsia"/>
          <w:b/>
          <w:sz w:val="22"/>
          <w:szCs w:val="28"/>
        </w:rPr>
        <w:t>五、协议生效、终止及其他</w:t>
      </w:r>
      <w:r>
        <w:rPr>
          <w:rFonts w:cs="楷体_GB2312" w:asciiTheme="minorEastAsia" w:hAnsiTheme="minorEastAsia" w:eastAsiaTheme="minorEastAsia"/>
          <w:b/>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（一）甲方为个人投资者的，本协议经甲方签字，乙方盖章后生效；甲方为机构投资者的，本协议经甲方授权签字人签字并加盖法人公章，乙方盖章后生效；</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（二）除《产品说明书》约定的提前终止情形外，甲方有违约行为或甲方资金账户被有权机关冻结、扣划时，乙方有权提前终止本协议。</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（三）如甲方与乙方之间存在多份产品协议书，则每一份产品协议书之间相互独立，每一份产品协议书的效力及履行情况均独立于其他产品协议书。</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（四）本产品协议书一式二份，经双方签字或盖章且产品协议书项下的认购资金存入理财账户后生效，双方各执一份，具有同等法律效力。</w:t>
      </w:r>
    </w:p>
    <w:p>
      <w:pPr>
        <w:widowControl/>
        <w:jc w:val="left"/>
        <w:rPr>
          <w:rFonts w:cs="楷体_GB2312" w:asciiTheme="minorEastAsia" w:hAnsiTheme="minorEastAsia" w:eastAsiaTheme="minorEastAsia"/>
          <w:sz w:val="22"/>
          <w:szCs w:val="28"/>
        </w:rPr>
      </w:pPr>
      <w:r>
        <w:rPr>
          <w:rFonts w:cs="楷体_GB2312" w:asciiTheme="minorEastAsia" w:hAnsiTheme="minorEastAsia" w:eastAsiaTheme="minorEastAsia"/>
          <w:sz w:val="22"/>
          <w:szCs w:val="28"/>
        </w:rPr>
        <w:br w:type="page"/>
      </w:r>
    </w:p>
    <w:p>
      <w:pPr>
        <w:spacing w:line="360" w:lineRule="auto"/>
        <w:jc w:val="center"/>
        <w:rPr>
          <w:rFonts w:cs="楷体_GB2312" w:asciiTheme="minorEastAsia" w:hAnsiTheme="minorEastAsia" w:eastAsiaTheme="minorEastAsia"/>
          <w:sz w:val="22"/>
          <w:szCs w:val="28"/>
        </w:rPr>
      </w:pPr>
      <w:r>
        <w:rPr>
          <w:rFonts w:hint="eastAsia" w:asciiTheme="minorEastAsia" w:hAnsiTheme="minorEastAsia" w:eastAsiaTheme="minorEastAsia"/>
          <w:b/>
          <w:sz w:val="28"/>
        </w:rPr>
        <w:t>客户确认栏（个人客户填写）</w:t>
      </w:r>
    </w:p>
    <w:p>
      <w:pPr>
        <w:pStyle w:val="18"/>
        <w:spacing w:line="360" w:lineRule="auto"/>
        <w:jc w:val="both"/>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本人经桐庐农商银行评估的风险承受能力等级为：</w:t>
      </w:r>
    </w:p>
    <w:p>
      <w:pPr>
        <w:pStyle w:val="18"/>
        <w:spacing w:line="360" w:lineRule="auto"/>
        <w:jc w:val="both"/>
        <w:rPr>
          <w:rFonts w:asciiTheme="minorEastAsia" w:hAnsiTheme="minorEastAsia" w:eastAsiaTheme="minorEastAsia"/>
          <w:color w:val="auto"/>
          <w:sz w:val="21"/>
          <w:szCs w:val="21"/>
          <w:u w:val="single"/>
        </w:rPr>
      </w:pPr>
      <w:r>
        <w:rPr>
          <w:rFonts w:hint="eastAsia" w:asciiTheme="minorEastAsia" w:hAnsiTheme="minorEastAsia" w:eastAsiaTheme="minorEastAsia"/>
          <w:color w:val="auto"/>
          <w:sz w:val="21"/>
          <w:szCs w:val="21"/>
          <w:u w:val="single"/>
        </w:rPr>
        <w:t>□保守型</w:t>
      </w:r>
      <w:r>
        <w:rPr>
          <w:rFonts w:asciiTheme="minorEastAsia" w:hAnsiTheme="minorEastAsia" w:eastAsiaTheme="minorEastAsia"/>
          <w:color w:val="auto"/>
          <w:sz w:val="21"/>
          <w:szCs w:val="21"/>
          <w:u w:val="single"/>
        </w:rPr>
        <w:t xml:space="preserve">        </w:t>
      </w:r>
      <w:r>
        <w:rPr>
          <w:rFonts w:hint="eastAsia" w:asciiTheme="minorEastAsia" w:hAnsiTheme="minorEastAsia" w:eastAsiaTheme="minorEastAsia"/>
          <w:color w:val="auto"/>
          <w:sz w:val="21"/>
          <w:szCs w:val="21"/>
          <w:u w:val="single"/>
        </w:rPr>
        <w:t>□</w:t>
      </w:r>
      <w:r>
        <w:rPr>
          <w:rFonts w:asciiTheme="minorEastAsia" w:hAnsiTheme="minorEastAsia" w:eastAsiaTheme="minorEastAsia"/>
          <w:color w:val="auto"/>
          <w:sz w:val="21"/>
          <w:szCs w:val="21"/>
          <w:u w:val="single"/>
        </w:rPr>
        <w:t xml:space="preserve">谨慎型        </w:t>
      </w:r>
      <w:r>
        <w:rPr>
          <w:rFonts w:hint="eastAsia" w:asciiTheme="minorEastAsia" w:hAnsiTheme="minorEastAsia" w:eastAsiaTheme="minorEastAsia"/>
          <w:color w:val="auto"/>
          <w:sz w:val="21"/>
          <w:szCs w:val="21"/>
          <w:u w:val="single"/>
        </w:rPr>
        <w:t>□</w:t>
      </w:r>
      <w:r>
        <w:rPr>
          <w:rFonts w:asciiTheme="minorEastAsia" w:hAnsiTheme="minorEastAsia" w:eastAsiaTheme="minorEastAsia"/>
          <w:color w:val="auto"/>
          <w:sz w:val="21"/>
          <w:szCs w:val="21"/>
          <w:u w:val="single"/>
        </w:rPr>
        <w:t xml:space="preserve">稳健型        </w:t>
      </w:r>
      <w:r>
        <w:rPr>
          <w:rFonts w:hint="eastAsia" w:asciiTheme="minorEastAsia" w:hAnsiTheme="minorEastAsia" w:eastAsiaTheme="minorEastAsia"/>
          <w:color w:val="auto"/>
          <w:sz w:val="21"/>
          <w:szCs w:val="21"/>
          <w:u w:val="single"/>
        </w:rPr>
        <w:t>□</w:t>
      </w:r>
      <w:r>
        <w:rPr>
          <w:rFonts w:asciiTheme="minorEastAsia" w:hAnsiTheme="minorEastAsia" w:eastAsiaTheme="minorEastAsia"/>
          <w:color w:val="auto"/>
          <w:sz w:val="21"/>
          <w:szCs w:val="21"/>
          <w:u w:val="single"/>
        </w:rPr>
        <w:t xml:space="preserve">进取型        </w:t>
      </w:r>
      <w:r>
        <w:rPr>
          <w:rFonts w:hint="eastAsia" w:asciiTheme="minorEastAsia" w:hAnsiTheme="minorEastAsia" w:eastAsiaTheme="minorEastAsia"/>
          <w:color w:val="auto"/>
          <w:sz w:val="21"/>
          <w:szCs w:val="21"/>
          <w:u w:val="single"/>
        </w:rPr>
        <w:t>□</w:t>
      </w:r>
      <w:r>
        <w:rPr>
          <w:rFonts w:asciiTheme="minorEastAsia" w:hAnsiTheme="minorEastAsia" w:eastAsiaTheme="minorEastAsia"/>
          <w:color w:val="auto"/>
          <w:sz w:val="21"/>
          <w:szCs w:val="21"/>
          <w:u w:val="single"/>
        </w:rPr>
        <w:t xml:space="preserve">激进型    </w:t>
      </w:r>
    </w:p>
    <w:p>
      <w:pPr>
        <w:pStyle w:val="18"/>
        <w:spacing w:line="360" w:lineRule="auto"/>
        <w:jc w:val="both"/>
        <w:rPr>
          <w:rFonts w:asciiTheme="minorEastAsia" w:hAnsiTheme="minorEastAsia" w:eastAsiaTheme="minorEastAsia"/>
          <w:b/>
          <w:bCs/>
          <w:color w:val="auto"/>
          <w:sz w:val="21"/>
          <w:szCs w:val="21"/>
        </w:rPr>
      </w:pPr>
      <w:r>
        <w:rPr>
          <w:rFonts w:hint="eastAsia" w:asciiTheme="minorEastAsia" w:hAnsiTheme="minorEastAsia" w:eastAsiaTheme="minorEastAsia"/>
          <w:b/>
          <w:bCs/>
          <w:color w:val="auto"/>
          <w:sz w:val="21"/>
          <w:szCs w:val="21"/>
        </w:rPr>
        <w:t>声明：本人已充分阅读《产品揭示书》、《权益须知》、《产品说明书》及《</w:t>
      </w:r>
      <w:r>
        <w:rPr>
          <w:rFonts w:hint="eastAsia" w:cs="楷体_GB2312" w:asciiTheme="minorEastAsia" w:hAnsiTheme="minorEastAsia" w:eastAsiaTheme="minorEastAsia"/>
          <w:b/>
          <w:sz w:val="22"/>
          <w:szCs w:val="28"/>
        </w:rPr>
        <w:t>产品协议条款</w:t>
      </w:r>
      <w:r>
        <w:rPr>
          <w:rFonts w:hint="eastAsia" w:asciiTheme="minorEastAsia" w:hAnsiTheme="minorEastAsia" w:eastAsiaTheme="minorEastAsia"/>
          <w:b/>
          <w:bCs/>
          <w:color w:val="auto"/>
          <w:sz w:val="21"/>
          <w:szCs w:val="21"/>
        </w:rPr>
        <w:t>》，并已对其作全面、准确的理解，充分认识到投资本理财产品需求承担的风险，并自愿承担此风险。</w:t>
      </w:r>
    </w:p>
    <w:p>
      <w:pPr>
        <w:pStyle w:val="18"/>
        <w:spacing w:line="360" w:lineRule="auto"/>
        <w:jc w:val="both"/>
        <w:rPr>
          <w:rFonts w:asciiTheme="minorEastAsia" w:hAnsiTheme="minorEastAsia" w:eastAsiaTheme="minorEastAsia"/>
          <w:b/>
          <w:color w:val="auto"/>
          <w:sz w:val="21"/>
          <w:szCs w:val="21"/>
        </w:rPr>
      </w:pPr>
      <w:r>
        <w:rPr>
          <w:rFonts w:hint="eastAsia" w:asciiTheme="minorEastAsia" w:hAnsiTheme="minorEastAsia" w:eastAsiaTheme="minorEastAsia"/>
          <w:color w:val="auto"/>
          <w:sz w:val="21"/>
          <w:szCs w:val="21"/>
        </w:rPr>
        <w:t>（客户需全文抄录以下文字以完成确认：</w:t>
      </w:r>
      <w:r>
        <w:rPr>
          <w:rFonts w:hint="eastAsia" w:asciiTheme="minorEastAsia" w:hAnsiTheme="minorEastAsia" w:eastAsiaTheme="minorEastAsia"/>
          <w:b/>
          <w:color w:val="auto"/>
          <w:sz w:val="21"/>
          <w:szCs w:val="21"/>
        </w:rPr>
        <w:t>“本人已经阅读上述风险揭示，愿意承担投资风险。”）</w:t>
      </w:r>
      <w:r>
        <w:rPr>
          <w:rFonts w:asciiTheme="minorEastAsia" w:hAnsiTheme="minorEastAsia" w:eastAsiaTheme="minorEastAsia"/>
          <w:b/>
          <w:color w:val="auto"/>
          <w:sz w:val="21"/>
          <w:szCs w:val="21"/>
        </w:rPr>
        <w:t xml:space="preserve"> </w:t>
      </w:r>
    </w:p>
    <w:p>
      <w:pPr>
        <w:pStyle w:val="18"/>
        <w:spacing w:line="360" w:lineRule="auto"/>
        <w:jc w:val="both"/>
        <w:rPr>
          <w:rFonts w:asciiTheme="minorEastAsia" w:hAnsiTheme="minorEastAsia" w:eastAsiaTheme="minorEastAsia"/>
          <w:color w:val="auto"/>
          <w:sz w:val="21"/>
          <w:szCs w:val="21"/>
          <w:u w:val="single"/>
        </w:rPr>
      </w:pPr>
      <w:r>
        <w:rPr>
          <w:rFonts w:hint="eastAsia" w:asciiTheme="minorEastAsia" w:hAnsiTheme="minorEastAsia" w:eastAsiaTheme="minorEastAsia"/>
          <w:color w:val="auto"/>
          <w:sz w:val="21"/>
          <w:szCs w:val="21"/>
        </w:rPr>
        <w:t>本人同时确认如下：</w:t>
      </w:r>
    </w:p>
    <w:p>
      <w:pPr>
        <w:spacing w:line="360" w:lineRule="auto"/>
        <w:rPr>
          <w:rFonts w:asciiTheme="minorEastAsia" w:hAnsiTheme="minorEastAsia" w:eastAsiaTheme="minorEastAsia"/>
          <w:kern w:val="0"/>
        </w:rPr>
      </w:pPr>
    </w:p>
    <w:p>
      <w:pPr>
        <w:spacing w:line="360" w:lineRule="auto"/>
        <w:rPr>
          <w:rFonts w:asciiTheme="minorEastAsia" w:hAnsiTheme="minorEastAsia" w:eastAsiaTheme="minorEastAsia"/>
          <w:kern w:val="0"/>
        </w:rPr>
      </w:pPr>
    </w:p>
    <w:p>
      <w:pPr>
        <w:spacing w:line="360" w:lineRule="auto"/>
        <w:rPr>
          <w:rFonts w:asciiTheme="minorEastAsia" w:hAnsiTheme="minorEastAsia" w:eastAsiaTheme="minorEastAsia"/>
          <w:kern w:val="0"/>
        </w:rPr>
      </w:pPr>
      <w:r>
        <w:rPr>
          <w:rFonts w:hint="eastAsia" w:asciiTheme="minorEastAsia" w:hAnsiTheme="minorEastAsia" w:eastAsiaTheme="minorEastAsia"/>
          <w:kern w:val="0"/>
        </w:rPr>
        <w:t>确认人（签字）：</w:t>
      </w:r>
      <w:r>
        <w:rPr>
          <w:rFonts w:asciiTheme="minorEastAsia" w:hAnsiTheme="minorEastAsia" w:eastAsiaTheme="minorEastAsia"/>
          <w:kern w:val="0"/>
        </w:rPr>
        <w:t xml:space="preserve">                                             </w:t>
      </w:r>
      <w:r>
        <w:rPr>
          <w:rFonts w:hint="eastAsia" w:asciiTheme="minorEastAsia" w:hAnsiTheme="minorEastAsia" w:eastAsiaTheme="minorEastAsia"/>
          <w:kern w:val="0"/>
        </w:rPr>
        <w:t>日期：</w:t>
      </w:r>
      <w:r>
        <w:rPr>
          <w:rFonts w:asciiTheme="minorEastAsia" w:hAnsiTheme="minorEastAsia" w:eastAsiaTheme="minorEastAsia"/>
        </w:rPr>
        <w:t xml:space="preserve">  </w:t>
      </w:r>
      <w:r>
        <w:rPr>
          <w:rFonts w:hint="eastAsia" w:asciiTheme="minorEastAsia" w:hAnsiTheme="minorEastAsia" w:eastAsiaTheme="minorEastAsia"/>
        </w:rPr>
        <w:t>年</w:t>
      </w:r>
      <w:r>
        <w:rPr>
          <w:rFonts w:asciiTheme="minorEastAsia" w:hAnsiTheme="minorEastAsia" w:eastAsiaTheme="minorEastAsia"/>
        </w:rPr>
        <w:t xml:space="preserve">  </w:t>
      </w:r>
      <w:r>
        <w:rPr>
          <w:rFonts w:hint="eastAsia" w:asciiTheme="minorEastAsia" w:hAnsiTheme="minorEastAsia" w:eastAsiaTheme="minorEastAsia"/>
        </w:rPr>
        <w:t>月</w:t>
      </w:r>
      <w:r>
        <w:rPr>
          <w:rFonts w:asciiTheme="minorEastAsia" w:hAnsiTheme="minorEastAsia" w:eastAsiaTheme="minorEastAsia"/>
        </w:rPr>
        <w:t xml:space="preserve">  </w:t>
      </w:r>
      <w:r>
        <w:rPr>
          <w:rFonts w:hint="eastAsia" w:asciiTheme="minorEastAsia" w:hAnsiTheme="minorEastAsia" w:eastAsiaTheme="minorEastAsia"/>
        </w:rPr>
        <w:t>日</w:t>
      </w:r>
    </w:p>
    <w:p>
      <w:pPr>
        <w:pStyle w:val="18"/>
        <w:spacing w:line="360" w:lineRule="auto"/>
        <w:rPr>
          <w:rFonts w:asciiTheme="minorEastAsia" w:hAnsiTheme="minorEastAsia" w:eastAsiaTheme="minorEastAsia"/>
          <w:b/>
          <w:color w:val="auto"/>
          <w:sz w:val="28"/>
          <w:szCs w:val="21"/>
        </w:rPr>
      </w:pPr>
    </w:p>
    <w:p>
      <w:pPr>
        <w:pStyle w:val="18"/>
        <w:spacing w:line="360" w:lineRule="auto"/>
        <w:rPr>
          <w:rFonts w:asciiTheme="minorEastAsia" w:hAnsiTheme="minorEastAsia" w:eastAsiaTheme="minorEastAsia"/>
          <w:b/>
          <w:color w:val="auto"/>
          <w:sz w:val="28"/>
          <w:szCs w:val="21"/>
        </w:rPr>
      </w:pPr>
    </w:p>
    <w:p>
      <w:pPr>
        <w:pStyle w:val="18"/>
        <w:spacing w:line="360" w:lineRule="auto"/>
        <w:jc w:val="center"/>
        <w:rPr>
          <w:rFonts w:asciiTheme="minorEastAsia" w:hAnsiTheme="minorEastAsia" w:eastAsiaTheme="minorEastAsia"/>
          <w:b/>
          <w:color w:val="auto"/>
          <w:sz w:val="28"/>
          <w:szCs w:val="21"/>
        </w:rPr>
      </w:pPr>
      <w:r>
        <w:rPr>
          <w:rFonts w:hint="eastAsia" w:asciiTheme="minorEastAsia" w:hAnsiTheme="minorEastAsia" w:eastAsiaTheme="minorEastAsia"/>
          <w:b/>
          <w:color w:val="auto"/>
          <w:sz w:val="28"/>
          <w:szCs w:val="21"/>
        </w:rPr>
        <w:t>客户确认栏（机构客户填写）</w:t>
      </w:r>
    </w:p>
    <w:p>
      <w:pPr>
        <w:pStyle w:val="18"/>
        <w:spacing w:line="360" w:lineRule="auto"/>
        <w:jc w:val="both"/>
        <w:rPr>
          <w:rFonts w:asciiTheme="minorEastAsia" w:hAnsiTheme="minorEastAsia" w:eastAsiaTheme="minorEastAsia"/>
          <w:b/>
          <w:bCs/>
          <w:color w:val="auto"/>
          <w:sz w:val="21"/>
          <w:szCs w:val="21"/>
        </w:rPr>
      </w:pPr>
      <w:r>
        <w:rPr>
          <w:rFonts w:hint="eastAsia" w:asciiTheme="minorEastAsia" w:hAnsiTheme="minorEastAsia" w:eastAsiaTheme="minorEastAsia"/>
          <w:b/>
          <w:bCs/>
          <w:color w:val="auto"/>
          <w:sz w:val="21"/>
          <w:szCs w:val="21"/>
        </w:rPr>
        <w:t>声明：我单位已充分阅读《产品揭示书》、《权益须知》、《产品说明书》及《</w:t>
      </w:r>
      <w:r>
        <w:rPr>
          <w:rFonts w:hint="eastAsia" w:cs="楷体_GB2312" w:asciiTheme="minorEastAsia" w:hAnsiTheme="minorEastAsia" w:eastAsiaTheme="minorEastAsia"/>
          <w:b/>
          <w:sz w:val="22"/>
          <w:szCs w:val="28"/>
        </w:rPr>
        <w:t>产品协议条款</w:t>
      </w:r>
      <w:r>
        <w:rPr>
          <w:rFonts w:hint="eastAsia" w:asciiTheme="minorEastAsia" w:hAnsiTheme="minorEastAsia" w:eastAsiaTheme="minorEastAsia"/>
          <w:b/>
          <w:bCs/>
          <w:color w:val="auto"/>
          <w:sz w:val="21"/>
          <w:szCs w:val="21"/>
        </w:rPr>
        <w:t>》，并已对其作全面、准确的理解，充分认识到投资本理财产品需求承担的风险，并自愿承担此风险。</w:t>
      </w:r>
    </w:p>
    <w:p>
      <w:pPr>
        <w:widowControl/>
        <w:spacing w:line="360" w:lineRule="auto"/>
        <w:contextualSpacing/>
        <w:outlineLvl w:val="0"/>
        <w:rPr>
          <w:rFonts w:asciiTheme="minorEastAsia" w:hAnsiTheme="minorEastAsia" w:eastAsiaTheme="minorEastAsia"/>
        </w:rPr>
      </w:pPr>
    </w:p>
    <w:p>
      <w:pPr>
        <w:pStyle w:val="18"/>
        <w:spacing w:line="360" w:lineRule="auto"/>
        <w:jc w:val="both"/>
        <w:rPr>
          <w:rFonts w:asciiTheme="minorEastAsia" w:hAnsiTheme="minorEastAsia" w:eastAsiaTheme="minorEastAsia"/>
          <w:color w:val="auto"/>
          <w:sz w:val="21"/>
          <w:szCs w:val="21"/>
        </w:rPr>
      </w:pPr>
    </w:p>
    <w:p>
      <w:pPr>
        <w:pStyle w:val="18"/>
        <w:spacing w:line="360" w:lineRule="auto"/>
        <w:jc w:val="both"/>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客户（公章）</w:t>
      </w:r>
      <w:r>
        <w:rPr>
          <w:rFonts w:asciiTheme="minorEastAsia" w:hAnsiTheme="minorEastAsia" w:eastAsiaTheme="minorEastAsia"/>
          <w:color w:val="auto"/>
          <w:sz w:val="21"/>
          <w:szCs w:val="21"/>
        </w:rPr>
        <w:t xml:space="preserve">                                                 </w:t>
      </w:r>
      <w:r>
        <w:rPr>
          <w:rFonts w:hint="eastAsia" w:asciiTheme="minorEastAsia" w:hAnsiTheme="minorEastAsia" w:eastAsiaTheme="minorEastAsia"/>
          <w:color w:val="auto"/>
          <w:sz w:val="21"/>
          <w:szCs w:val="21"/>
        </w:rPr>
        <w:t>法定代表人（签章）或授权代理人</w:t>
      </w:r>
    </w:p>
    <w:p>
      <w:pPr>
        <w:pStyle w:val="18"/>
        <w:spacing w:line="360" w:lineRule="auto"/>
        <w:jc w:val="both"/>
        <w:rPr>
          <w:rFonts w:asciiTheme="minorEastAsia" w:hAnsiTheme="minorEastAsia" w:eastAsiaTheme="minorEastAsia"/>
          <w:color w:val="auto"/>
          <w:sz w:val="21"/>
          <w:szCs w:val="21"/>
        </w:rPr>
      </w:pPr>
    </w:p>
    <w:p>
      <w:pPr>
        <w:pStyle w:val="18"/>
        <w:spacing w:line="360" w:lineRule="auto"/>
        <w:jc w:val="both"/>
        <w:rPr>
          <w:rFonts w:asciiTheme="minorEastAsia" w:hAnsiTheme="minorEastAsia" w:eastAsiaTheme="minorEastAsia"/>
          <w:color w:val="auto"/>
          <w:sz w:val="21"/>
          <w:szCs w:val="21"/>
        </w:rPr>
      </w:pPr>
    </w:p>
    <w:p>
      <w:pPr>
        <w:pStyle w:val="18"/>
        <w:spacing w:line="360" w:lineRule="auto"/>
        <w:ind w:firstLine="6405" w:firstLineChars="3050"/>
        <w:jc w:val="both"/>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日期：</w:t>
      </w:r>
      <w:r>
        <w:rPr>
          <w:rFonts w:asciiTheme="minorEastAsia" w:hAnsiTheme="minorEastAsia" w:eastAsiaTheme="minorEastAsia"/>
          <w:color w:val="auto"/>
          <w:sz w:val="21"/>
          <w:szCs w:val="21"/>
        </w:rPr>
        <w:t xml:space="preserve">  </w:t>
      </w:r>
      <w:r>
        <w:rPr>
          <w:rFonts w:hint="eastAsia" w:asciiTheme="minorEastAsia" w:hAnsiTheme="minorEastAsia" w:eastAsiaTheme="minorEastAsia"/>
          <w:color w:val="auto"/>
          <w:sz w:val="21"/>
          <w:szCs w:val="21"/>
        </w:rPr>
        <w:t>年</w:t>
      </w:r>
      <w:r>
        <w:rPr>
          <w:rFonts w:asciiTheme="minorEastAsia" w:hAnsiTheme="minorEastAsia" w:eastAsiaTheme="minorEastAsia"/>
          <w:color w:val="auto"/>
          <w:sz w:val="21"/>
          <w:szCs w:val="21"/>
        </w:rPr>
        <w:t xml:space="preserve">  </w:t>
      </w:r>
      <w:r>
        <w:rPr>
          <w:rFonts w:hint="eastAsia" w:asciiTheme="minorEastAsia" w:hAnsiTheme="minorEastAsia" w:eastAsiaTheme="minorEastAsia"/>
          <w:color w:val="auto"/>
          <w:sz w:val="21"/>
          <w:szCs w:val="21"/>
        </w:rPr>
        <w:t>月</w:t>
      </w:r>
      <w:r>
        <w:rPr>
          <w:rFonts w:asciiTheme="minorEastAsia" w:hAnsiTheme="minorEastAsia" w:eastAsiaTheme="minorEastAsia"/>
          <w:color w:val="auto"/>
          <w:sz w:val="21"/>
          <w:szCs w:val="21"/>
        </w:rPr>
        <w:t xml:space="preserve">  </w:t>
      </w:r>
      <w:r>
        <w:rPr>
          <w:rFonts w:hint="eastAsia" w:asciiTheme="minorEastAsia" w:hAnsiTheme="minorEastAsia" w:eastAsiaTheme="minorEastAsia"/>
          <w:color w:val="auto"/>
          <w:sz w:val="21"/>
          <w:szCs w:val="21"/>
        </w:rPr>
        <w:t>日</w:t>
      </w:r>
    </w:p>
    <w:p>
      <w:pPr>
        <w:autoSpaceDE w:val="0"/>
        <w:autoSpaceDN w:val="0"/>
        <w:adjustRightInd w:val="0"/>
        <w:spacing w:line="360" w:lineRule="auto"/>
        <w:rPr>
          <w:rFonts w:asciiTheme="minorEastAsia" w:hAnsiTheme="minorEastAsia" w:eastAsiaTheme="minorEastAsia"/>
          <w:b/>
          <w:kern w:val="0"/>
          <w:sz w:val="18"/>
          <w:szCs w:val="18"/>
        </w:rPr>
      </w:pPr>
    </w:p>
    <w:p>
      <w:pPr>
        <w:autoSpaceDE w:val="0"/>
        <w:autoSpaceDN w:val="0"/>
        <w:adjustRightInd w:val="0"/>
        <w:spacing w:line="360" w:lineRule="auto"/>
        <w:rPr>
          <w:rFonts w:asciiTheme="minorEastAsia" w:hAnsiTheme="minorEastAsia" w:eastAsiaTheme="minorEastAsia"/>
          <w:b/>
          <w:kern w:val="0"/>
          <w:sz w:val="18"/>
          <w:szCs w:val="18"/>
        </w:rPr>
      </w:pPr>
    </w:p>
    <w:p>
      <w:pPr>
        <w:jc w:val="center"/>
        <w:rPr>
          <w:szCs w:val="28"/>
        </w:rPr>
      </w:pPr>
      <w:r>
        <w:rPr>
          <w:rFonts w:hint="eastAsia" w:asciiTheme="minorEastAsia" w:hAnsiTheme="minorEastAsia" w:eastAsiaTheme="minorEastAsia"/>
          <w:sz w:val="18"/>
          <w:szCs w:val="18"/>
        </w:rPr>
        <w:t>（本协议一式两份，一份由桐庐农商银行留存，一份由客户留存。）</w:t>
      </w:r>
      <w:bookmarkStart w:id="0" w:name="_GoBack"/>
      <w:bookmarkEnd w:id="0"/>
    </w:p>
    <w:sectPr>
      <w:footerReference r:id="rId5" w:type="default"/>
      <w:footerReference r:id="rId6"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w:t>
    </w:r>
    <w:r>
      <w:t xml:space="preserve"> 8 -</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280" w:firstLineChars="100"/>
      <w:rPr>
        <w:rFonts w:asci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26 -</w:t>
    </w:r>
    <w:r>
      <w:rPr>
        <w:rFonts w:ascii="宋体" w:hAnsi="宋体"/>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1"/>
      </w:rPr>
    </w:pPr>
    <w:r>
      <w:rPr>
        <w:rStyle w:val="11"/>
      </w:rPr>
      <w:fldChar w:fldCharType="begin"/>
    </w:r>
    <w:r>
      <w:rPr>
        <w:rStyle w:val="11"/>
      </w:rPr>
      <w:instrText xml:space="preserve">PAGE  </w:instrText>
    </w:r>
    <w:r>
      <w:rPr>
        <w:rStyle w:val="11"/>
      </w:rPr>
      <w:fldChar w:fldCharType="separate"/>
    </w:r>
    <w:r>
      <w:rPr>
        <w:rStyle w:val="11"/>
      </w:rPr>
      <w:t>16</w:t>
    </w:r>
    <w:r>
      <w:rPr>
        <w:rStyle w:val="11"/>
      </w:rPr>
      <w:fldChar w:fldCharType="end"/>
    </w:r>
  </w:p>
  <w:p>
    <w:pPr>
      <w:pStyle w:val="5"/>
      <w:ind w:right="360"/>
      <w:jc w:val="right"/>
    </w:pPr>
  </w:p>
  <w:p>
    <w:pPr>
      <w:pStyle w:val="5"/>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1"/>
      </w:rPr>
    </w:pPr>
    <w:r>
      <w:rPr>
        <w:rStyle w:val="11"/>
      </w:rPr>
      <w:fldChar w:fldCharType="begin"/>
    </w:r>
    <w:r>
      <w:rPr>
        <w:rStyle w:val="11"/>
      </w:rPr>
      <w:instrText xml:space="preserve">PAGE  </w:instrText>
    </w:r>
    <w:r>
      <w:rPr>
        <w:rStyle w:val="11"/>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IxZTQ0Y2U3OTQ2NWY3NzMxNjc2MWQ1NzU0NTVlYmMifQ=="/>
  </w:docVars>
  <w:rsids>
    <w:rsidRoot w:val="00E750E6"/>
    <w:rsid w:val="00001CDF"/>
    <w:rsid w:val="000200DC"/>
    <w:rsid w:val="0003798B"/>
    <w:rsid w:val="000435DA"/>
    <w:rsid w:val="000E0D13"/>
    <w:rsid w:val="00117B1F"/>
    <w:rsid w:val="00121F34"/>
    <w:rsid w:val="00123B38"/>
    <w:rsid w:val="0012695E"/>
    <w:rsid w:val="00134FA3"/>
    <w:rsid w:val="00152169"/>
    <w:rsid w:val="001618BE"/>
    <w:rsid w:val="00167F96"/>
    <w:rsid w:val="001970E7"/>
    <w:rsid w:val="001C2275"/>
    <w:rsid w:val="001C4F70"/>
    <w:rsid w:val="001C6DE5"/>
    <w:rsid w:val="001D6820"/>
    <w:rsid w:val="001E0CC6"/>
    <w:rsid w:val="001E3C4D"/>
    <w:rsid w:val="00220213"/>
    <w:rsid w:val="0022402E"/>
    <w:rsid w:val="00234722"/>
    <w:rsid w:val="00237705"/>
    <w:rsid w:val="0026379D"/>
    <w:rsid w:val="0026405E"/>
    <w:rsid w:val="002A2D56"/>
    <w:rsid w:val="002A559C"/>
    <w:rsid w:val="002B63D7"/>
    <w:rsid w:val="002E0194"/>
    <w:rsid w:val="002F1B1B"/>
    <w:rsid w:val="002F6C77"/>
    <w:rsid w:val="00301795"/>
    <w:rsid w:val="00324ED0"/>
    <w:rsid w:val="0032779B"/>
    <w:rsid w:val="00386ACF"/>
    <w:rsid w:val="003C761D"/>
    <w:rsid w:val="003F16FF"/>
    <w:rsid w:val="003F23CD"/>
    <w:rsid w:val="003F7E23"/>
    <w:rsid w:val="0046650F"/>
    <w:rsid w:val="00496C69"/>
    <w:rsid w:val="004A41B7"/>
    <w:rsid w:val="004C55A7"/>
    <w:rsid w:val="004F4450"/>
    <w:rsid w:val="00511AA1"/>
    <w:rsid w:val="00536AE4"/>
    <w:rsid w:val="00563A8A"/>
    <w:rsid w:val="00583F97"/>
    <w:rsid w:val="005926B2"/>
    <w:rsid w:val="005B353E"/>
    <w:rsid w:val="005E457B"/>
    <w:rsid w:val="006077EE"/>
    <w:rsid w:val="00624350"/>
    <w:rsid w:val="00630B76"/>
    <w:rsid w:val="00687F54"/>
    <w:rsid w:val="006A3F49"/>
    <w:rsid w:val="006B073A"/>
    <w:rsid w:val="006C48E5"/>
    <w:rsid w:val="006E0334"/>
    <w:rsid w:val="006F24F1"/>
    <w:rsid w:val="00702C08"/>
    <w:rsid w:val="0070614B"/>
    <w:rsid w:val="007D403D"/>
    <w:rsid w:val="007E2C65"/>
    <w:rsid w:val="00800EA5"/>
    <w:rsid w:val="008310CB"/>
    <w:rsid w:val="0085029D"/>
    <w:rsid w:val="00857FC9"/>
    <w:rsid w:val="008622B0"/>
    <w:rsid w:val="008D03B5"/>
    <w:rsid w:val="008D3435"/>
    <w:rsid w:val="008E0336"/>
    <w:rsid w:val="00910331"/>
    <w:rsid w:val="00911775"/>
    <w:rsid w:val="009271A1"/>
    <w:rsid w:val="00933042"/>
    <w:rsid w:val="00935323"/>
    <w:rsid w:val="00935C4D"/>
    <w:rsid w:val="009377B5"/>
    <w:rsid w:val="00940287"/>
    <w:rsid w:val="009711F6"/>
    <w:rsid w:val="009C4FA0"/>
    <w:rsid w:val="009F3020"/>
    <w:rsid w:val="00A330E5"/>
    <w:rsid w:val="00A53439"/>
    <w:rsid w:val="00A70916"/>
    <w:rsid w:val="00A83BE1"/>
    <w:rsid w:val="00A876E4"/>
    <w:rsid w:val="00A90718"/>
    <w:rsid w:val="00AA0FE6"/>
    <w:rsid w:val="00AB069D"/>
    <w:rsid w:val="00AC7AA8"/>
    <w:rsid w:val="00B1073E"/>
    <w:rsid w:val="00B13AE5"/>
    <w:rsid w:val="00B6623C"/>
    <w:rsid w:val="00B76C90"/>
    <w:rsid w:val="00BC7B79"/>
    <w:rsid w:val="00BF0291"/>
    <w:rsid w:val="00BF2DDD"/>
    <w:rsid w:val="00BF5104"/>
    <w:rsid w:val="00BF73F7"/>
    <w:rsid w:val="00C13CBD"/>
    <w:rsid w:val="00C3443A"/>
    <w:rsid w:val="00C40D68"/>
    <w:rsid w:val="00C4692A"/>
    <w:rsid w:val="00C61E48"/>
    <w:rsid w:val="00C76793"/>
    <w:rsid w:val="00C92C4D"/>
    <w:rsid w:val="00CB711A"/>
    <w:rsid w:val="00CD7D37"/>
    <w:rsid w:val="00CF2F79"/>
    <w:rsid w:val="00D10B09"/>
    <w:rsid w:val="00D53EBC"/>
    <w:rsid w:val="00D542D6"/>
    <w:rsid w:val="00D801A1"/>
    <w:rsid w:val="00DC34B8"/>
    <w:rsid w:val="00DD246B"/>
    <w:rsid w:val="00E01CDA"/>
    <w:rsid w:val="00E0768F"/>
    <w:rsid w:val="00E328FA"/>
    <w:rsid w:val="00E55EE8"/>
    <w:rsid w:val="00E62613"/>
    <w:rsid w:val="00E6550D"/>
    <w:rsid w:val="00E7377E"/>
    <w:rsid w:val="00E750E6"/>
    <w:rsid w:val="00EC197D"/>
    <w:rsid w:val="00ED4224"/>
    <w:rsid w:val="00EE0310"/>
    <w:rsid w:val="00F04FF7"/>
    <w:rsid w:val="00F20A60"/>
    <w:rsid w:val="00F251BE"/>
    <w:rsid w:val="00F75699"/>
    <w:rsid w:val="00F7642B"/>
    <w:rsid w:val="00F92CE8"/>
    <w:rsid w:val="00F96340"/>
    <w:rsid w:val="00FC4F42"/>
    <w:rsid w:val="00FC66DB"/>
    <w:rsid w:val="00FD7079"/>
    <w:rsid w:val="00FF1D89"/>
    <w:rsid w:val="2D3A055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4"/>
    <w:uiPriority w:val="0"/>
    <w:pPr>
      <w:spacing w:after="120"/>
    </w:pPr>
    <w:rPr>
      <w:rFonts w:ascii="Times New Roman" w:hAnsi="Times New Roman"/>
      <w:kern w:val="0"/>
      <w:sz w:val="20"/>
      <w:szCs w:val="24"/>
    </w:rPr>
  </w:style>
  <w:style w:type="paragraph" w:styleId="3">
    <w:name w:val="Body Text Indent"/>
    <w:basedOn w:val="1"/>
    <w:link w:val="17"/>
    <w:semiHidden/>
    <w:unhideWhenUsed/>
    <w:uiPriority w:val="99"/>
    <w:pPr>
      <w:spacing w:after="120"/>
      <w:ind w:left="420" w:leftChars="200"/>
    </w:pPr>
  </w:style>
  <w:style w:type="paragraph" w:styleId="4">
    <w:name w:val="Balloon Text"/>
    <w:basedOn w:val="1"/>
    <w:link w:val="15"/>
    <w:semiHidden/>
    <w:unhideWhenUsed/>
    <w:uiPriority w:val="99"/>
    <w:rPr>
      <w:sz w:val="18"/>
      <w:szCs w:val="18"/>
    </w:rPr>
  </w:style>
  <w:style w:type="paragraph" w:styleId="5">
    <w:name w:val="footer"/>
    <w:basedOn w:val="1"/>
    <w:link w:val="13"/>
    <w:unhideWhenUsed/>
    <w:uiPriority w:val="99"/>
    <w:pPr>
      <w:tabs>
        <w:tab w:val="center" w:pos="4153"/>
        <w:tab w:val="right" w:pos="8306"/>
      </w:tabs>
      <w:snapToGrid w:val="0"/>
      <w:jc w:val="left"/>
    </w:pPr>
    <w:rPr>
      <w:sz w:val="18"/>
      <w:szCs w:val="18"/>
    </w:rPr>
  </w:style>
  <w:style w:type="paragraph" w:styleId="6">
    <w:name w:val="header"/>
    <w:basedOn w:val="1"/>
    <w:link w:val="12"/>
    <w:semiHidden/>
    <w:unhideWhenUsed/>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uiPriority w:val="0"/>
    <w:pPr>
      <w:widowControl/>
      <w:spacing w:before="100" w:beforeAutospacing="1" w:after="100" w:afterAutospacing="1"/>
      <w:jc w:val="left"/>
    </w:pPr>
    <w:rPr>
      <w:rFonts w:ascii="宋体" w:hAnsi="宋体" w:cs="宋体"/>
      <w:kern w:val="0"/>
      <w:sz w:val="24"/>
      <w:szCs w:val="24"/>
    </w:rPr>
  </w:style>
  <w:style w:type="character" w:styleId="10">
    <w:name w:val="Strong"/>
    <w:qFormat/>
    <w:uiPriority w:val="0"/>
    <w:rPr>
      <w:b/>
    </w:rPr>
  </w:style>
  <w:style w:type="character" w:styleId="11">
    <w:name w:val="page number"/>
    <w:uiPriority w:val="0"/>
  </w:style>
  <w:style w:type="character" w:customStyle="1" w:styleId="12">
    <w:name w:val="页眉 Char"/>
    <w:basedOn w:val="9"/>
    <w:link w:val="6"/>
    <w:semiHidden/>
    <w:uiPriority w:val="99"/>
    <w:rPr>
      <w:sz w:val="18"/>
      <w:szCs w:val="18"/>
    </w:rPr>
  </w:style>
  <w:style w:type="character" w:customStyle="1" w:styleId="13">
    <w:name w:val="页脚 Char"/>
    <w:basedOn w:val="9"/>
    <w:link w:val="5"/>
    <w:qFormat/>
    <w:uiPriority w:val="99"/>
    <w:rPr>
      <w:sz w:val="18"/>
      <w:szCs w:val="18"/>
    </w:rPr>
  </w:style>
  <w:style w:type="character" w:customStyle="1" w:styleId="14">
    <w:name w:val="正文文本 Char"/>
    <w:basedOn w:val="9"/>
    <w:link w:val="2"/>
    <w:uiPriority w:val="0"/>
    <w:rPr>
      <w:rFonts w:ascii="Times New Roman" w:hAnsi="Times New Roman" w:eastAsia="宋体" w:cs="Times New Roman"/>
      <w:kern w:val="0"/>
      <w:sz w:val="20"/>
      <w:szCs w:val="24"/>
    </w:rPr>
  </w:style>
  <w:style w:type="character" w:customStyle="1" w:styleId="15">
    <w:name w:val="批注框文本 Char"/>
    <w:basedOn w:val="9"/>
    <w:link w:val="4"/>
    <w:semiHidden/>
    <w:uiPriority w:val="99"/>
    <w:rPr>
      <w:rFonts w:ascii="Calibri" w:hAnsi="Calibri" w:eastAsia="宋体" w:cs="Times New Roman"/>
      <w:sz w:val="18"/>
      <w:szCs w:val="18"/>
    </w:rPr>
  </w:style>
  <w:style w:type="paragraph" w:styleId="16">
    <w:name w:val="List Paragraph"/>
    <w:basedOn w:val="1"/>
    <w:qFormat/>
    <w:uiPriority w:val="34"/>
    <w:pPr>
      <w:ind w:firstLine="420" w:firstLineChars="200"/>
    </w:pPr>
  </w:style>
  <w:style w:type="character" w:customStyle="1" w:styleId="17">
    <w:name w:val="正文文本缩进 Char"/>
    <w:basedOn w:val="9"/>
    <w:link w:val="3"/>
    <w:semiHidden/>
    <w:uiPriority w:val="99"/>
    <w:rPr>
      <w:rFonts w:ascii="Calibri" w:hAnsi="Calibri" w:eastAsia="宋体" w:cs="Times New Roman"/>
    </w:rPr>
  </w:style>
  <w:style w:type="paragraph" w:customStyle="1" w:styleId="18">
    <w:name w:val="Default"/>
    <w:qFormat/>
    <w:uiPriority w:val="99"/>
    <w:pPr>
      <w:widowControl w:val="0"/>
      <w:autoSpaceDE w:val="0"/>
      <w:autoSpaceDN w:val="0"/>
      <w:adjustRightInd w:val="0"/>
    </w:pPr>
    <w:rPr>
      <w:rFonts w:ascii="Wingdings" w:hAnsi="Wingdings" w:eastAsia="宋体" w:cs="Wingdings"/>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hh</Company>
  <Pages>12</Pages>
  <Words>14176</Words>
  <Characters>14573</Characters>
  <Lines>112</Lines>
  <Paragraphs>31</Paragraphs>
  <TotalTime>156</TotalTime>
  <ScaleCrop>false</ScaleCrop>
  <LinksUpToDate>false</LinksUpToDate>
  <CharactersWithSpaces>15482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2016-06-14T08:24:00Z</dcterms:created>
  <dc:creator>OA-Server-59</dc:creator>
  <cp:lastModifiedBy>张晨阳</cp:lastModifiedBy>
  <cp:lastPrinted>2019-07-05T00:32:00Z</cp:lastPrinted>
  <dcterms:modified xsi:type="dcterms:W3CDTF">2024-05-30T07:45:01Z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431AB73CCB6042248C41DDD75719B081_12</vt:lpwstr>
  </property>
</Properties>
</file>