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514112">
        <w:rPr>
          <w:rFonts w:asciiTheme="minorEastAsia" w:eastAsiaTheme="minorEastAsia" w:hAnsiTheme="minorEastAsia" w:cs="宋体" w:hint="eastAsia"/>
          <w:b/>
          <w:bCs/>
          <w:sz w:val="32"/>
          <w:szCs w:val="32"/>
        </w:rPr>
        <w:t>26</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514112">
        <w:rPr>
          <w:rFonts w:ascii="宋体" w:hAnsi="宋体" w:cs="宋体" w:hint="eastAsia"/>
          <w:kern w:val="0"/>
        </w:rPr>
        <w:t>本理财产品（也称理财计划，下同）：桐庐农商银行</w:t>
      </w:r>
      <w:proofErr w:type="gramStart"/>
      <w:r w:rsidRPr="00514112">
        <w:rPr>
          <w:rFonts w:ascii="宋体" w:hAnsi="宋体" w:cs="宋体" w:hint="eastAsia"/>
          <w:kern w:val="0"/>
        </w:rPr>
        <w:t>丰收信福</w:t>
      </w:r>
      <w:proofErr w:type="gramEnd"/>
      <w:r w:rsidRPr="00514112">
        <w:rPr>
          <w:rFonts w:ascii="宋体" w:hAnsi="宋体" w:cs="宋体" w:hint="eastAsia"/>
          <w:kern w:val="0"/>
        </w:rPr>
        <w:t>封闭净值型</w:t>
      </w:r>
      <w:r w:rsidR="00167F96" w:rsidRPr="00514112">
        <w:rPr>
          <w:rFonts w:ascii="宋体" w:hAnsi="宋体" w:cs="宋体"/>
          <w:kern w:val="0"/>
        </w:rPr>
        <w:t>2024</w:t>
      </w:r>
      <w:r w:rsidRPr="00514112">
        <w:rPr>
          <w:rFonts w:ascii="宋体" w:hAnsi="宋体" w:cs="宋体" w:hint="eastAsia"/>
          <w:kern w:val="0"/>
        </w:rPr>
        <w:t>年第</w:t>
      </w:r>
      <w:r w:rsidR="00514112" w:rsidRPr="00514112">
        <w:rPr>
          <w:rFonts w:ascii="宋体" w:hAnsi="宋体" w:cs="宋体" w:hint="eastAsia"/>
          <w:kern w:val="0"/>
        </w:rPr>
        <w:t>26</w:t>
      </w:r>
      <w:r w:rsidRPr="00514112">
        <w:rPr>
          <w:rFonts w:ascii="宋体" w:hAnsi="宋体" w:cs="宋体" w:hint="eastAsia"/>
          <w:kern w:val="0"/>
        </w:rPr>
        <w:t>期理财产品，</w:t>
      </w:r>
      <w:r w:rsidRPr="00514112">
        <w:rPr>
          <w:rFonts w:asciiTheme="minorEastAsia" w:eastAsiaTheme="minorEastAsia" w:hAnsiTheme="minorEastAsia" w:cs="宋体" w:hint="eastAsia"/>
          <w:kern w:val="0"/>
        </w:rPr>
        <w:t>期限</w:t>
      </w:r>
      <w:r w:rsidRPr="00514112">
        <w:rPr>
          <w:rFonts w:ascii="宋体" w:hAnsi="宋体" w:cs="宋体" w:hint="eastAsia"/>
          <w:kern w:val="0"/>
        </w:rPr>
        <w:t>365</w:t>
      </w:r>
      <w:r w:rsidRPr="00514112">
        <w:rPr>
          <w:rFonts w:asciiTheme="minorEastAsia" w:eastAsiaTheme="minorEastAsia" w:hAnsiTheme="minorEastAsia" w:cs="宋体" w:hint="eastAsia"/>
          <w:kern w:val="0"/>
        </w:rPr>
        <w:t>天，</w:t>
      </w:r>
      <w:r w:rsidRPr="00514112">
        <w:rPr>
          <w:rFonts w:ascii="宋体" w:hAnsi="宋体" w:cs="宋体" w:hint="eastAsia"/>
          <w:kern w:val="0"/>
        </w:rPr>
        <w:t>为</w:t>
      </w:r>
      <w:r w:rsidRPr="00514112">
        <w:rPr>
          <w:rFonts w:ascii="宋体" w:hAnsi="宋体" w:cs="宋体" w:hint="eastAsia"/>
          <w:b/>
          <w:kern w:val="0"/>
          <w:sz w:val="24"/>
          <w:szCs w:val="24"/>
        </w:rPr>
        <w:t>固定收益类非保本净值型</w:t>
      </w:r>
      <w:r w:rsidRPr="00514112">
        <w:rPr>
          <w:rFonts w:ascii="宋体" w:hAnsi="宋体" w:cs="宋体" w:hint="eastAsia"/>
          <w:bCs/>
          <w:kern w:val="0"/>
        </w:rPr>
        <w:t>理财产品</w:t>
      </w:r>
      <w:r w:rsidRPr="00514112">
        <w:rPr>
          <w:rFonts w:ascii="宋体" w:hAnsi="宋体" w:cs="宋体" w:hint="eastAsia"/>
          <w:b/>
          <w:kern w:val="0"/>
        </w:rPr>
        <w:t>。</w:t>
      </w:r>
      <w:r w:rsidRPr="00514112">
        <w:rPr>
          <w:rFonts w:ascii="宋体" w:hAnsi="宋体" w:cs="宋体" w:hint="eastAsia"/>
          <w:kern w:val="0"/>
        </w:rPr>
        <w:t>本产品有投资风险，不保证本金和收益，理财本金与收益可能会因市场变动而蒙受重大损失。产品净值可能会有波动，投资者持有的理财计划份额可能</w:t>
      </w:r>
      <w:r w:rsidRPr="006D3301">
        <w:rPr>
          <w:rFonts w:ascii="宋体" w:hAnsi="宋体" w:cs="宋体" w:hint="eastAsia"/>
          <w:kern w:val="0"/>
        </w:rPr>
        <w:t>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514112">
        <w:rPr>
          <w:rFonts w:ascii="宋体" w:hAnsi="宋体" w:cs="宋体"/>
          <w:b/>
          <w:bCs/>
        </w:rPr>
        <w:t>1</w:t>
      </w:r>
      <w:r w:rsidRPr="00514112">
        <w:rPr>
          <w:rFonts w:ascii="宋体" w:cs="宋体"/>
          <w:b/>
          <w:bCs/>
        </w:rPr>
        <w:t>0</w:t>
      </w:r>
      <w:r w:rsidRPr="00514112">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0F1CD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23A" w:rsidRDefault="004F023A" w:rsidP="00E750E6">
      <w:r>
        <w:separator/>
      </w:r>
    </w:p>
  </w:endnote>
  <w:endnote w:type="continuationSeparator" w:id="1">
    <w:p w:rsidR="004F023A" w:rsidRDefault="004F023A"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5D03C4"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5D03C4" w:rsidP="00021FAD">
    <w:pPr>
      <w:pStyle w:val="a4"/>
      <w:jc w:val="center"/>
    </w:pPr>
    <w:fldSimple w:instr="PAGE   \* MERGEFORMAT">
      <w:r w:rsidR="000F1CD1" w:rsidRPr="000F1CD1">
        <w:rPr>
          <w:noProof/>
          <w:lang w:val="zh-CN"/>
        </w:rPr>
        <w:t>-</w:t>
      </w:r>
      <w:r w:rsidR="000F1CD1">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D03C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5D03C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0F1CD1">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23A" w:rsidRDefault="004F023A" w:rsidP="00E750E6">
      <w:r>
        <w:separator/>
      </w:r>
    </w:p>
  </w:footnote>
  <w:footnote w:type="continuationSeparator" w:id="1">
    <w:p w:rsidR="004F023A" w:rsidRDefault="004F023A"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0F1CD1"/>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04E7D"/>
    <w:rsid w:val="0046650F"/>
    <w:rsid w:val="00496C69"/>
    <w:rsid w:val="004A41B7"/>
    <w:rsid w:val="004C55A7"/>
    <w:rsid w:val="004F023A"/>
    <w:rsid w:val="004F4450"/>
    <w:rsid w:val="00511AA1"/>
    <w:rsid w:val="00514112"/>
    <w:rsid w:val="00536AE4"/>
    <w:rsid w:val="00563A8A"/>
    <w:rsid w:val="00583F97"/>
    <w:rsid w:val="005926B2"/>
    <w:rsid w:val="005B353E"/>
    <w:rsid w:val="005D03C4"/>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2024-07-05T09:31:00Z</dcterms:modified>
</cp:coreProperties>
</file>