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“苏银理财</w:t>
      </w:r>
      <w:r>
        <w:rPr>
          <w:rFonts w:hint="eastAsia" w:ascii="楷体" w:hAnsi="楷体" w:eastAsia="楷体"/>
          <w:b/>
          <w:color w:val="auto"/>
          <w:sz w:val="28"/>
          <w:szCs w:val="28"/>
          <w:lang w:eastAsia="zh-CN"/>
        </w:rPr>
        <w:t>恒源封闭债权246期</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bookmarkStart w:id="0" w:name="_GoBack"/>
      <w:bookmarkEnd w:id="0"/>
      <w:r>
        <w:rPr>
          <w:rFonts w:hint="eastAsia" w:ascii="楷体" w:hAnsi="楷体" w:eastAsia="楷体" w:cs="Times New Roman"/>
          <w:color w:val="auto"/>
          <w:sz w:val="21"/>
          <w:szCs w:val="21"/>
        </w:rPr>
        <w:t>：</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default" w:ascii="Calibri" w:hAnsi="Calibri" w:eastAsia="楷体" w:cs="Calibri"/>
          <w:color w:val="auto"/>
          <w:sz w:val="21"/>
          <w:szCs w:val="21"/>
        </w:rPr>
        <w:t>①</w:t>
      </w:r>
      <w:r>
        <w:rPr>
          <w:rFonts w:hint="eastAsia" w:ascii="楷体" w:hAnsi="楷体" w:eastAsia="楷体"/>
          <w:color w:val="auto"/>
          <w:sz w:val="21"/>
          <w:szCs w:val="21"/>
        </w:rPr>
        <w:t>市场平均利率水平变化导致债券价格变化的风险。</w:t>
      </w:r>
      <w:r>
        <w:rPr>
          <w:rFonts w:hint="default" w:ascii="Calibri" w:hAnsi="Calibri" w:eastAsia="楷体" w:cs="Calibri"/>
          <w:color w:val="auto"/>
          <w:sz w:val="21"/>
          <w:szCs w:val="21"/>
        </w:rPr>
        <w:t>②</w:t>
      </w:r>
      <w:r>
        <w:rPr>
          <w:rFonts w:hint="eastAsia" w:ascii="楷体" w:hAnsi="楷体" w:eastAsia="楷体"/>
          <w:color w:val="auto"/>
          <w:sz w:val="21"/>
          <w:szCs w:val="21"/>
        </w:rPr>
        <w:t>债券市场不同期限、不同类别债券之间的利差变动导致相应期限和类别债券价格变化的风险。</w:t>
      </w:r>
      <w:r>
        <w:rPr>
          <w:rFonts w:hint="default" w:ascii="Calibri" w:hAnsi="Calibri" w:eastAsia="楷体" w:cs="Calibri"/>
          <w:color w:val="auto"/>
          <w:sz w:val="21"/>
          <w:szCs w:val="21"/>
        </w:rPr>
        <w:t>③</w:t>
      </w:r>
      <w:r>
        <w:rPr>
          <w:rFonts w:hint="eastAsia" w:ascii="楷体" w:hAnsi="楷体" w:eastAsia="楷体"/>
          <w:color w:val="auto"/>
          <w:sz w:val="21"/>
          <w:szCs w:val="21"/>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r>
        <w:rPr>
          <w:rFonts w:hint="eastAsia" w:ascii="楷体" w:hAnsi="楷体" w:eastAsia="楷体" w:cs="楷体"/>
          <w:color w:val="auto"/>
          <w:sz w:val="21"/>
          <w:szCs w:val="21"/>
        </w:rPr>
        <w:t>④</w:t>
      </w:r>
      <w:r>
        <w:rPr>
          <w:rFonts w:hint="eastAsia" w:ascii="楷体" w:hAnsi="楷体" w:eastAsia="楷体"/>
          <w:color w:val="auto"/>
          <w:sz w:val="21"/>
          <w:szCs w:val="21"/>
        </w:rPr>
        <w:t>债券发行人、担保人出现违约拒绝支付到期本息，或由于债券发行人、担保人信用质量降低导致债券价格下降及无法收回投资收益的风险。</w:t>
      </w:r>
      <w:r>
        <w:rPr>
          <w:rFonts w:hint="eastAsia" w:ascii="楷体" w:hAnsi="楷体" w:eastAsia="楷体" w:cs="楷体"/>
          <w:color w:val="auto"/>
          <w:sz w:val="21"/>
          <w:szCs w:val="21"/>
        </w:rPr>
        <w:t>⑤</w:t>
      </w:r>
      <w:r>
        <w:rPr>
          <w:rFonts w:hint="eastAsia" w:ascii="楷体" w:hAnsi="楷体" w:eastAsia="楷体"/>
          <w:color w:val="auto"/>
          <w:sz w:val="21"/>
          <w:szCs w:val="21"/>
        </w:rPr>
        <w:t>与信用等级较高的债券相比，投资于信用等级较低的债券将因为发行主体的偿还债务能力略低、受不利经济环境的影响更大以及违约风险更高等原因而面临更大的投资风险。</w:t>
      </w:r>
      <w:r>
        <w:rPr>
          <w:rFonts w:hint="eastAsia" w:ascii="楷体" w:hAnsi="楷体" w:eastAsia="楷体" w:cs="楷体"/>
          <w:color w:val="auto"/>
          <w:sz w:val="21"/>
          <w:szCs w:val="21"/>
        </w:rPr>
        <w:t>⑥</w:t>
      </w:r>
      <w:r>
        <w:rPr>
          <w:rFonts w:hint="eastAsia" w:ascii="楷体" w:hAnsi="楷体" w:eastAsia="楷体"/>
          <w:color w:val="auto"/>
          <w:sz w:val="21"/>
          <w:szCs w:val="21"/>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结构性存款的特殊风险：</w:t>
      </w:r>
    </w:p>
    <w:p>
      <w:pPr>
        <w:pStyle w:val="13"/>
        <w:spacing w:before="0" w:beforeAutospacing="0" w:after="0" w:afterAutospacing="0"/>
        <w:ind w:firstLine="422" w:firstLineChars="200"/>
        <w:jc w:val="both"/>
        <w:rPr>
          <w:rFonts w:hint="eastAsia" w:ascii="楷体" w:hAnsi="楷体" w:eastAsia="楷体"/>
          <w:b/>
          <w:color w:val="auto"/>
          <w:sz w:val="21"/>
          <w:szCs w:val="21"/>
          <w:u w:val="none"/>
        </w:rPr>
      </w:pPr>
      <w:r>
        <w:rPr>
          <w:rFonts w:hint="default" w:ascii="楷体" w:hAnsi="楷体" w:eastAsia="楷体"/>
          <w:b/>
          <w:color w:val="auto"/>
          <w:sz w:val="21"/>
          <w:szCs w:val="21"/>
          <w:u w:val="none"/>
          <w:lang w:val="en-US" w:eastAsia="zh-CN"/>
        </w:rPr>
        <w:fldChar w:fldCharType="begin"/>
      </w:r>
      <w:r>
        <w:rPr>
          <w:rFonts w:hint="default" w:ascii="楷体" w:hAnsi="楷体" w:eastAsia="楷体"/>
          <w:b/>
          <w:color w:val="auto"/>
          <w:sz w:val="21"/>
          <w:szCs w:val="21"/>
          <w:u w:val="none"/>
          <w:lang w:val="en-US" w:eastAsia="zh-CN"/>
        </w:rPr>
        <w:instrText xml:space="preserve"> = 1 \* GB3 \* MERGEFORMAT </w:instrText>
      </w:r>
      <w:r>
        <w:rPr>
          <w:rFonts w:hint="default"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①</w:t>
      </w:r>
      <w:r>
        <w:rPr>
          <w:rFonts w:hint="default" w:ascii="楷体" w:hAnsi="楷体" w:eastAsia="楷体"/>
          <w:b/>
          <w:color w:val="auto"/>
          <w:sz w:val="21"/>
          <w:szCs w:val="21"/>
          <w:u w:val="none"/>
          <w:lang w:val="en-US" w:eastAsia="zh-CN"/>
        </w:rPr>
        <w:fldChar w:fldCharType="end"/>
      </w:r>
      <w:r>
        <w:rPr>
          <w:rFonts w:hint="default" w:ascii="楷体" w:hAnsi="楷体" w:eastAsia="楷体"/>
          <w:b/>
          <w:color w:val="auto"/>
          <w:sz w:val="21"/>
          <w:szCs w:val="21"/>
          <w:u w:val="none"/>
          <w:lang w:val="en-US" w:eastAsia="zh-CN"/>
        </w:rPr>
        <w:t>市场风险。结构性存款挂钩的境内外债券、股票、利率、汇率、指数等标的受相关国家或地区的金融市场和经济趋势的影响，收益存在不确定性。</w:t>
      </w:r>
      <w:r>
        <w:rPr>
          <w:rFonts w:hint="default" w:ascii="楷体" w:hAnsi="楷体" w:eastAsia="楷体"/>
          <w:b/>
          <w:color w:val="auto"/>
          <w:sz w:val="21"/>
          <w:szCs w:val="21"/>
          <w:u w:val="none"/>
          <w:lang w:val="en-US" w:eastAsia="zh-CN"/>
        </w:rPr>
        <w:fldChar w:fldCharType="begin"/>
      </w:r>
      <w:r>
        <w:rPr>
          <w:rFonts w:hint="default" w:ascii="楷体" w:hAnsi="楷体" w:eastAsia="楷体"/>
          <w:b/>
          <w:color w:val="auto"/>
          <w:sz w:val="21"/>
          <w:szCs w:val="21"/>
          <w:u w:val="none"/>
          <w:lang w:val="en-US" w:eastAsia="zh-CN"/>
        </w:rPr>
        <w:instrText xml:space="preserve"> = 2 \* GB3 \* MERGEFORMAT </w:instrText>
      </w:r>
      <w:r>
        <w:rPr>
          <w:rFonts w:hint="default"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②</w:t>
      </w:r>
      <w:r>
        <w:rPr>
          <w:rFonts w:hint="default" w:ascii="楷体" w:hAnsi="楷体" w:eastAsia="楷体"/>
          <w:b/>
          <w:color w:val="auto"/>
          <w:sz w:val="21"/>
          <w:szCs w:val="21"/>
          <w:u w:val="none"/>
          <w:lang w:val="en-US" w:eastAsia="zh-CN"/>
        </w:rPr>
        <w:fldChar w:fldCharType="end"/>
      </w:r>
      <w:r>
        <w:rPr>
          <w:rFonts w:hint="default" w:ascii="楷体" w:hAnsi="楷体" w:eastAsia="楷体"/>
          <w:b/>
          <w:color w:val="auto"/>
          <w:sz w:val="21"/>
          <w:szCs w:val="21"/>
          <w:u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default" w:ascii="楷体" w:hAnsi="楷体" w:eastAsia="楷体"/>
          <w:b/>
          <w:color w:val="auto"/>
          <w:sz w:val="21"/>
          <w:szCs w:val="21"/>
          <w:u w:val="none"/>
          <w:lang w:val="en-US" w:eastAsia="zh-CN"/>
        </w:rPr>
        <w:fldChar w:fldCharType="begin"/>
      </w:r>
      <w:r>
        <w:rPr>
          <w:rFonts w:hint="default" w:ascii="楷体" w:hAnsi="楷体" w:eastAsia="楷体"/>
          <w:b/>
          <w:color w:val="auto"/>
          <w:sz w:val="21"/>
          <w:szCs w:val="21"/>
          <w:u w:val="none"/>
          <w:lang w:val="en-US" w:eastAsia="zh-CN"/>
        </w:rPr>
        <w:instrText xml:space="preserve"> = 3 \* GB3 \* MERGEFORMAT </w:instrText>
      </w:r>
      <w:r>
        <w:rPr>
          <w:rFonts w:hint="default"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③</w:t>
      </w:r>
      <w:r>
        <w:rPr>
          <w:rFonts w:hint="default" w:ascii="楷体" w:hAnsi="楷体" w:eastAsia="楷体"/>
          <w:b/>
          <w:color w:val="auto"/>
          <w:sz w:val="21"/>
          <w:szCs w:val="21"/>
          <w:u w:val="none"/>
          <w:lang w:val="en-US" w:eastAsia="zh-CN"/>
        </w:rPr>
        <w:fldChar w:fldCharType="end"/>
      </w:r>
      <w:r>
        <w:rPr>
          <w:rFonts w:hint="default" w:ascii="楷体" w:hAnsi="楷体" w:eastAsia="楷体"/>
          <w:b/>
          <w:color w:val="auto"/>
          <w:sz w:val="21"/>
          <w:szCs w:val="21"/>
          <w:u w:val="none"/>
          <w:lang w:val="en-US" w:eastAsia="zh-CN"/>
        </w:rPr>
        <w:t>利率风险。结构性存款如挂钩特定债券或债券指数，可能因相关利率变动而导致产品收益发生变化。</w:t>
      </w:r>
      <w:r>
        <w:rPr>
          <w:rFonts w:hint="default" w:ascii="楷体" w:hAnsi="楷体" w:eastAsia="楷体"/>
          <w:b/>
          <w:color w:val="auto"/>
          <w:sz w:val="21"/>
          <w:szCs w:val="21"/>
          <w:u w:val="none"/>
          <w:lang w:val="en-US" w:eastAsia="zh-CN"/>
        </w:rPr>
        <w:fldChar w:fldCharType="begin"/>
      </w:r>
      <w:r>
        <w:rPr>
          <w:rFonts w:hint="default" w:ascii="楷体" w:hAnsi="楷体" w:eastAsia="楷体"/>
          <w:b/>
          <w:color w:val="auto"/>
          <w:sz w:val="21"/>
          <w:szCs w:val="21"/>
          <w:u w:val="none"/>
          <w:lang w:val="en-US" w:eastAsia="zh-CN"/>
        </w:rPr>
        <w:instrText xml:space="preserve"> = 4 \* GB3 \* MERGEFORMAT </w:instrText>
      </w:r>
      <w:r>
        <w:rPr>
          <w:rFonts w:hint="default"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④</w:t>
      </w:r>
      <w:r>
        <w:rPr>
          <w:rFonts w:hint="default" w:ascii="楷体" w:hAnsi="楷体" w:eastAsia="楷体"/>
          <w:b/>
          <w:color w:val="auto"/>
          <w:sz w:val="21"/>
          <w:szCs w:val="21"/>
          <w:u w:val="none"/>
          <w:lang w:val="en-US" w:eastAsia="zh-CN"/>
        </w:rPr>
        <w:fldChar w:fldCharType="end"/>
      </w:r>
      <w:r>
        <w:rPr>
          <w:rFonts w:hint="default" w:ascii="楷体" w:hAnsi="楷体" w:eastAsia="楷体"/>
          <w:b/>
          <w:color w:val="auto"/>
          <w:sz w:val="21"/>
          <w:szCs w:val="21"/>
          <w:u w:val="none"/>
          <w:lang w:val="en-US" w:eastAsia="zh-CN"/>
        </w:rPr>
        <w:t>汇率风险。结构性存款如挂钩境外证券资产，可能面临以非人民币计价的各类资产受汇率波动影响而引起人民币估值下的理财产品资产净值波动的风险。</w:t>
      </w:r>
      <w:r>
        <w:rPr>
          <w:rFonts w:hint="default" w:ascii="楷体" w:hAnsi="楷体" w:eastAsia="楷体"/>
          <w:b/>
          <w:color w:val="auto"/>
          <w:sz w:val="21"/>
          <w:szCs w:val="21"/>
          <w:u w:val="none"/>
          <w:lang w:val="en-US" w:eastAsia="zh-CN"/>
        </w:rPr>
        <w:fldChar w:fldCharType="begin"/>
      </w:r>
      <w:r>
        <w:rPr>
          <w:rFonts w:hint="default" w:ascii="楷体" w:hAnsi="楷体" w:eastAsia="楷体"/>
          <w:b/>
          <w:color w:val="auto"/>
          <w:sz w:val="21"/>
          <w:szCs w:val="21"/>
          <w:u w:val="none"/>
          <w:lang w:val="en-US" w:eastAsia="zh-CN"/>
        </w:rPr>
        <w:instrText xml:space="preserve"> = 5 \* GB3 \* MERGEFORMAT </w:instrText>
      </w:r>
      <w:r>
        <w:rPr>
          <w:rFonts w:hint="default"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⑤</w:t>
      </w:r>
      <w:r>
        <w:rPr>
          <w:rFonts w:hint="default" w:ascii="楷体" w:hAnsi="楷体" w:eastAsia="楷体"/>
          <w:b/>
          <w:color w:val="auto"/>
          <w:sz w:val="21"/>
          <w:szCs w:val="21"/>
          <w:u w:val="none"/>
          <w:lang w:val="en-US" w:eastAsia="zh-CN"/>
        </w:rPr>
        <w:fldChar w:fldCharType="end"/>
      </w:r>
      <w:r>
        <w:rPr>
          <w:rFonts w:hint="default" w:ascii="楷体" w:hAnsi="楷体" w:eastAsia="楷体"/>
          <w:b/>
          <w:color w:val="auto"/>
          <w:sz w:val="21"/>
          <w:szCs w:val="21"/>
          <w:u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b/>
          <w:color w:val="auto"/>
          <w:sz w:val="21"/>
          <w:szCs w:val="21"/>
          <w:u w:val="none"/>
        </w:rPr>
      </w:pPr>
      <w:r>
        <w:rPr>
          <w:rFonts w:hint="eastAsia" w:ascii="楷体" w:hAnsi="楷体" w:eastAsia="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固定收益类、公募、封闭式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31281"/>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361D"/>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23F35"/>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9F1431"/>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D75307"/>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8F4096"/>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0312A"/>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66263"/>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D97039"/>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4F38E1"/>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B2262"/>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44376"/>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91F1A"/>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3992"/>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4F0B6B"/>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DF61AFD"/>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8"/>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9"/>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link w:val="6"/>
    <w:qFormat/>
    <w:uiPriority w:val="99"/>
    <w:rPr>
      <w:rFonts w:ascii="Times New Roman" w:hAnsi="Times New Roman" w:eastAsia="宋体" w:cs="Times New Roman"/>
      <w:kern w:val="2"/>
      <w:sz w:val="21"/>
      <w:szCs w:val="22"/>
    </w:rPr>
  </w:style>
  <w:style w:type="character" w:customStyle="1" w:styleId="43">
    <w:name w:val="正文文本 字符1"/>
    <w:link w:val="2"/>
    <w:qFormat/>
    <w:uiPriority w:val="1"/>
    <w:rPr>
      <w:rFonts w:ascii="宋体" w:hAnsi="Times New Roman" w:eastAsia="宋体" w:cs="宋体"/>
      <w:kern w:val="0"/>
      <w:szCs w:val="21"/>
    </w:rPr>
  </w:style>
  <w:style w:type="character" w:customStyle="1" w:styleId="44">
    <w:name w:val="日期 字符1"/>
    <w:basedOn w:val="18"/>
    <w:link w:val="7"/>
    <w:semiHidden/>
    <w:qFormat/>
    <w:uiPriority w:val="99"/>
    <w:rPr>
      <w:rFonts w:ascii="Times New Roman" w:hAnsi="Times New Roman" w:eastAsia="宋体" w:cs="Times New Roman"/>
    </w:rPr>
  </w:style>
  <w:style w:type="character" w:customStyle="1" w:styleId="45">
    <w:name w:val="批注框文本 字符1"/>
    <w:link w:val="8"/>
    <w:semiHidden/>
    <w:qFormat/>
    <w:uiPriority w:val="99"/>
    <w:rPr>
      <w:rFonts w:ascii="Times New Roman" w:hAnsi="Times New Roman" w:eastAsia="宋体" w:cs="Times New Roman"/>
      <w:sz w:val="18"/>
      <w:szCs w:val="18"/>
    </w:rPr>
  </w:style>
  <w:style w:type="character" w:customStyle="1" w:styleId="46">
    <w:name w:val="页脚 字符1"/>
    <w:link w:val="9"/>
    <w:qFormat/>
    <w:uiPriority w:val="99"/>
    <w:rPr>
      <w:rFonts w:ascii="Times New Roman" w:hAnsi="Times New Roman" w:eastAsia="宋体" w:cs="Times New Roman"/>
      <w:sz w:val="18"/>
      <w:szCs w:val="18"/>
    </w:rPr>
  </w:style>
  <w:style w:type="character" w:customStyle="1" w:styleId="47">
    <w:name w:val="页眉 字符1"/>
    <w:link w:val="10"/>
    <w:qFormat/>
    <w:uiPriority w:val="99"/>
    <w:rPr>
      <w:rFonts w:ascii="Times New Roman" w:hAnsi="Times New Roman" w:eastAsia="宋体" w:cs="Times New Roman"/>
      <w:sz w:val="18"/>
      <w:szCs w:val="18"/>
    </w:rPr>
  </w:style>
  <w:style w:type="character" w:customStyle="1" w:styleId="48">
    <w:name w:val="脚注文本 字符2"/>
    <w:link w:val="11"/>
    <w:semiHidden/>
    <w:qFormat/>
    <w:uiPriority w:val="99"/>
    <w:rPr>
      <w:rFonts w:ascii="Times New Roman" w:hAnsi="Times New Roman" w:eastAsia="宋体" w:cs="Times New Roman"/>
      <w:kern w:val="2"/>
      <w:sz w:val="18"/>
      <w:szCs w:val="18"/>
    </w:rPr>
  </w:style>
  <w:style w:type="character" w:customStyle="1" w:styleId="49">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4841</Words>
  <Characters>4845</Characters>
  <Lines>243</Lines>
  <Paragraphs>68</Paragraphs>
  <TotalTime>13</TotalTime>
  <ScaleCrop>false</ScaleCrop>
  <LinksUpToDate>false</LinksUpToDate>
  <CharactersWithSpaces>5044</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2025-11-20T01:09:23Z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