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苏银理财恒源封闭债权246期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w:t>
      </w:r>
      <w:bookmarkStart w:id="0" w:name="_GoBack"/>
      <w:r>
        <w:rPr>
          <w:rFonts w:hint="eastAsia" w:ascii="楷体" w:hAnsi="楷体" w:eastAsia="楷体"/>
          <w:sz w:val="21"/>
          <w:szCs w:val="21"/>
        </w:rPr>
        <w:t>定购买与自身风险承受能力和资产管理需求匹配的理财产品。</w:t>
      </w:r>
    </w:p>
    <w:bookmarkEnd w:id="0"/>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恒源封闭债权246期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苏银理财恒源封闭债权246期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Z7003125000294，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A份额：苏银理财恒源封闭债权246期13月A/J10560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C份额：苏银理财恒源封闭债权246期13月C/J10561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D份额：苏银理财恒源封闭债权246期13月D/J10562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E份额：苏银理财恒源封闭债权246期13月E/J10563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F份额：苏银理财恒源封闭债权246期13月F/J10564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G份额：苏银理财恒源封闭债权246期13月G/J10565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H份额：苏银理财恒源封闭债权246期13月H/J10566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I份额：苏银理财恒源封闭债权246期13月I/J10567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J份额：苏银理财恒源封闭债权246期13月J/J10568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K份额：苏银理财恒源封闭债权246期13月K/J10569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L份额：苏银理财恒源封闭债权246期13月L/J10570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M份额：苏银理财恒源封闭债权246期13月M/J10571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N份额：苏银理财恒源封闭债权246期13月N/J10572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O份额：苏银理财恒源封闭债权246期13月O（兰州银行开门红专属）/J10573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Z份额：苏银理财恒源封闭债权246期13月Z/J10575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JS份额：苏银理财恒源封闭债权246期13月JS鑫福款/J10576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北部湾银行专属份额：苏银理财恒源封闭债权246期13月（北部湾银行专属）/J10577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芙蓉锦程·优选份额：苏银理财恒源封闭债权246期13月（芙蓉锦程·优选）/J10578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A/D/F/G/H/I/J/K/L/N/O/Z/JS/北部湾银行专属/芙蓉锦程·优选份额：1元/1元的整数倍；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26</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2025年12月3日，如管理人调整募集期，则产品成立日将相应调整，以管理人公告为准。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K份额：2.55%-2.95%；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D份额：宁波东海银行股份有限公司/广州农村商业银行股份有限公司/武汉农村商业银行股份有限公司/宁波通商银行股份有限公司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K份额：日照银行股份有限公司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Z份额：莱商银行股份有限公司/郑州银行股份有限公司/齐鲁银行股份有限公司/兰州银行股份有限公司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14136</Words>
  <Characters>15092</Characters>
  <Lines>243</Lines>
  <Paragraphs>68</Paragraphs>
  <TotalTime>0</TotalTime>
  <ScaleCrop>false</ScaleCrop>
  <LinksUpToDate>false</LinksUpToDate>
  <CharactersWithSpaces>15095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2025-11-20T01:09:58Z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