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A954C8">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rPr>
        <w:t>https://www.zcf.org.cn，地方性公募基金会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color w:val="FF0000"/>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color w:val="FF0000"/>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color w:val="FF0000"/>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5077474A">
      <w:pPr>
        <w:shd w:val="clear" w:color="auto" w:fill="FFFFFF"/>
        <w:spacing w:line="300" w:lineRule="exact"/>
        <w:jc w:val="center"/>
        <w:outlineLvl w:val="1"/>
        <w:rPr>
          <w:rFonts w:hint="eastAsia" w:ascii="Times New Roman" w:hAnsi="Times New Roman" w:eastAsia="黑体" w:cs="Times New Roman"/>
          <w:sz w:val="22"/>
        </w:rPr>
      </w:pPr>
    </w:p>
    <w:p w14:paraId="68A94D86">
      <w:pPr>
        <w:shd w:val="clear" w:color="auto" w:fill="FFFFFF"/>
        <w:spacing w:line="300" w:lineRule="exact"/>
        <w:jc w:val="center"/>
        <w:outlineLvl w:val="1"/>
        <w:rPr>
          <w:rFonts w:ascii="Times New Roman" w:hAnsi="Times New Roman" w:eastAsia="黑体" w:cs="Times New Roman"/>
          <w:sz w:val="22"/>
        </w:rPr>
      </w:pPr>
      <w:r>
        <w:rPr>
          <w:rFonts w:hint="eastAsia" w:ascii="Times New Roman" w:hAnsi="Times New Roman" w:eastAsia="黑体" w:cs="Times New Roman"/>
          <w:sz w:val="22"/>
        </w:rPr>
        <w:t>信银理财理财产品投资协议书</w:t>
      </w:r>
    </w:p>
    <w:p w14:paraId="52DE90FC">
      <w:pPr>
        <w:spacing w:line="300" w:lineRule="exact"/>
        <w:ind w:firstLine="480"/>
        <w:rPr>
          <w:rFonts w:ascii="Times New Roman" w:hAnsi="Times New Roman" w:eastAsia="楷体_GB2312" w:cs="Times New Roman"/>
          <w:sz w:val="20"/>
          <w:szCs w:val="20"/>
        </w:rPr>
      </w:pPr>
      <w:bookmarkStart w:id="0" w:name="_GoBack"/>
      <w:bookmarkEnd w:id="0"/>
    </w:p>
    <w:p w14:paraId="79341D91">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甲方：投资者（投资者信息详见签署页）</w:t>
      </w:r>
    </w:p>
    <w:p w14:paraId="6A0D581D">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乙方：信银理财有限责任公司</w:t>
      </w:r>
    </w:p>
    <w:p w14:paraId="123DE341">
      <w:pPr>
        <w:spacing w:line="300" w:lineRule="exact"/>
        <w:ind w:firstLine="480"/>
        <w:rPr>
          <w:rFonts w:ascii="Times New Roman" w:hAnsi="Times New Roman" w:eastAsia="楷体_GB2312" w:cs="Times New Roman"/>
          <w:sz w:val="20"/>
          <w:szCs w:val="20"/>
        </w:rPr>
      </w:pPr>
      <w:r>
        <w:rPr>
          <w:rFonts w:ascii="Times New Roman" w:hAnsi="Times New Roman" w:eastAsia="楷体_GB2312" w:cs="Times New Roman"/>
          <w:sz w:val="20"/>
          <w:szCs w:val="20"/>
        </w:rPr>
        <w:t xml:space="preserve">   </w:t>
      </w:r>
    </w:p>
    <w:p w14:paraId="06049925">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经甲方和乙方平等协商，就甲方认购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申购乙方发行的理财产品（以下简称</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理财产品</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），达成本协议如下：</w:t>
      </w:r>
    </w:p>
    <w:p w14:paraId="48B11971">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一、适用范围</w:t>
      </w:r>
    </w:p>
    <w:p w14:paraId="3083C71D">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甲方在认购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申购乙方发行的理财产品之前应签署本协议。本协议生效后，甲方认购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申购乙方发行的理财产品的，均适用本协议。</w:t>
      </w:r>
    </w:p>
    <w:p w14:paraId="4EDAF4D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本协议为规范甲乙双方在理财业务中权利与义务的法律文件，与甲方认购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申购乙方多支理财产品时，不同理财产品对应的《信银理财理财产品产品说明书》《信银理财理财产品风险揭示书》组成的理财产品合同互相独立。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本协议不作为甲方认购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申购或持有理财产品的凭证。</w:t>
      </w:r>
    </w:p>
    <w:p w14:paraId="00AD07E1">
      <w:pPr>
        <w:spacing w:line="300" w:lineRule="exact"/>
        <w:rPr>
          <w:rFonts w:ascii="Times New Roman" w:hAnsi="Times New Roman" w:eastAsia="楷体_GB2312" w:cs="Times New Roman"/>
          <w:sz w:val="20"/>
          <w:szCs w:val="20"/>
        </w:rPr>
      </w:pPr>
    </w:p>
    <w:p w14:paraId="34433425">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二、风险提示</w:t>
      </w:r>
    </w:p>
    <w:p w14:paraId="3786D10E">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本产品为</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固定收益类</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产品</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具体投资对象</w:t>
      </w:r>
      <w:r>
        <w:rPr>
          <w:rFonts w:ascii="Times New Roman" w:hAnsi="Times New Roman" w:eastAsia="楷体_GB2312" w:cs="Times New Roman"/>
          <w:b/>
          <w:bCs/>
          <w:sz w:val="20"/>
          <w:szCs w:val="20"/>
        </w:rPr>
        <w:t>投资比例如下：</w:t>
      </w:r>
    </w:p>
    <w:tbl>
      <w:tblPr>
        <w:tblStyle w:val="8"/>
        <w:tblW w:w="3503" w:type="pct"/>
        <w:tblInd w:w="12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26"/>
        <w:gridCol w:w="1749"/>
      </w:tblGrid>
      <w:tr w14:paraId="27F6A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1FBCB2A0">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资产种类</w:t>
            </w:r>
          </w:p>
        </w:tc>
        <w:tc>
          <w:tcPr>
            <w:tcW w:w="1463" w:type="pct"/>
            <w:vAlign w:val="center"/>
          </w:tcPr>
          <w:p w14:paraId="6AB5185B">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投资比例</w:t>
            </w:r>
          </w:p>
        </w:tc>
      </w:tr>
      <w:tr w14:paraId="554C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62E33C8">
            <w:pPr>
              <w:ind w:right="29" w:rightChars="12"/>
              <w:jc w:val="center"/>
              <w:rPr>
                <w:rFonts w:ascii="楷体" w:hAnsi="楷体" w:eastAsia="楷体"/>
                <w:color w:val="000000"/>
                <w:sz w:val="20"/>
                <w:szCs w:val="20"/>
              </w:rPr>
            </w:pPr>
            <w:r>
              <w:rPr>
                <w:rFonts w:hint="eastAsia" w:ascii="楷体" w:hAnsi="楷体" w:eastAsia="楷体"/>
                <w:color w:val="000000"/>
                <w:sz w:val="20"/>
                <w:szCs w:val="20"/>
              </w:rPr>
              <w:t>债权类资产</w:t>
            </w:r>
          </w:p>
        </w:tc>
        <w:tc>
          <w:tcPr>
            <w:tcW w:w="1463" w:type="pct"/>
            <w:vAlign w:val="center"/>
          </w:tcPr>
          <w:p w14:paraId="78317B48">
            <w:pPr>
              <w:ind w:right="29" w:rightChars="12"/>
              <w:jc w:val="center"/>
              <w:rPr>
                <w:rFonts w:ascii="楷体" w:hAnsi="楷体" w:eastAsia="楷体"/>
                <w:color w:val="000000"/>
                <w:sz w:val="20"/>
                <w:szCs w:val="20"/>
              </w:rPr>
            </w:pPr>
            <w:r>
              <w:rPr>
                <w:rFonts w:hint="eastAsia" w:ascii="楷体" w:hAnsi="楷体" w:eastAsia="楷体"/>
                <w:sz w:val="20"/>
                <w:szCs w:val="20"/>
              </w:rPr>
              <w:t>【80%-100%】</w:t>
            </w:r>
          </w:p>
        </w:tc>
      </w:tr>
      <w:tr w14:paraId="247B2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F42DB17">
            <w:pPr>
              <w:ind w:right="29" w:rightChars="12"/>
              <w:jc w:val="center"/>
              <w:rPr>
                <w:rFonts w:ascii="楷体" w:hAnsi="楷体" w:eastAsia="楷体"/>
                <w:color w:val="000000"/>
                <w:sz w:val="20"/>
                <w:szCs w:val="20"/>
              </w:rPr>
            </w:pPr>
            <w:r>
              <w:rPr>
                <w:rFonts w:hint="eastAsia" w:ascii="楷体" w:hAnsi="楷体" w:eastAsia="楷体"/>
                <w:color w:val="000000"/>
                <w:sz w:val="20"/>
                <w:szCs w:val="20"/>
              </w:rPr>
              <w:t>其中</w:t>
            </w:r>
            <w:r>
              <w:rPr>
                <w:rFonts w:ascii="楷体" w:hAnsi="楷体" w:eastAsia="楷体"/>
                <w:color w:val="000000"/>
                <w:sz w:val="20"/>
                <w:szCs w:val="20"/>
              </w:rPr>
              <w:t>，非标准化债权类资产</w:t>
            </w:r>
          </w:p>
        </w:tc>
        <w:tc>
          <w:tcPr>
            <w:tcW w:w="1463" w:type="pct"/>
            <w:vAlign w:val="center"/>
          </w:tcPr>
          <w:p w14:paraId="6AD097A7">
            <w:pPr>
              <w:ind w:right="29" w:rightChars="12"/>
              <w:jc w:val="center"/>
              <w:rPr>
                <w:rFonts w:ascii="楷体" w:hAnsi="楷体" w:eastAsia="楷体"/>
                <w:color w:val="000000"/>
                <w:sz w:val="20"/>
                <w:szCs w:val="20"/>
              </w:rPr>
            </w:pPr>
            <w:r>
              <w:rPr>
                <w:rFonts w:hint="eastAsia" w:ascii="楷体" w:hAnsi="楷体" w:eastAsia="楷体"/>
                <w:sz w:val="20"/>
                <w:szCs w:val="20"/>
              </w:rPr>
              <w:t>【0%-49%</w:t>
            </w:r>
            <w:r>
              <w:rPr>
                <w:rFonts w:ascii="楷体" w:hAnsi="楷体" w:eastAsia="楷体"/>
                <w:sz w:val="20"/>
                <w:szCs w:val="20"/>
              </w:rPr>
              <w:t>】</w:t>
            </w:r>
          </w:p>
        </w:tc>
      </w:tr>
      <w:tr w14:paraId="2EBA9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5F654DE4">
            <w:pPr>
              <w:ind w:right="29" w:rightChars="12"/>
              <w:jc w:val="center"/>
              <w:rPr>
                <w:rFonts w:ascii="楷体" w:hAnsi="楷体" w:eastAsia="楷体"/>
                <w:color w:val="000000"/>
                <w:sz w:val="20"/>
                <w:szCs w:val="20"/>
              </w:rPr>
            </w:pPr>
            <w:r>
              <w:rPr>
                <w:rFonts w:hint="eastAsia" w:ascii="楷体" w:hAnsi="楷体" w:eastAsia="楷体"/>
                <w:color w:val="000000"/>
                <w:sz w:val="20"/>
                <w:szCs w:val="20"/>
              </w:rPr>
              <w:t>权益类资产</w:t>
            </w:r>
          </w:p>
        </w:tc>
        <w:tc>
          <w:tcPr>
            <w:tcW w:w="1463" w:type="pct"/>
            <w:vAlign w:val="center"/>
          </w:tcPr>
          <w:p w14:paraId="586ECE09">
            <w:pPr>
              <w:ind w:right="29" w:rightChars="12"/>
              <w:jc w:val="center"/>
              <w:rPr>
                <w:rFonts w:ascii="楷体" w:hAnsi="楷体" w:eastAsia="楷体"/>
                <w:color w:val="000000"/>
                <w:sz w:val="20"/>
                <w:szCs w:val="20"/>
              </w:rPr>
            </w:pPr>
            <w:r>
              <w:rPr>
                <w:rFonts w:hint="eastAsia" w:ascii="楷体" w:hAnsi="楷体" w:eastAsia="楷体"/>
                <w:sz w:val="20"/>
                <w:szCs w:val="20"/>
              </w:rPr>
              <w:t>【0%】</w:t>
            </w:r>
          </w:p>
        </w:tc>
      </w:tr>
      <w:tr w14:paraId="70367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3C2B6D1B">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资产：持仓合约价值</w:t>
            </w:r>
          </w:p>
        </w:tc>
        <w:tc>
          <w:tcPr>
            <w:tcW w:w="1463" w:type="pct"/>
            <w:vAlign w:val="center"/>
          </w:tcPr>
          <w:p w14:paraId="6180547C">
            <w:pPr>
              <w:ind w:right="29" w:rightChars="12"/>
              <w:jc w:val="center"/>
              <w:rPr>
                <w:rFonts w:ascii="楷体" w:hAnsi="楷体" w:eastAsia="楷体"/>
                <w:color w:val="000000"/>
                <w:sz w:val="20"/>
                <w:szCs w:val="20"/>
              </w:rPr>
            </w:pPr>
            <w:r>
              <w:rPr>
                <w:rFonts w:hint="eastAsia" w:ascii="楷体" w:hAnsi="楷体" w:eastAsia="楷体"/>
                <w:sz w:val="20"/>
                <w:szCs w:val="20"/>
              </w:rPr>
              <w:t>【0%-20%】</w:t>
            </w:r>
          </w:p>
        </w:tc>
      </w:tr>
      <w:tr w14:paraId="06005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537" w:type="pct"/>
            <w:vAlign w:val="center"/>
          </w:tcPr>
          <w:p w14:paraId="173B0FB7">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资产：衍生品账户权益</w:t>
            </w:r>
          </w:p>
        </w:tc>
        <w:tc>
          <w:tcPr>
            <w:tcW w:w="1463" w:type="pct"/>
            <w:vAlign w:val="center"/>
          </w:tcPr>
          <w:p w14:paraId="6802913A">
            <w:pPr>
              <w:ind w:right="29" w:rightChars="12"/>
              <w:jc w:val="center"/>
              <w:rPr>
                <w:rFonts w:ascii="楷体" w:hAnsi="楷体" w:eastAsia="楷体"/>
                <w:color w:val="000000"/>
                <w:sz w:val="20"/>
                <w:szCs w:val="20"/>
              </w:rPr>
            </w:pPr>
            <w:r>
              <w:rPr>
                <w:rFonts w:hint="eastAsia" w:ascii="楷体" w:hAnsi="楷体" w:eastAsia="楷体"/>
                <w:sz w:val="20"/>
                <w:szCs w:val="20"/>
              </w:rPr>
              <w:t>【0%-20%】</w:t>
            </w:r>
          </w:p>
        </w:tc>
      </w:tr>
    </w:tbl>
    <w:p w14:paraId="12BA1F36">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投资者投资本产品可能面临的特定风险主要包括（但不限于）</w:t>
      </w:r>
    </w:p>
    <w:p w14:paraId="5C815FBB">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（1）投资债权类资产的风险</w:t>
      </w:r>
    </w:p>
    <w:p w14:paraId="4F1920C9">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1）投资标准化债权类资产的风险</w:t>
      </w:r>
    </w:p>
    <w:p w14:paraId="0907430D">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）投资非标准化债权类资产的风险</w:t>
      </w:r>
    </w:p>
    <w:p w14:paraId="407FB6C8">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）投资权益类资产的风险</w:t>
      </w:r>
    </w:p>
    <w:p w14:paraId="7DED56E1">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1）投资普通股票可能面临的风险</w:t>
      </w:r>
    </w:p>
    <w:p w14:paraId="080C1D6F">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2）投资优先股可能面临的风险</w:t>
      </w:r>
    </w:p>
    <w:p w14:paraId="08F8364A">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3</w:t>
      </w:r>
      <w:r>
        <w:rPr>
          <w:rFonts w:hint="eastAsia" w:ascii="Times New Roman" w:hAnsi="Times New Roman" w:eastAsia="楷体_GB2312" w:cs="Times New Roman"/>
          <w:b/>
          <w:bCs/>
          <w:sz w:val="20"/>
          <w:szCs w:val="20"/>
        </w:rPr>
        <w:t>）投资商品及金融衍生品类资产的风险</w:t>
      </w:r>
    </w:p>
    <w:p w14:paraId="71AD6517">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hAnsi="Times New Roman" w:eastAsia="楷体_GB2312" w:cs="Times New Roman"/>
          <w:b/>
          <w:bCs/>
          <w:sz w:val="20"/>
          <w:szCs w:val="20"/>
        </w:rPr>
      </w:pPr>
    </w:p>
    <w:p w14:paraId="0C298D9E">
      <w:pPr>
        <w:spacing w:line="300" w:lineRule="exact"/>
        <w:ind w:firstLine="480"/>
        <w:rPr>
          <w:rFonts w:ascii="Times New Roman" w:hAnsi="Times New Roman" w:eastAsia="楷体_GB2312" w:cs="Times New Roman"/>
          <w:b/>
          <w:bCs/>
          <w:i/>
          <w:szCs w:val="20"/>
          <w:u w:val="single"/>
        </w:rPr>
      </w:pPr>
      <w:r>
        <w:rPr>
          <w:rFonts w:hint="eastAsia" w:ascii="Times New Roman" w:hAnsi="Times New Roman" w:eastAsia="楷体_GB2312" w:cs="Times New Roman"/>
          <w:b/>
          <w:bCs/>
          <w:i/>
          <w:szCs w:val="20"/>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hAnsi="Times New Roman" w:eastAsia="楷体_GB2312" w:cs="Times New Roman"/>
          <w:b/>
          <w:bCs/>
          <w:sz w:val="20"/>
          <w:szCs w:val="20"/>
        </w:rPr>
      </w:pPr>
    </w:p>
    <w:p w14:paraId="3B31B268">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理财非存款、产品有风险、投资须谨慎，理财产品过往业绩不代表其未来表现，不等于理财产品实际收益。投资者投资理财产品的，请关注产品各类</w:t>
      </w:r>
      <w:r>
        <w:rPr>
          <w:rFonts w:ascii="Times New Roman" w:hAnsi="Times New Roman" w:eastAsia="楷体_GB2312" w:cs="Times New Roman"/>
          <w:b/>
          <w:bCs/>
          <w:sz w:val="20"/>
          <w:szCs w:val="20"/>
        </w:rPr>
        <w:t>投资对象</w:t>
      </w:r>
      <w:r>
        <w:rPr>
          <w:rFonts w:hint="eastAsia" w:ascii="Times New Roman" w:hAnsi="Times New Roman" w:eastAsia="楷体_GB2312" w:cs="Times New Roman"/>
          <w:b/>
          <w:bCs/>
          <w:sz w:val="20"/>
          <w:szCs w:val="20"/>
        </w:rPr>
        <w:t>的</w:t>
      </w:r>
      <w:r>
        <w:rPr>
          <w:rFonts w:ascii="Times New Roman" w:hAnsi="Times New Roman" w:eastAsia="楷体_GB2312" w:cs="Times New Roman"/>
          <w:b/>
          <w:bCs/>
          <w:sz w:val="20"/>
          <w:szCs w:val="20"/>
        </w:rPr>
        <w:t>投资比例及相应</w:t>
      </w:r>
      <w:r>
        <w:rPr>
          <w:rFonts w:hint="eastAsia" w:ascii="Times New Roman" w:hAnsi="Times New Roman" w:eastAsia="楷体_GB2312" w:cs="Times New Roman"/>
          <w:b/>
          <w:bCs/>
          <w:sz w:val="20"/>
          <w:szCs w:val="20"/>
        </w:rPr>
        <w:t>投资</w:t>
      </w:r>
      <w:r>
        <w:rPr>
          <w:rFonts w:ascii="Times New Roman" w:hAnsi="Times New Roman" w:eastAsia="楷体_GB2312" w:cs="Times New Roman"/>
          <w:b/>
          <w:bCs/>
          <w:sz w:val="20"/>
          <w:szCs w:val="20"/>
        </w:rPr>
        <w:t>风险</w:t>
      </w:r>
      <w:r>
        <w:rPr>
          <w:rFonts w:hint="eastAsia" w:ascii="Times New Roman" w:hAnsi="Times New Roman" w:eastAsia="楷体_GB2312" w:cs="Times New Roman"/>
          <w:b/>
          <w:bCs/>
          <w:sz w:val="20"/>
          <w:szCs w:val="20"/>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申购的理财产品的《信银理财理财产品产品说明书》和《信银理财理财产品风险揭示书》中的相应条款。</w:t>
      </w:r>
    </w:p>
    <w:p w14:paraId="26F1CF61">
      <w:pPr>
        <w:spacing w:line="300" w:lineRule="exact"/>
        <w:ind w:firstLine="482"/>
        <w:rPr>
          <w:rFonts w:ascii="Times New Roman" w:hAnsi="Times New Roman" w:eastAsia="楷体_GB2312" w:cs="Times New Roman"/>
          <w:b/>
          <w:bCs/>
          <w:sz w:val="20"/>
          <w:szCs w:val="20"/>
        </w:rPr>
      </w:pPr>
    </w:p>
    <w:p w14:paraId="71C5DAF9">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三、投资条款</w:t>
      </w:r>
    </w:p>
    <w:p w14:paraId="3B4EE99C">
      <w:pPr>
        <w:spacing w:line="300" w:lineRule="exact"/>
        <w:ind w:firstLine="482"/>
        <w:rPr>
          <w:rFonts w:ascii="Times New Roman" w:hAnsi="Times New Roman" w:eastAsia="楷体_GB2312" w:cs="Times New Roman"/>
          <w:bCs/>
          <w:sz w:val="20"/>
          <w:szCs w:val="20"/>
        </w:rPr>
      </w:pPr>
      <w:r>
        <w:rPr>
          <w:rFonts w:hint="eastAsia" w:ascii="Times New Roman" w:hAnsi="Times New Roman" w:eastAsia="楷体_GB2312" w:cs="Times New Roman"/>
          <w:bCs/>
          <w:sz w:val="20"/>
          <w:szCs w:val="20"/>
        </w:rPr>
        <w:t>甲方认购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申购理财产品的具体认购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申购条件、流程、金额、份额、费用以及其他投资条款，由甲方实际认购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申购的理财产品的《信银理财理财产品产品说明书》具体约定。</w:t>
      </w:r>
    </w:p>
    <w:p w14:paraId="35EA177C">
      <w:pPr>
        <w:spacing w:line="300" w:lineRule="exact"/>
        <w:ind w:firstLine="482"/>
        <w:rPr>
          <w:rFonts w:ascii="Times New Roman" w:hAnsi="Times New Roman" w:eastAsia="楷体_GB2312" w:cs="Times New Roman"/>
          <w:bCs/>
          <w:sz w:val="20"/>
          <w:szCs w:val="20"/>
        </w:rPr>
      </w:pPr>
    </w:p>
    <w:p w14:paraId="06E12BFF">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四、甲方的权利与义务</w:t>
      </w:r>
    </w:p>
    <w:p w14:paraId="435D2F90">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（二）甲方保证以真实身份投资本理财产品，保证提供给产品管理人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代销机构的信息和资料均真实、准确、完整、合法。如甲方的信息和</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或资料发生变更，应当及时书面告知产品管理人或代销机构；</w:t>
      </w:r>
    </w:p>
    <w:p w14:paraId="19579FD4">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（三）甲方声明熟悉理财产品类型特征及不同销售渠道的法律法规规定；</w:t>
      </w:r>
    </w:p>
    <w:p w14:paraId="2F98994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（四）甲方承诺：如委托他人购买本产品，代理人须出具具有法律效力的授权委托书；</w:t>
      </w:r>
    </w:p>
    <w:p w14:paraId="52EE48D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（五）甲方保证理财投资资金来源和用途合法，保证可向产品管理人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代销机构提供合法筹集的证明文件；</w:t>
      </w:r>
    </w:p>
    <w:p w14:paraId="0AFEFD6D">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（六）甲方不得利用理财业务及理财产品销售文件项下理财产品从事违法活动；</w:t>
      </w:r>
    </w:p>
    <w:p w14:paraId="36BF6B79">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代销机构开展投资者身份识别、交易记录保存、投资者身份及交易背景尽职调查、大额和可疑交易报告等各项反洗钱工作，并按要求提供相关证明材料；</w:t>
      </w:r>
    </w:p>
    <w:p w14:paraId="050F42A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（八）甲方不属于联合国、欧盟或美国等制裁名单，及中国政府部门或有权机关发布的涉恐及反洗钱相关风险名单内的企业或个人；不位于被联合国、欧盟或美国等制裁的国家和地区；</w:t>
      </w:r>
    </w:p>
    <w:p w14:paraId="5D2B2B26">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hAnsi="Times New Roman" w:eastAsia="楷体_GB2312" w:cs="Times New Roman"/>
          <w:sz w:val="20"/>
          <w:szCs w:val="20"/>
        </w:rPr>
      </w:pPr>
    </w:p>
    <w:p w14:paraId="7E5686B6">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五、乙方的权利与义务</w:t>
      </w:r>
    </w:p>
    <w:p w14:paraId="4FB71CEA">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（一）乙方具有开办理财业务的经营资质，保证以诚实守信、勤勉尽职的原则管理和运用理财资金；</w:t>
      </w:r>
    </w:p>
    <w:p w14:paraId="544FA8EC">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（二）乙方具有完全适当的资格和能力订立与履行理财产品合同。</w:t>
      </w:r>
    </w:p>
    <w:p w14:paraId="1234881D">
      <w:pPr>
        <w:spacing w:line="300" w:lineRule="exact"/>
        <w:ind w:firstLine="482"/>
        <w:rPr>
          <w:rFonts w:ascii="Times New Roman" w:hAnsi="Times New Roman" w:eastAsia="楷体_GB2312" w:cs="Times New Roman"/>
          <w:sz w:val="20"/>
          <w:szCs w:val="20"/>
        </w:rPr>
      </w:pPr>
    </w:p>
    <w:p w14:paraId="4E72B39F">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六、违约责任</w:t>
      </w:r>
    </w:p>
    <w:p w14:paraId="47C2AF30">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双方因违反本协议约定而给对方造成损失的，违约方应赔偿因此给对方造成的直接损失。</w:t>
      </w:r>
    </w:p>
    <w:p w14:paraId="398A78FB">
      <w:pPr>
        <w:spacing w:line="300" w:lineRule="exact"/>
        <w:ind w:firstLine="482"/>
        <w:rPr>
          <w:rFonts w:ascii="Times New Roman" w:hAnsi="Times New Roman" w:eastAsia="楷体_GB2312" w:cs="Times New Roman"/>
          <w:b/>
          <w:bCs/>
          <w:sz w:val="20"/>
          <w:szCs w:val="20"/>
        </w:rPr>
      </w:pPr>
    </w:p>
    <w:p w14:paraId="03BB3CB4">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七、免责内容</w:t>
      </w:r>
    </w:p>
    <w:p w14:paraId="72B32606">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hAnsi="Times New Roman" w:eastAsia="楷体_GB2312" w:cs="Times New Roman"/>
          <w:b/>
          <w:bCs/>
          <w:sz w:val="20"/>
          <w:szCs w:val="20"/>
        </w:rPr>
        <w:t>。</w:t>
      </w:r>
    </w:p>
    <w:p w14:paraId="38271711">
      <w:pPr>
        <w:spacing w:line="300" w:lineRule="exact"/>
        <w:ind w:firstLine="482"/>
        <w:rPr>
          <w:rFonts w:ascii="Times New Roman" w:hAnsi="Times New Roman" w:eastAsia="楷体_GB2312" w:cs="Times New Roman"/>
          <w:b/>
          <w:bCs/>
          <w:sz w:val="20"/>
          <w:szCs w:val="20"/>
        </w:rPr>
      </w:pPr>
    </w:p>
    <w:p w14:paraId="44611FE9">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八、争议解决</w:t>
      </w:r>
    </w:p>
    <w:p w14:paraId="483B028B">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w:t>
      </w:r>
      <w:r>
        <w:rPr>
          <w:rFonts w:hint="eastAsia" w:ascii="Times New Roman" w:hAnsi="Times New Roman" w:eastAsia="楷体_GB2312" w:cs="Times New Roman"/>
          <w:b/>
          <w:sz w:val="20"/>
          <w:szCs w:val="20"/>
        </w:rPr>
        <w:t>本协议/</w:t>
      </w:r>
      <w:r>
        <w:rPr>
          <w:rFonts w:hint="eastAsia" w:ascii="Times New Roman" w:hAnsi="Times New Roman" w:eastAsia="楷体_GB2312" w:cs="Times New Roman"/>
          <w:b/>
          <w:bCs/>
          <w:sz w:val="20"/>
          <w:szCs w:val="20"/>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6BE7B647">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（三）在协商或仲裁期间，对于本协议/理财产品合同不涉及争议部分的条款，双方仍须履行。</w:t>
      </w:r>
    </w:p>
    <w:p w14:paraId="66D3F2FE">
      <w:pPr>
        <w:spacing w:line="300" w:lineRule="exact"/>
        <w:ind w:firstLine="482"/>
        <w:rPr>
          <w:rFonts w:ascii="Times New Roman" w:hAnsi="Times New Roman" w:eastAsia="楷体_GB2312" w:cs="Times New Roman"/>
          <w:b/>
          <w:bCs/>
          <w:sz w:val="20"/>
          <w:szCs w:val="20"/>
        </w:rPr>
      </w:pPr>
    </w:p>
    <w:p w14:paraId="33DC896E">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九、附则</w:t>
      </w:r>
    </w:p>
    <w:p w14:paraId="43D5C269">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申购份额经乙方确认后生效。甲方知悉并确认，乙方对于甲方认购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申购份额的确认即视为乙方对于本协议的签署和认可，甲方不得以乙方未在本协议上盖章为由主张本协议无效。</w:t>
      </w:r>
    </w:p>
    <w:p w14:paraId="4F35098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（二）本协议条款与《信银理财理财产品产品说明书》条款不一致的，以《信银理财理财产品产品说明书》的约定为准。</w:t>
      </w:r>
    </w:p>
    <w:p w14:paraId="487B8F4D">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hAnsi="Times New Roman" w:eastAsia="楷体_GB2312" w:cs="Times New Roman"/>
          <w:sz w:val="20"/>
          <w:szCs w:val="20"/>
        </w:rPr>
      </w:pPr>
    </w:p>
    <w:p w14:paraId="382E40CA">
      <w:pPr>
        <w:spacing w:line="300" w:lineRule="exact"/>
        <w:rPr>
          <w:rFonts w:ascii="Times New Roman" w:hAnsi="Times New Roman" w:eastAsia="楷体_GB2312" w:cs="Times New Roman"/>
          <w:sz w:val="20"/>
          <w:szCs w:val="20"/>
        </w:rPr>
      </w:pPr>
    </w:p>
    <w:p w14:paraId="684DC015">
      <w:pPr>
        <w:spacing w:line="300" w:lineRule="exact"/>
        <w:rPr>
          <w:rFonts w:ascii="Times New Roman" w:hAnsi="Times New Roman" w:eastAsia="楷体_GB2312" w:cs="Times New Roman"/>
          <w:sz w:val="20"/>
          <w:szCs w:val="20"/>
        </w:rPr>
      </w:pPr>
      <w:r>
        <w:rPr>
          <w:rFonts w:ascii="Times New Roman" w:hAnsi="Times New Roman" w:eastAsia="楷体_GB2312" w:cs="Times New Roman"/>
          <w:b/>
          <w:sz w:val="20"/>
          <w:szCs w:val="20"/>
        </w:rPr>
        <w:t>甲方</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个人投资者（签字）</w:t>
      </w:r>
      <w:r>
        <w:rPr>
          <w:rFonts w:ascii="Times New Roman" w:hAnsi="Times New Roman" w:eastAsia="楷体_GB2312" w:cs="Times New Roman"/>
          <w:sz w:val="20"/>
          <w:szCs w:val="20"/>
        </w:rPr>
        <w:t xml:space="preserve">:               </w:t>
      </w:r>
    </w:p>
    <w:p w14:paraId="75E89A50">
      <w:pPr>
        <w:spacing w:line="300" w:lineRule="exact"/>
        <w:ind w:firstLine="600" w:firstLineChars="300"/>
        <w:rPr>
          <w:rFonts w:ascii="Times New Roman" w:hAnsi="Times New Roman" w:eastAsia="楷体_GB2312" w:cs="Times New Roman"/>
          <w:sz w:val="20"/>
          <w:szCs w:val="20"/>
        </w:rPr>
      </w:pPr>
    </w:p>
    <w:p w14:paraId="4799ED60">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机构投资者（公章）</w:t>
      </w:r>
      <w:r>
        <w:rPr>
          <w:rFonts w:ascii="Times New Roman" w:hAnsi="Times New Roman" w:eastAsia="楷体_GB2312" w:cs="Times New Roman"/>
          <w:sz w:val="20"/>
          <w:szCs w:val="20"/>
        </w:rPr>
        <w:t xml:space="preserve">:               </w:t>
      </w:r>
    </w:p>
    <w:p w14:paraId="285D1965">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法定代表人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负责人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授权代表（签字</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盖章）：</w:t>
      </w:r>
    </w:p>
    <w:p w14:paraId="6742F1FA">
      <w:pPr>
        <w:spacing w:line="300" w:lineRule="exact"/>
        <w:ind w:firstLine="600" w:firstLineChars="300"/>
        <w:rPr>
          <w:rFonts w:ascii="Times New Roman" w:hAnsi="Times New Roman" w:eastAsia="楷体_GB2312" w:cs="Times New Roman"/>
          <w:sz w:val="20"/>
          <w:szCs w:val="20"/>
        </w:rPr>
      </w:pPr>
    </w:p>
    <w:p w14:paraId="4912DB02">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证件类别（个人投资者）：</w:t>
      </w:r>
      <w:r>
        <w:rPr>
          <w:rFonts w:ascii="Times New Roman" w:hAnsi="Times New Roman" w:eastAsia="楷体_GB2312" w:cs="Times New Roman"/>
          <w:sz w:val="20"/>
          <w:szCs w:val="20"/>
        </w:rPr>
        <w:t xml:space="preserve">             </w:t>
      </w:r>
    </w:p>
    <w:p w14:paraId="06AC3C35">
      <w:pPr>
        <w:spacing w:line="300" w:lineRule="exact"/>
        <w:ind w:firstLine="600" w:firstLineChars="300"/>
        <w:rPr>
          <w:rFonts w:ascii="Times New Roman" w:hAnsi="Times New Roman" w:eastAsia="楷体_GB2312" w:cs="Times New Roman"/>
          <w:sz w:val="20"/>
          <w:szCs w:val="20"/>
        </w:rPr>
      </w:pPr>
    </w:p>
    <w:p w14:paraId="3FAF2438">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证件号（个人投资者）：</w:t>
      </w:r>
      <w:r>
        <w:rPr>
          <w:rFonts w:ascii="Times New Roman" w:hAnsi="Times New Roman" w:eastAsia="楷体_GB2312" w:cs="Times New Roman"/>
          <w:sz w:val="20"/>
          <w:szCs w:val="20"/>
        </w:rPr>
        <w:t xml:space="preserve">                </w:t>
      </w:r>
    </w:p>
    <w:p w14:paraId="18F5FA32">
      <w:pPr>
        <w:spacing w:line="300" w:lineRule="exact"/>
        <w:ind w:firstLine="600" w:firstLineChars="300"/>
      </w:pPr>
      <w:r>
        <w:rPr>
          <w:rFonts w:ascii="Times New Roman" w:hAnsi="Times New Roman" w:eastAsia="楷体_GB2312" w:cs="Times New Roman"/>
          <w:sz w:val="20"/>
          <w:szCs w:val="20"/>
        </w:rPr>
        <w:t xml:space="preserve">             </w:t>
      </w: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jc w:val="right"/>
    </w:pPr>
    <w:r>
      <w:t xml:space="preserve">                    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555547B"/>
    <w:rsid w:val="36200A61"/>
    <w:rsid w:val="36C344B8"/>
    <w:rsid w:val="37085D5E"/>
    <w:rsid w:val="375E0BAF"/>
    <w:rsid w:val="37BD6F93"/>
    <w:rsid w:val="38AA320E"/>
    <w:rsid w:val="3AD774B7"/>
    <w:rsid w:val="3B5A0EDF"/>
    <w:rsid w:val="3ED41958"/>
    <w:rsid w:val="43BF748C"/>
    <w:rsid w:val="44193E1A"/>
    <w:rsid w:val="44A01663"/>
    <w:rsid w:val="46896EAF"/>
    <w:rsid w:val="477E1AE8"/>
    <w:rsid w:val="4A097F8F"/>
    <w:rsid w:val="4A684CC3"/>
    <w:rsid w:val="4B7F0E9E"/>
    <w:rsid w:val="4DED180A"/>
    <w:rsid w:val="50A5550E"/>
    <w:rsid w:val="54F974BE"/>
    <w:rsid w:val="5744470A"/>
    <w:rsid w:val="57ED7804"/>
    <w:rsid w:val="57EFD92C"/>
    <w:rsid w:val="587641EB"/>
    <w:rsid w:val="598A78EB"/>
    <w:rsid w:val="5A032C9A"/>
    <w:rsid w:val="5A380F0B"/>
    <w:rsid w:val="5CE34769"/>
    <w:rsid w:val="5FE40CB2"/>
    <w:rsid w:val="5FF5EC4B"/>
    <w:rsid w:val="60884B3D"/>
    <w:rsid w:val="60977546"/>
    <w:rsid w:val="6499029E"/>
    <w:rsid w:val="650B63FE"/>
    <w:rsid w:val="65E43670"/>
    <w:rsid w:val="66AC290C"/>
    <w:rsid w:val="67A2A190"/>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Pages>
  <Words>4237</Words>
  <Characters>24152</Characters>
  <Lines>201</Lines>
  <Paragraphs>56</Paragraphs>
  <TotalTime>1</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chenjingpu</cp:lastModifiedBy>
  <cp:lastPrinted>2024-06-08T01:24:00Z</cp:lastPrinted>
  <dcterms:modified xsi:type="dcterms:W3CDTF">2025-11-27T08:09:05Z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