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C40A91">
      <w:pPr>
        <w:spacing w:line="300" w:lineRule="exact"/>
        <w:jc w:val="both"/>
        <w:rPr>
          <w:color w:val="000000" w:themeColor="text1"/>
          <w14:textFill>
            <w14:solidFill>
              <w14:schemeClr w14:val="tx1"/>
            </w14:solidFill>
          </w14:textFill>
        </w:rPr>
      </w:pPr>
      <w:bookmarkStart w:id="1" w:name="_GoBack"/>
      <w:bookmarkEnd w:id="1"/>
      <w:r>
        <w:rPr>
          <w:rFonts w:hint="eastAsia" w:ascii="黑体" w:eastAsia="黑体" w:cs="黑体"/>
          <w:b/>
          <w:bCs/>
          <w:color w:val="000000" w:themeColor="text1"/>
          <w14:textFill>
            <w14:solidFill>
              <w14:schemeClr w14:val="tx1"/>
            </w14:solidFill>
          </w14:textFill>
        </w:rPr>
        <w:t>理财产品登记编码: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Z7002625002508】</w:t>
      </w:r>
    </w:p>
    <w:p w14:paraId="14894ADD">
      <w:pPr>
        <w:spacing w:line="300" w:lineRule="exact"/>
        <w:ind w:right="89" w:rightChars="37"/>
        <w:rPr>
          <w:rFonts w:ascii="黑体" w:hAnsi="黑体" w:eastAsia="黑体"/>
          <w:sz w:val="21"/>
          <w:szCs w:val="21"/>
        </w:rPr>
      </w:pPr>
      <w:r>
        <w:rPr>
          <w:rFonts w:hint="eastAsia" w:ascii="黑体" w:hAnsi="黑体" w:eastAsia="黑体"/>
          <w:sz w:val="21"/>
          <w:szCs w:val="21"/>
        </w:rPr>
        <w:t>理财产品登记编码为本产品在全国银行业理财信息登记系统取得的理财产品登记编码，投资者可以依据该理财产品登记编码在金融产品查询平台（www.jrcpcx.cn）或中国理财网（</w:t>
      </w:r>
      <w:r>
        <w:rPr>
          <w:rFonts w:ascii="黑体" w:hAnsi="黑体" w:eastAsia="黑体"/>
          <w:sz w:val="21"/>
          <w:szCs w:val="21"/>
        </w:rPr>
        <w:t>www.chinawealth.com.cn）上查询本产品相关信息。</w:t>
      </w:r>
    </w:p>
    <w:p w14:paraId="11882F74">
      <w:pPr>
        <w:spacing w:line="300" w:lineRule="exact"/>
        <w:ind w:right="89" w:rightChars="37"/>
        <w:rPr>
          <w:rFonts w:ascii="黑体" w:hAnsi="黑体" w:eastAsia="黑体"/>
          <w:sz w:val="21"/>
          <w:szCs w:val="21"/>
        </w:rPr>
      </w:pPr>
    </w:p>
    <w:p w14:paraId="60039533">
      <w:pPr>
        <w:spacing w:line="300" w:lineRule="exact"/>
        <w:ind w:right="89" w:rightChars="37"/>
        <w:rPr>
          <w:rFonts w:ascii="黑体" w:hAnsi="黑体" w:eastAsia="黑体"/>
          <w:b/>
          <w:sz w:val="28"/>
          <w:szCs w:val="28"/>
        </w:rPr>
      </w:pPr>
      <w:r>
        <w:rPr>
          <w:rFonts w:hint="eastAsia" w:ascii="黑体" w:hAnsi="黑体" w:eastAsia="黑体"/>
          <w:b/>
          <w:sz w:val="28"/>
          <w:szCs w:val="28"/>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hAnsi="黑体" w:eastAsia="黑体"/>
          <w:b/>
          <w:sz w:val="28"/>
          <w:szCs w:val="28"/>
        </w:rPr>
        <w:t>www.chinawealth.com.cn）上查询到产品相关信息，则该产品非信银理财发行产品。</w:t>
      </w:r>
    </w:p>
    <w:p w14:paraId="6AFAA48A">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5A961E9D">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2006040B">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14:paraId="0D7ED81A">
      <w:pPr>
        <w:widowControl w:val="0"/>
        <w:spacing w:line="300" w:lineRule="exact"/>
        <w:ind w:right="-792" w:rightChars="-330"/>
        <w:jc w:val="center"/>
        <w:rPr>
          <w:rFonts w:ascii="黑体" w:hAnsi="Calibri"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rPr>
        <w:t>信银理财安盈象固收稳健温暖童行丰收封闭式4号理财产品</w:t>
      </w:r>
      <w:r>
        <w:rPr>
          <w:rFonts w:hint="eastAsia" w:ascii="黑体" w:hAnsi="Calibri" w:eastAsia="黑体" w:cs="黑体"/>
          <w:b/>
          <w:bCs/>
          <w:color w:val="000000" w:themeColor="text1"/>
          <w:sz w:val="20"/>
          <w:szCs w:val="20"/>
          <w14:textFill>
            <w14:solidFill>
              <w14:schemeClr w14:val="tx1"/>
            </w14:solidFill>
          </w14:textFill>
        </w:rPr>
        <w:t xml:space="preserve">】  </w:t>
      </w:r>
    </w:p>
    <w:p w14:paraId="6F12700F">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Calibri" w:eastAsia="黑体" w:cs="黑体"/>
          <w:b/>
          <w:bCs/>
          <w:color w:val="000000" w:themeColor="text1"/>
          <w:sz w:val="20"/>
          <w:szCs w:val="20"/>
          <w14:textFill>
            <w14:solidFill>
              <w14:schemeClr w14:val="tx1"/>
            </w14:solidFill>
          </w14:textFill>
        </w:rPr>
        <w:t>产品代码</w:t>
      </w:r>
      <w:r>
        <w:rPr>
          <w:rFonts w:ascii="黑体" w:hAnsi="Calibri" w:eastAsia="黑体" w:cs="黑体"/>
          <w:b/>
          <w:bCs/>
          <w:color w:val="000000" w:themeColor="text1"/>
          <w:sz w:val="20"/>
          <w:szCs w:val="20"/>
          <w14:textFill>
            <w14:solidFill>
              <w14:schemeClr w14:val="tx1"/>
            </w14:solidFill>
          </w14:textFill>
        </w:rPr>
        <w:t>：【</w:t>
      </w:r>
      <w:r>
        <w:rPr>
          <w:rFonts w:ascii="黑体" w:hAnsi="Calibri" w:eastAsia="黑体" w:cs="黑体"/>
          <w:b/>
          <w:bCs/>
          <w:sz w:val="20"/>
          <w:szCs w:val="20"/>
        </w:rPr>
        <w:t>AF251854</w:t>
      </w:r>
      <w:r>
        <w:rPr>
          <w:rFonts w:ascii="黑体" w:hAnsi="Calibri" w:eastAsia="黑体" w:cs="黑体"/>
          <w:b/>
          <w:bCs/>
          <w:color w:val="000000" w:themeColor="text1"/>
          <w:sz w:val="20"/>
          <w:szCs w:val="20"/>
          <w14:textFill>
            <w14:solidFill>
              <w14:schemeClr w14:val="tx1"/>
            </w14:solidFill>
          </w14:textFill>
        </w:rPr>
        <w:t>】</w:t>
      </w:r>
      <w:r>
        <w:rPr>
          <w:rFonts w:hint="eastAsia" w:ascii="黑体" w:hAnsi="Times New Roman" w:eastAsia="黑体" w:cs="黑体"/>
          <w:b/>
          <w:bCs/>
          <w:color w:val="000000" w:themeColor="text1"/>
          <w:sz w:val="20"/>
          <w:szCs w:val="20"/>
          <w14:textFill>
            <w14:solidFill>
              <w14:schemeClr w14:val="tx1"/>
            </w14:solidFill>
          </w14:textFill>
        </w:rPr>
        <w:t>）</w:t>
      </w:r>
    </w:p>
    <w:p w14:paraId="7FE49EE9">
      <w:pPr>
        <w:spacing w:line="300" w:lineRule="exact"/>
        <w:ind w:right="-792" w:rightChars="-330"/>
        <w:rPr>
          <w:color w:val="000000" w:themeColor="text1"/>
          <w14:textFill>
            <w14:solidFill>
              <w14:schemeClr w14:val="tx1"/>
            </w14:solidFill>
          </w14:textFill>
        </w:rPr>
      </w:pPr>
    </w:p>
    <w:p w14:paraId="0D4AD127">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14:paraId="575147D5">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．本理财产品的产品期限为【</w:t>
      </w:r>
      <w:r>
        <w:rPr>
          <w:rFonts w:ascii="黑体" w:hAnsi="Times New Roman" w:eastAsia="黑体" w:cs="黑体"/>
          <w:b/>
          <w:color w:val="000000" w:themeColor="text1"/>
          <w:sz w:val="20"/>
          <w:szCs w:val="20"/>
          <w14:textFill>
            <w14:solidFill>
              <w14:schemeClr w14:val="tx1"/>
            </w14:solidFill>
          </w14:textFill>
        </w:rPr>
        <w:t>421</w:t>
      </w:r>
      <w:r>
        <w:rPr>
          <w:rFonts w:hint="eastAsia" w:ascii="黑体" w:hAnsi="Times New Roman" w:eastAsia="黑体" w:cs="黑体"/>
          <w:b/>
          <w:color w:val="000000" w:themeColor="text1"/>
          <w:sz w:val="20"/>
          <w:szCs w:val="20"/>
          <w14:textFill>
            <w14:solidFill>
              <w14:schemeClr w14:val="tx1"/>
            </w14:solidFill>
          </w14:textFill>
        </w:rPr>
        <w:t>】天，到期日为</w:t>
      </w:r>
      <w:r>
        <w:rPr>
          <w:rFonts w:ascii="黑体" w:hAnsi="Times New Roman" w:eastAsia="黑体" w:cs="黑体"/>
          <w:b/>
          <w:color w:val="000000" w:themeColor="text1"/>
          <w:sz w:val="20"/>
          <w:szCs w:val="20"/>
          <w14:textFill>
            <w14:solidFill>
              <w14:schemeClr w14:val="tx1"/>
            </w14:solidFill>
          </w14:textFill>
        </w:rPr>
        <w:t>【2027】年【2】月【3】日</w:t>
      </w:r>
      <w:r>
        <w:rPr>
          <w:rFonts w:hint="eastAsia" w:ascii="黑体" w:hAnsi="Times New Roman" w:eastAsia="黑体" w:cs="黑体"/>
          <w:b/>
          <w:color w:val="000000" w:themeColor="text1"/>
          <w:sz w:val="20"/>
          <w:szCs w:val="20"/>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本</w:t>
      </w:r>
      <w:r>
        <w:rPr>
          <w:rFonts w:hint="eastAsia" w:ascii="黑体" w:hAnsi="Times New Roman" w:eastAsia="黑体" w:cs="黑体"/>
          <w:color w:val="000000" w:themeColor="text1"/>
          <w:sz w:val="20"/>
          <w:szCs w:val="20"/>
          <w14:textFill>
            <w14:solidFill>
              <w14:schemeClr w14:val="tx1"/>
            </w14:solidFill>
          </w14:textFill>
        </w:rPr>
        <w:t>理财产品的《信银理财理财</w:t>
      </w:r>
      <w:r>
        <w:rPr>
          <w:rFonts w:ascii="黑体" w:hAnsi="Times New Roman" w:eastAsia="黑体" w:cs="黑体"/>
          <w:color w:val="000000" w:themeColor="text1"/>
          <w:sz w:val="20"/>
          <w:szCs w:val="20"/>
          <w14:textFill>
            <w14:solidFill>
              <w14:schemeClr w14:val="tx1"/>
            </w14:solidFill>
          </w14:textFill>
        </w:rPr>
        <w:t>产品说明书</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信银</w:t>
      </w:r>
      <w:r>
        <w:rPr>
          <w:rFonts w:ascii="黑体" w:hAnsi="Times New Roman" w:eastAsia="黑体" w:cs="黑体"/>
          <w:color w:val="000000" w:themeColor="text1"/>
          <w:sz w:val="20"/>
          <w:szCs w:val="20"/>
          <w14:textFill>
            <w14:solidFill>
              <w14:schemeClr w14:val="tx1"/>
            </w14:solidFill>
          </w14:textFill>
        </w:rPr>
        <w:t>理财理财产品风险揭示书》</w:t>
      </w:r>
      <w:r>
        <w:rPr>
          <w:rFonts w:hint="eastAsia" w:ascii="黑体" w:hAnsi="Times New Roman" w:eastAsia="黑体" w:cs="黑体"/>
          <w:color w:val="000000" w:themeColor="text1"/>
          <w:sz w:val="20"/>
          <w:szCs w:val="20"/>
          <w14:textFill>
            <w14:solidFill>
              <w14:schemeClr w14:val="tx1"/>
            </w14:solidFill>
          </w14:textFill>
        </w:rPr>
        <w:t>、《信银理财理财产品投资协议书》</w:t>
      </w:r>
      <w:r>
        <w:rPr>
          <w:rFonts w:ascii="黑体" w:hAnsi="Times New Roman" w:eastAsia="黑体" w:cs="黑体"/>
          <w:color w:val="000000" w:themeColor="text1"/>
          <w:sz w:val="20"/>
          <w:szCs w:val="20"/>
          <w14:textFill>
            <w14:solidFill>
              <w14:schemeClr w14:val="tx1"/>
            </w14:solidFill>
          </w14:textFill>
        </w:rPr>
        <w:t>与《信银理财理财产品销售总协议》（含附件：客户权益须知专页）（或合作销售机构向投资者提供的理财产品销售协议文本）</w:t>
      </w:r>
      <w:r>
        <w:rPr>
          <w:rFonts w:hint="eastAsia" w:ascii="黑体" w:hAnsi="Times New Roman" w:eastAsia="黑体" w:cs="黑体"/>
          <w:color w:val="000000" w:themeColor="text1"/>
          <w:sz w:val="20"/>
          <w:szCs w:val="20"/>
          <w14:textFill>
            <w14:solidFill>
              <w14:schemeClr w14:val="tx1"/>
            </w14:solidFill>
          </w14:textFill>
        </w:rPr>
        <w:t>等文件及其不时有效修订与补充</w:t>
      </w:r>
      <w:r>
        <w:rPr>
          <w:rFonts w:ascii="黑体" w:hAnsi="Times New Roman" w:eastAsia="黑体" w:cs="黑体"/>
          <w:color w:val="000000" w:themeColor="text1"/>
          <w:sz w:val="20"/>
          <w:szCs w:val="20"/>
          <w14:textFill>
            <w14:solidFill>
              <w14:schemeClr w14:val="tx1"/>
            </w14:solidFill>
          </w14:textFill>
        </w:rPr>
        <w:t>共同构成</w:t>
      </w:r>
      <w:r>
        <w:rPr>
          <w:rFonts w:hint="eastAsia" w:ascii="黑体" w:hAnsi="Times New Roman" w:eastAsia="黑体" w:cs="黑体"/>
          <w:color w:val="000000" w:themeColor="text1"/>
          <w:sz w:val="20"/>
          <w:szCs w:val="20"/>
          <w14:textFill>
            <w14:solidFill>
              <w14:schemeClr w14:val="tx1"/>
            </w14:solidFill>
          </w14:textFill>
        </w:rPr>
        <w:t>理财产品销售文件</w:t>
      </w:r>
      <w:r>
        <w:rPr>
          <w:rFonts w:ascii="黑体" w:hAnsi="Times New Roman" w:eastAsia="黑体" w:cs="黑体"/>
          <w:color w:val="000000" w:themeColor="text1"/>
          <w:sz w:val="20"/>
          <w:szCs w:val="20"/>
          <w14:textFill>
            <w14:solidFill>
              <w14:schemeClr w14:val="tx1"/>
            </w14:solidFill>
          </w14:textFill>
        </w:rPr>
        <w:t>。</w:t>
      </w:r>
    </w:p>
    <w:p w14:paraId="3297E99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14:paraId="56DCE51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hAnsi="Times New Roman" w:eastAsia="黑体" w:cs="黑体"/>
          <w:color w:val="000000" w:themeColor="text1"/>
          <w:sz w:val="20"/>
          <w:szCs w:val="20"/>
          <w14:textFill>
            <w14:solidFill>
              <w14:schemeClr w14:val="tx1"/>
            </w14:solidFill>
          </w14:textFill>
        </w:rPr>
        <w:t>机构</w:t>
      </w:r>
      <w:r>
        <w:rPr>
          <w:rFonts w:hint="eastAsia" w:ascii="黑体" w:hAnsi="Times New Roman" w:eastAsia="黑体" w:cs="黑体"/>
          <w:color w:val="000000" w:themeColor="text1"/>
          <w:sz w:val="20"/>
          <w:szCs w:val="20"/>
          <w14:textFill>
            <w14:solidFill>
              <w14:schemeClr w14:val="tx1"/>
            </w14:solidFill>
          </w14:textFill>
        </w:rPr>
        <w:t>各营业场所或营业</w:t>
      </w:r>
      <w:r>
        <w:rPr>
          <w:rFonts w:ascii="黑体" w:hAnsi="Times New Roman" w:eastAsia="黑体" w:cs="黑体"/>
          <w:color w:val="000000" w:themeColor="text1"/>
          <w:sz w:val="20"/>
          <w:szCs w:val="20"/>
          <w14:textFill>
            <w14:solidFill>
              <w14:schemeClr w14:val="tx1"/>
            </w14:solidFill>
          </w14:textFill>
        </w:rPr>
        <w:t>网点</w:t>
      </w:r>
      <w:r>
        <w:rPr>
          <w:rFonts w:hint="eastAsia" w:ascii="黑体" w:hAnsi="Times New Roman" w:eastAsia="黑体" w:cs="黑体"/>
          <w:color w:val="000000" w:themeColor="text1"/>
          <w:sz w:val="20"/>
          <w:szCs w:val="20"/>
          <w14:textFill>
            <w14:solidFill>
              <w14:schemeClr w14:val="tx1"/>
            </w14:solidFill>
          </w14:textFill>
        </w:rPr>
        <w:t>咨询。</w:t>
      </w:r>
    </w:p>
    <w:p w14:paraId="422532DF">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14:paraId="25097462">
      <w:pPr>
        <w:snapToGrid w:val="0"/>
        <w:ind w:firstLine="200"/>
        <w:jc w:val="both"/>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14:paraId="7B53214D">
      <w:pPr>
        <w:snapToGrid w:val="0"/>
        <w:ind w:firstLine="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理财产品不成立风险：如发生理财产品不成立条款约定之情形，信银理财有权通知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14:paraId="57F91A8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金融市场危机、投资市场停止交易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未及时将投资者认购</w:t>
      </w:r>
      <w:r>
        <w:rPr>
          <w:rFonts w:ascii="黑体" w:hAnsi="黑体" w:eastAsia="黑体"/>
          <w:b/>
          <w:color w:val="000000" w:themeColor="text1"/>
          <w:sz w:val="20"/>
          <w:szCs w:val="20"/>
          <w14:textFill>
            <w14:solidFill>
              <w14:schemeClr w14:val="tx1"/>
            </w14:solidFill>
          </w14:textFill>
        </w:rPr>
        <w:t>资金划转至信银理财，将导致投资者无法完成认购，因此造成的损失信银理财不承担责任；在</w:t>
      </w:r>
      <w:r>
        <w:rPr>
          <w:rFonts w:hint="eastAsia" w:ascii="黑体" w:hAnsi="黑体" w:eastAsia="黑体"/>
          <w:b/>
          <w:color w:val="000000" w:themeColor="text1"/>
          <w:sz w:val="20"/>
          <w:szCs w:val="20"/>
          <w14:textFill>
            <w14:solidFill>
              <w14:schemeClr w14:val="tx1"/>
            </w14:solidFill>
          </w14:textFill>
        </w:rPr>
        <w:t>赎回和</w:t>
      </w:r>
      <w:r>
        <w:rPr>
          <w:rFonts w:ascii="黑体" w:hAnsi="黑体" w:eastAsia="黑体"/>
          <w:b/>
          <w:color w:val="000000" w:themeColor="text1"/>
          <w:sz w:val="20"/>
          <w:szCs w:val="20"/>
          <w14:textFill>
            <w14:solidFill>
              <w14:schemeClr w14:val="tx1"/>
            </w14:solidFill>
          </w14:textFill>
        </w:rPr>
        <w:t>到期时，信银理财将投资者应得资金划转至合作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w:t>
      </w:r>
      <w:r>
        <w:rPr>
          <w:rFonts w:ascii="黑体" w:hAnsi="黑体" w:eastAsia="黑体"/>
          <w:b/>
          <w:color w:val="000000" w:themeColor="text1"/>
          <w:sz w:val="20"/>
          <w:szCs w:val="20"/>
          <w14:textFill>
            <w14:solidFill>
              <w14:schemeClr w14:val="tx1"/>
            </w14:solidFill>
          </w14:textFill>
        </w:rPr>
        <w:t>信银理财不承担任何责任。</w:t>
      </w:r>
    </w:p>
    <w:p w14:paraId="74EAAF49">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hAnsi="黑体" w:eastAsia="黑体"/>
          <w:color w:val="000000" w:themeColor="text1"/>
          <w:sz w:val="20"/>
          <w:szCs w:val="20"/>
          <w14:textFill>
            <w14:solidFill>
              <w14:schemeClr w14:val="tx1"/>
            </w14:solidFill>
          </w14:textFill>
        </w:rPr>
      </w:pPr>
    </w:p>
    <w:p w14:paraId="2A932026">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w:t>
      </w:r>
      <w:r>
        <w:rPr>
          <w:rFonts w:ascii="黑体" w:hAnsi="Times New Roman" w:eastAsia="黑体" w:cs="黑体"/>
          <w:b/>
          <w:bCs/>
          <w:color w:val="000000" w:themeColor="text1"/>
          <w:sz w:val="20"/>
          <w:szCs w:val="20"/>
          <w14:textFill>
            <w14:solidFill>
              <w14:schemeClr w14:val="tx1"/>
            </w14:solidFill>
          </w14:textFill>
        </w:rPr>
        <w:t>定义：</w:t>
      </w:r>
    </w:p>
    <w:p w14:paraId="1E80C41F">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14:paraId="1DDFA2E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5．理财产品资产净值</w:t>
      </w:r>
      <w:r>
        <w:rPr>
          <w:rFonts w:ascii="黑体" w:hAnsi="黑体" w:eastAsia="黑体"/>
          <w:color w:val="000000" w:themeColor="text1"/>
          <w:sz w:val="20"/>
          <w:szCs w:val="20"/>
          <w14:textFill>
            <w14:solidFill>
              <w14:schemeClr w14:val="tx1"/>
            </w14:solidFill>
          </w14:textFill>
        </w:rPr>
        <w:t>/资产净值</w:t>
      </w:r>
      <w:r>
        <w:rPr>
          <w:rFonts w:hint="eastAsia" w:ascii="黑体" w:hAnsi="黑体" w:eastAsia="黑体"/>
          <w:color w:val="000000" w:themeColor="text1"/>
          <w:sz w:val="20"/>
          <w:szCs w:val="20"/>
          <w14:textFill>
            <w14:solidFill>
              <w14:schemeClr w14:val="tx1"/>
            </w14:solidFill>
          </w14:textFill>
        </w:rPr>
        <w:t>/净资产</w:t>
      </w:r>
      <w:r>
        <w:rPr>
          <w:rFonts w:ascii="黑体" w:hAnsi="黑体" w:eastAsia="黑体"/>
          <w:color w:val="000000" w:themeColor="text1"/>
          <w:sz w:val="20"/>
          <w:szCs w:val="20"/>
          <w14:textFill>
            <w14:solidFill>
              <w14:schemeClr w14:val="tx1"/>
            </w14:solidFill>
          </w14:textFill>
        </w:rPr>
        <w:t>：资产净值=产品资产总值-产品负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6．</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w:t>
      </w:r>
      <w:r>
        <w:rPr>
          <w:rFonts w:hint="eastAsia" w:ascii="黑体" w:hAnsi="黑体" w:eastAsia="黑体"/>
          <w:color w:val="000000" w:themeColor="text1"/>
          <w:sz w:val="20"/>
          <w:szCs w:val="20"/>
          <w14:textFill>
            <w14:solidFill>
              <w14:schemeClr w14:val="tx1"/>
            </w14:solidFill>
          </w14:textFill>
        </w:rPr>
        <w:t>。</w:t>
      </w:r>
    </w:p>
    <w:p w14:paraId="1B1F5FC5">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7．理财</w:t>
      </w:r>
      <w:r>
        <w:rPr>
          <w:rFonts w:ascii="黑体" w:hAnsi="黑体" w:eastAsia="黑体"/>
          <w:color w:val="000000" w:themeColor="text1"/>
          <w:sz w:val="20"/>
          <w:szCs w:val="20"/>
          <w14:textFill>
            <w14:solidFill>
              <w14:schemeClr w14:val="tx1"/>
            </w14:solidFill>
          </w14:textFill>
        </w:rPr>
        <w:t>产品本金</w:t>
      </w:r>
      <w:r>
        <w:rPr>
          <w:rFonts w:hint="eastAsia" w:ascii="黑体" w:hAnsi="黑体" w:eastAsia="黑体"/>
          <w:color w:val="000000" w:themeColor="text1"/>
          <w:sz w:val="20"/>
          <w:szCs w:val="20"/>
          <w14:textFill>
            <w14:solidFill>
              <w14:schemeClr w14:val="tx1"/>
            </w14:solidFill>
          </w14:textFill>
        </w:rPr>
        <w:t>/投资本金/本金</w:t>
      </w:r>
      <w:r>
        <w:rPr>
          <w:rFonts w:ascii="黑体" w:hAnsi="黑体" w:eastAsia="黑体"/>
          <w:color w:val="000000" w:themeColor="text1"/>
          <w:sz w:val="20"/>
          <w:szCs w:val="20"/>
          <w14:textFill>
            <w14:solidFill>
              <w14:schemeClr w14:val="tx1"/>
            </w14:solidFill>
          </w14:textFill>
        </w:rPr>
        <w:t>：指投资者为认购理财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，扣除认购费后</w:t>
      </w:r>
      <w:r>
        <w:rPr>
          <w:rFonts w:ascii="黑体" w:hAnsi="黑体" w:eastAsia="黑体"/>
          <w:color w:val="000000" w:themeColor="text1"/>
          <w:sz w:val="20"/>
          <w:szCs w:val="20"/>
          <w14:textFill>
            <w14:solidFill>
              <w14:schemeClr w14:val="tx1"/>
            </w14:solidFill>
          </w14:textFill>
        </w:rPr>
        <w:t>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14:paraId="777990E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8．理财产品</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/投资</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/收益</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14:paraId="4508E9F2">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．合作销售机构/代销机构：指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14:paraId="48AD85F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14:paraId="29BC2341">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14:paraId="4E153AAC">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14:paraId="7E3AD06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14:paraId="7138C285">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p>
    <w:p w14:paraId="74C60AB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14:paraId="2272F832">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13．流动性受限资产：是指由于法律法规、监管、合同或操作障碍等原因无法以合理价格予以变现的资产，包括到期日在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14．信银理财电子渠道：指信银理财官方网站（</w:t>
      </w:r>
      <w:r>
        <w:rPr>
          <w:rStyle w:val="11"/>
          <w:rFonts w:ascii="黑体" w:hAnsi="黑体" w:eastAsia="黑体"/>
          <w:sz w:val="20"/>
          <w:szCs w:val="20"/>
        </w:rPr>
        <w:fldChar w:fldCharType="begin"/>
      </w:r>
      <w:r>
        <w:rPr>
          <w:rStyle w:val="11"/>
          <w:rFonts w:ascii="黑体" w:hAnsi="黑体" w:eastAsia="黑体"/>
          <w:sz w:val="20"/>
          <w:szCs w:val="20"/>
        </w:rPr>
        <w:instrText xml:space="preserve"> HYPERLINK "http://www.citic-wealth.com" </w:instrText>
      </w:r>
      <w:r>
        <w:rPr>
          <w:rStyle w:val="11"/>
          <w:rFonts w:ascii="黑体" w:hAnsi="黑体" w:eastAsia="黑体"/>
          <w:sz w:val="20"/>
          <w:szCs w:val="20"/>
        </w:rPr>
        <w:fldChar w:fldCharType="separate"/>
      </w:r>
      <w:r>
        <w:rPr>
          <w:rStyle w:val="11"/>
          <w:rFonts w:ascii="黑体" w:hAnsi="黑体" w:eastAsia="黑体"/>
          <w:sz w:val="20"/>
          <w:szCs w:val="20"/>
        </w:rPr>
        <w:t>http://www.citic-wealth.com</w:t>
      </w:r>
      <w:r>
        <w:rPr>
          <w:rStyle w:val="11"/>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14:paraId="4FCE737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15．信银理财直销渠道：指信银理财电子渠道及营业场所。</w:t>
      </w:r>
    </w:p>
    <w:p w14:paraId="6B4EF93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16．销售机构：指信银理财及代销机构。</w:t>
      </w:r>
    </w:p>
    <w:p w14:paraId="77627480">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3957F209">
      <w:pPr>
        <w:pStyle w:val="19"/>
        <w:numPr>
          <w:ilvl w:val="255"/>
          <w:numId w:val="0"/>
        </w:numPr>
        <w:spacing w:line="300" w:lineRule="atLeast"/>
        <w:ind w:right="36" w:firstLine="400" w:firstLineChars="200"/>
        <w:rPr>
          <w:rFonts w:ascii="黑体" w:hAnsi="黑体" w:eastAsia="黑体"/>
          <w:color w:val="000000" w:themeColor="text1"/>
          <w:sz w:val="20"/>
          <w:szCs w:val="20"/>
          <w14:textFill>
            <w14:solidFill>
              <w14:schemeClr w14:val="tx1"/>
            </w14:solidFill>
          </w14:textFill>
        </w:rPr>
      </w:pPr>
    </w:p>
    <w:p w14:paraId="0F96C1C8">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w:t>
      </w:r>
      <w:r>
        <w:rPr>
          <w:rFonts w:ascii="黑体" w:hAnsi="Times New Roman" w:eastAsia="黑体" w:cs="黑体"/>
          <w:b/>
          <w:bCs/>
          <w:color w:val="000000" w:themeColor="text1"/>
          <w:sz w:val="20"/>
          <w:szCs w:val="20"/>
          <w14:textFill>
            <w14:solidFill>
              <w14:schemeClr w14:val="tx1"/>
            </w14:solidFill>
          </w14:textFill>
        </w:rPr>
        <w:t>与投资者</w:t>
      </w:r>
      <w:r>
        <w:rPr>
          <w:rFonts w:hint="eastAsia" w:ascii="黑体" w:hAnsi="Times New Roman" w:eastAsia="黑体" w:cs="黑体"/>
          <w:b/>
          <w:bCs/>
          <w:color w:val="000000" w:themeColor="text1"/>
          <w:sz w:val="20"/>
          <w:szCs w:val="20"/>
          <w14:textFill>
            <w14:solidFill>
              <w14:schemeClr w14:val="tx1"/>
            </w14:solidFill>
          </w14:textFill>
        </w:rPr>
        <w:t>类型</w:t>
      </w:r>
      <w:r>
        <w:rPr>
          <w:rFonts w:ascii="黑体" w:hAnsi="Times New Roman" w:eastAsia="黑体" w:cs="黑体"/>
          <w:b/>
          <w:bCs/>
          <w:color w:val="000000" w:themeColor="text1"/>
          <w:sz w:val="20"/>
          <w:szCs w:val="20"/>
          <w14:textFill>
            <w14:solidFill>
              <w14:schemeClr w14:val="tx1"/>
            </w14:solidFill>
          </w14:textFill>
        </w:rPr>
        <w:t>对应关系</w:t>
      </w:r>
      <w:r>
        <w:rPr>
          <w:rFonts w:hint="eastAsia" w:ascii="黑体" w:hAnsi="Times New Roman" w:eastAsia="黑体" w:cs="黑体"/>
          <w:b/>
          <w:bCs/>
          <w:color w:val="000000" w:themeColor="text1"/>
          <w:sz w:val="20"/>
          <w:szCs w:val="20"/>
          <w14:textFill>
            <w14:solidFill>
              <w14:schemeClr w14:val="tx1"/>
            </w14:solidFill>
          </w14:textFill>
        </w:rPr>
        <w:t>：</w:t>
      </w:r>
    </w:p>
    <w:p w14:paraId="525AFA1F">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8"/>
        <w:gridCol w:w="2370"/>
        <w:gridCol w:w="3770"/>
      </w:tblGrid>
      <w:tr w14:paraId="0860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2F62CB8A">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14:paraId="1695DDE9">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4327" w:type="dxa"/>
            <w:vAlign w:val="center"/>
          </w:tcPr>
          <w:p w14:paraId="1029746E">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14:paraId="326A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571315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14:paraId="7EBF8FBC">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4327" w:type="dxa"/>
            <w:vAlign w:val="center"/>
          </w:tcPr>
          <w:p w14:paraId="48987A97">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14:paraId="70A7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055A059B">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14:paraId="1DA79A45">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4327" w:type="dxa"/>
            <w:vAlign w:val="center"/>
          </w:tcPr>
          <w:p w14:paraId="5FB6EADF">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14:paraId="19CD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9D1EA47">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14:paraId="4AAA9B0A">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4327" w:type="dxa"/>
            <w:vAlign w:val="center"/>
          </w:tcPr>
          <w:p w14:paraId="5CFE2FE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14:paraId="2750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3150E7D">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14:paraId="7198B426">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4327" w:type="dxa"/>
            <w:vAlign w:val="center"/>
          </w:tcPr>
          <w:p w14:paraId="7746408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14:paraId="623C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D09A3A2">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14:paraId="7BD6D5DA">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4327" w:type="dxa"/>
            <w:vAlign w:val="center"/>
          </w:tcPr>
          <w:p w14:paraId="762AD7B7">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14:paraId="3F46C695">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14:paraId="5DA403D6">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14:paraId="683DC93B">
      <w:pPr>
        <w:snapToGrid w:val="0"/>
        <w:ind w:left="433" w:right="53" w:rightChars="22" w:firstLine="0" w:firstLineChars="0"/>
        <w:outlineLvl w:val="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．产品投资策略：</w:t>
      </w:r>
    </w:p>
    <w:p w14:paraId="2E9FE289">
      <w:pPr>
        <w:spacing w:line="300" w:lineRule="exact"/>
        <w:ind w:left="-2" w:leftChars="-1" w:right="36" w:rightChars="15" w:firstLine="422"/>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通过综合分析经济形势、货币政策、利率走势、行业状况、信用风险等因素，自上而下判断宏观趋势和利率趋势，并自下而上结合内部信用评级制度，分析企业的市场地位、管理水平、发展趋势和财务状况等，作为产品投资的重要依据，以获取长期稳定的收益。</w:t>
      </w:r>
    </w:p>
    <w:p w14:paraId="032DBAE6">
      <w:pPr>
        <w:spacing w:line="300" w:lineRule="exact"/>
        <w:ind w:left="-2" w:leftChars="0" w:right="36" w:rightChars="15" w:firstLine="420" w:firstLineChars="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14:paraId="37379198">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（1）债权类资产</w:t>
      </w:r>
    </w:p>
    <w:p w14:paraId="04B61E15">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a</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货币市场类：现金、存款、大额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14:paraId="710C6F30">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b.固定收益类：国债</w:t>
      </w:r>
      <w:r>
        <w:rPr>
          <w:rFonts w:ascii="楷体_GB2312" w:eastAsia="楷体_GB2312"/>
          <w:color w:val="000000" w:themeColor="text1"/>
          <w:sz w:val="20"/>
          <w:szCs w:val="20"/>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14:paraId="76EF9675">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w:t>
      </w:r>
      <w:r>
        <w:rPr>
          <w:rFonts w:ascii="Times New Roman" w:hAnsi="Times New Roman" w:eastAsia="楷体_GB2312"/>
          <w:color w:val="000000" w:themeColor="text1"/>
          <w:sz w:val="20"/>
          <w:szCs w:val="20"/>
          <w14:textFill>
            <w14:solidFill>
              <w14:schemeClr w14:val="tx1"/>
            </w14:solidFill>
          </w14:textFill>
        </w:rPr>
        <w:t>类</w:t>
      </w:r>
      <w:r>
        <w:rPr>
          <w:rFonts w:hint="eastAsia" w:ascii="Times New Roman" w:hAnsi="Times New Roman" w:eastAsia="楷体_GB2312"/>
          <w:color w:val="000000" w:themeColor="text1"/>
          <w:sz w:val="20"/>
          <w:szCs w:val="20"/>
          <w14:textFill>
            <w14:solidFill>
              <w14:schemeClr w14:val="tx1"/>
            </w14:solidFill>
          </w14:textFill>
        </w:rPr>
        <w:t>资产</w:t>
      </w:r>
      <w:r>
        <w:rPr>
          <w:rFonts w:ascii="Times New Roman" w:hAnsi="Times New Roman" w:eastAsia="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14:textFill>
            <w14:solidFill>
              <w14:schemeClr w14:val="tx1"/>
            </w14:solidFill>
          </w14:textFill>
        </w:rPr>
        <w:t>。</w:t>
      </w:r>
    </w:p>
    <w:p w14:paraId="6C290A87">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w:t>
      </w:r>
      <w:r>
        <w:rPr>
          <w:rFonts w:ascii="Times New Roman" w:hAnsi="Times New Roman" w:eastAsia="楷体_GB2312"/>
          <w:color w:val="000000" w:themeColor="text1"/>
          <w:sz w:val="20"/>
          <w:szCs w:val="20"/>
          <w14:textFill>
            <w14:solidFill>
              <w14:schemeClr w14:val="tx1"/>
            </w14:solidFill>
          </w14:textFill>
        </w:rPr>
        <w:t>及</w:t>
      </w:r>
      <w:r>
        <w:rPr>
          <w:rFonts w:hint="eastAsia" w:ascii="Times New Roman" w:hAnsi="Times New Roman" w:eastAsia="楷体_GB2312"/>
          <w:color w:val="000000" w:themeColor="text1"/>
          <w:sz w:val="20"/>
          <w:szCs w:val="20"/>
          <w14:textFill>
            <w14:solidFill>
              <w14:schemeClr w14:val="tx1"/>
            </w14:solidFill>
          </w14:textFill>
        </w:rPr>
        <w:t>金融</w:t>
      </w:r>
      <w:r>
        <w:rPr>
          <w:rFonts w:ascii="Times New Roman" w:hAnsi="Times New Roman" w:eastAsia="楷体_GB2312"/>
          <w:color w:val="000000" w:themeColor="text1"/>
          <w:sz w:val="20"/>
          <w:szCs w:val="20"/>
          <w14:textFill>
            <w14:solidFill>
              <w14:schemeClr w14:val="tx1"/>
            </w14:solidFill>
          </w14:textFill>
        </w:rPr>
        <w:t>衍生品类资产：</w:t>
      </w:r>
      <w:r>
        <w:rPr>
          <w:rFonts w:hint="eastAsia" w:ascii="Times New Roman" w:hAnsi="Times New Roman" w:eastAsia="楷体_GB2312"/>
          <w:color w:val="000000" w:themeColor="text1"/>
          <w:sz w:val="20"/>
          <w:szCs w:val="20"/>
          <w14:textFill>
            <w14:solidFill>
              <w14:schemeClr w14:val="tx1"/>
            </w14:solidFill>
          </w14:textFill>
        </w:rPr>
        <w:t>商品现货，互换</w:t>
      </w:r>
      <w:r>
        <w:rPr>
          <w:rFonts w:ascii="Times New Roman" w:hAnsi="Times New Roman"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right="36" w:rightChars="15" w:firstLine="420" w:firstLineChars="0"/>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各</w:t>
      </w:r>
      <w:r>
        <w:rPr>
          <w:rFonts w:ascii="Times New Roman" w:hAnsi="Times New Roman" w:eastAsia="楷体_GB2312"/>
          <w:color w:val="000000" w:themeColor="text1"/>
          <w:sz w:val="20"/>
          <w:szCs w:val="20"/>
          <w14:textFill>
            <w14:solidFill>
              <w14:schemeClr w14:val="tx1"/>
            </w14:solidFill>
          </w14:textFill>
        </w:rPr>
        <w:t>投资对象投资比例为：</w:t>
      </w: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13"/>
        <w:gridCol w:w="3815"/>
      </w:tblGrid>
      <w:tr w14:paraId="4CFBB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DF0D605">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14:paraId="1BA084F8">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14:paraId="06148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23BD743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14:paraId="002CA2B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【80%-100%】</w:t>
            </w:r>
          </w:p>
        </w:tc>
      </w:tr>
      <w:tr w14:paraId="2066F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C95E97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14:paraId="06CBEEFC">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【0%-49%</w:t>
            </w:r>
            <w:r>
              <w:rPr>
                <w:rFonts w:ascii="楷体" w:hAnsi="楷体" w:eastAsia="楷体"/>
                <w:color w:val="000000" w:themeColor="text1"/>
                <w:sz w:val="20"/>
                <w:szCs w:val="20"/>
                <w14:textFill>
                  <w14:solidFill>
                    <w14:schemeClr w14:val="tx1"/>
                  </w14:solidFill>
                </w14:textFill>
              </w:rPr>
              <w:t>】</w:t>
            </w:r>
          </w:p>
        </w:tc>
      </w:tr>
      <w:tr w14:paraId="76D43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01F568B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14:paraId="4CAD7C05">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p>
        </w:tc>
      </w:tr>
      <w:tr w14:paraId="6F4EE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1BFAE4AE">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14:paraId="6612C441">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r w14:paraId="67AD8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61AB169">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14:paraId="486BB9BA">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bl>
    <w:p w14:paraId="065AA9BC">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本产品可通过信托、证券</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基金</w:t>
      </w:r>
      <w:r>
        <w:rPr>
          <w:rFonts w:ascii="Times New Roman" w:hAnsi="Times New Roman" w:eastAsia="楷体_GB2312" w:cs="楷体_GB2312"/>
          <w:color w:val="000000" w:themeColor="text1"/>
          <w:sz w:val="20"/>
          <w:szCs w:val="20"/>
          <w14:textFill>
            <w14:solidFill>
              <w14:schemeClr w14:val="tx1"/>
            </w14:solidFill>
          </w14:textFill>
        </w:rPr>
        <w:t>、期货</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保险资产管理机构等依法设立的资产管理产品</w:t>
      </w:r>
      <w:r>
        <w:rPr>
          <w:rFonts w:hint="eastAsia" w:ascii="Times New Roman" w:hAnsi="Times New Roman" w:eastAsia="楷体_GB2312" w:cs="楷体_GB2312"/>
          <w:color w:val="000000" w:themeColor="text1"/>
          <w:sz w:val="20"/>
          <w:szCs w:val="20"/>
          <w14:textFill>
            <w14:solidFill>
              <w14:schemeClr w14:val="tx1"/>
            </w14:solidFill>
          </w14:textFill>
        </w:rPr>
        <w:t>以及其他符合国家相关政策、法律法规的投资渠道和方式实现对上述投资品种的投资，且可以由资产持有人按公允价格转让本产品所投资的全部或部分投资标的。</w:t>
      </w:r>
    </w:p>
    <w:p w14:paraId="42F021DF">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产品管理人应确保本产品建仓期后投资比例符合前述要求，</w:t>
      </w:r>
      <w:r>
        <w:rPr>
          <w:rFonts w:hint="eastAsia" w:ascii="Times New Roman" w:hAnsi="Times New Roman" w:eastAsia="楷体_GB2312" w:cs="楷体_GB2312"/>
          <w:color w:val="000000" w:themeColor="text1"/>
          <w:sz w:val="20"/>
          <w:szCs w:val="20"/>
          <w14:textFill>
            <w14:solidFill>
              <w14:schemeClr w14:val="tx1"/>
            </w14:solidFill>
          </w14:textFill>
        </w:rPr>
        <w:t>非因管理人主观因素导致突破前述比例限制的，管理人应在流动性受限资产可出售、可转让或者恢复交易的15个</w:t>
      </w:r>
      <w:r>
        <w:rPr>
          <w:rFonts w:ascii="Times New Roman" w:hAnsi="Times New Roman" w:eastAsia="楷体_GB2312" w:cs="楷体_GB2312"/>
          <w:color w:val="000000" w:themeColor="text1"/>
          <w:sz w:val="20"/>
          <w:szCs w:val="20"/>
          <w14:textFill>
            <w14:solidFill>
              <w14:schemeClr w14:val="tx1"/>
            </w14:solidFill>
          </w14:textFill>
        </w:rPr>
        <w:t>交易日内调整至</w:t>
      </w:r>
      <w:r>
        <w:rPr>
          <w:rFonts w:hint="eastAsia" w:ascii="Times New Roman" w:hAnsi="Times New Roman" w:eastAsia="楷体_GB2312" w:cs="楷体_GB2312"/>
          <w:color w:val="000000" w:themeColor="text1"/>
          <w:sz w:val="20"/>
          <w:szCs w:val="20"/>
          <w14:textFill>
            <w14:solidFill>
              <w14:schemeClr w14:val="tx1"/>
            </w14:solidFill>
          </w14:textFill>
        </w:rPr>
        <w:t>至符合</w:t>
      </w:r>
      <w:r>
        <w:rPr>
          <w:rFonts w:ascii="Times New Roman" w:hAnsi="Times New Roman" w:eastAsia="楷体_GB2312" w:cs="楷体_GB2312"/>
          <w:color w:val="000000" w:themeColor="text1"/>
          <w:sz w:val="20"/>
          <w:szCs w:val="20"/>
          <w14:textFill>
            <w14:solidFill>
              <w14:schemeClr w14:val="tx1"/>
            </w14:solidFill>
          </w14:textFill>
        </w:rPr>
        <w:t>要求</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国务院银行业监督管理机构规定的特殊情形除外</w:t>
      </w:r>
      <w:r>
        <w:rPr>
          <w:rFonts w:hint="eastAsia" w:ascii="Times New Roman" w:hAnsi="Times New Roman" w:eastAsia="楷体_GB2312" w:cs="楷体_GB2312"/>
          <w:color w:val="000000" w:themeColor="text1"/>
          <w:sz w:val="20"/>
          <w:szCs w:val="20"/>
          <w14:textFill>
            <w14:solidFill>
              <w14:schemeClr w14:val="tx1"/>
            </w14:solidFill>
          </w14:textFill>
        </w:rPr>
        <w:t>。</w:t>
      </w:r>
    </w:p>
    <w:p w14:paraId="3B0557B5">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说明书约定提前</w:t>
      </w:r>
      <w:r>
        <w:rPr>
          <w:rFonts w:hint="eastAsia" w:ascii="楷体_GB2312" w:eastAsia="楷体_GB2312" w:cs="楷体_GB2312"/>
          <w:color w:val="000000" w:themeColor="text1"/>
          <w:sz w:val="20"/>
          <w:szCs w:val="20"/>
          <w14:textFill>
            <w14:solidFill>
              <w14:schemeClr w14:val="tx1"/>
            </w14:solidFill>
          </w14:textFill>
        </w:rPr>
        <w:t>通知</w:t>
      </w:r>
      <w:r>
        <w:rPr>
          <w:rFonts w:ascii="楷体_GB2312" w:eastAsia="楷体_GB2312" w:cs="楷体_GB2312"/>
          <w:color w:val="000000" w:themeColor="text1"/>
          <w:sz w:val="20"/>
          <w:szCs w:val="20"/>
          <w14:textFill>
            <w14:solidFill>
              <w14:schemeClr w14:val="tx1"/>
            </w14:solidFill>
          </w14:textFill>
        </w:rPr>
        <w:t>投资者的情况下，对本</w:t>
      </w:r>
      <w:r>
        <w:rPr>
          <w:rFonts w:hint="eastAsia" w:ascii="楷体_GB2312" w:eastAsia="楷体_GB2312" w:cs="楷体_GB2312"/>
          <w:color w:val="000000" w:themeColor="text1"/>
          <w:sz w:val="20"/>
          <w:szCs w:val="20"/>
          <w14:textFill>
            <w14:solidFill>
              <w14:schemeClr w14:val="tx1"/>
            </w14:solidFill>
          </w14:textFill>
        </w:rPr>
        <w:t>产品</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投资范围、投资品种或投资比例进行</w:t>
      </w:r>
      <w:r>
        <w:rPr>
          <w:rFonts w:ascii="楷体_GB2312" w:eastAsia="楷体_GB2312" w:cs="楷体_GB2312"/>
          <w:color w:val="000000" w:themeColor="text1"/>
          <w:sz w:val="20"/>
          <w:szCs w:val="20"/>
          <w14:textFill>
            <w14:solidFill>
              <w14:schemeClr w14:val="tx1"/>
            </w14:solidFill>
          </w14:textFill>
        </w:rPr>
        <w:t>调</w:t>
      </w:r>
      <w:r>
        <w:rPr>
          <w:rFonts w:ascii="楷体_GB2312" w:eastAsia="楷体_GB2312" w:cs="楷体_GB2312"/>
          <w:sz w:val="20"/>
          <w:szCs w:val="20"/>
        </w:rPr>
        <w:t>整</w:t>
      </w:r>
      <w:r>
        <w:rPr>
          <w:rFonts w:hint="eastAsia" w:ascii="楷体_GB2312" w:eastAsia="楷体_GB2312" w:cs="楷体_GB2312"/>
          <w:sz w:val="20"/>
          <w:szCs w:val="20"/>
        </w:rPr>
        <w:t>。投资者</w:t>
      </w:r>
      <w:r>
        <w:rPr>
          <w:rFonts w:ascii="楷体_GB2312" w:eastAsia="楷体_GB2312" w:cs="楷体_GB2312"/>
          <w:sz w:val="20"/>
          <w:szCs w:val="20"/>
        </w:rPr>
        <w:t>不接受的，可</w:t>
      </w:r>
      <w:r>
        <w:rPr>
          <w:rFonts w:hint="eastAsia" w:ascii="楷体_GB2312" w:eastAsia="楷体_GB2312" w:cs="楷体_GB2312"/>
          <w:sz w:val="20"/>
          <w:szCs w:val="20"/>
        </w:rPr>
        <w:t>提前</w:t>
      </w:r>
      <w:r>
        <w:rPr>
          <w:rFonts w:ascii="楷体_GB2312" w:eastAsia="楷体_GB2312" w:cs="楷体_GB2312"/>
          <w:sz w:val="20"/>
          <w:szCs w:val="20"/>
        </w:rPr>
        <w:t>赎回理财产品，</w:t>
      </w:r>
      <w:r>
        <w:rPr>
          <w:rFonts w:hint="eastAsia" w:ascii="楷体_GB2312" w:eastAsia="楷体_GB2312" w:cs="楷体_GB2312"/>
          <w:sz w:val="20"/>
          <w:szCs w:val="20"/>
        </w:rPr>
        <w:t>信银理财有权根据情况设立临时的赎回开放日</w:t>
      </w:r>
      <w:r>
        <w:rPr>
          <w:rFonts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除</w:t>
      </w:r>
      <w:r>
        <w:rPr>
          <w:rFonts w:ascii="楷体_GB2312" w:eastAsia="楷体_GB2312" w:cs="楷体_GB2312"/>
          <w:color w:val="000000" w:themeColor="text1"/>
          <w:sz w:val="20"/>
          <w:szCs w:val="20"/>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14:textFill>
            <w14:solidFill>
              <w14:schemeClr w14:val="tx1"/>
            </w14:solidFill>
          </w14:textFill>
        </w:rPr>
        <w:t>产品管理人应按</w:t>
      </w:r>
      <w:r>
        <w:rPr>
          <w:rFonts w:ascii="楷体_GB2312" w:eastAsia="楷体_GB2312" w:cs="楷体_GB2312"/>
          <w:color w:val="000000" w:themeColor="text1"/>
          <w:sz w:val="20"/>
          <w:szCs w:val="20"/>
          <w14:textFill>
            <w14:solidFill>
              <w14:schemeClr w14:val="tx1"/>
            </w14:solidFill>
          </w14:textFill>
        </w:rPr>
        <w:t>监管要求</w:t>
      </w:r>
      <w:r>
        <w:rPr>
          <w:rFonts w:hint="eastAsia" w:ascii="楷体_GB2312" w:eastAsia="楷体_GB2312" w:cs="楷体_GB2312"/>
          <w:color w:val="000000" w:themeColor="text1"/>
          <w:sz w:val="20"/>
          <w:szCs w:val="20"/>
          <w14:textFill>
            <w14:solidFill>
              <w14:schemeClr w14:val="tx1"/>
            </w14:solidFill>
          </w14:textFill>
        </w:rPr>
        <w:t>提前</w:t>
      </w:r>
      <w:r>
        <w:rPr>
          <w:rFonts w:ascii="楷体_GB2312" w:eastAsia="楷体_GB2312" w:cs="楷体_GB2312"/>
          <w:color w:val="000000" w:themeColor="text1"/>
          <w:sz w:val="20"/>
          <w:szCs w:val="20"/>
          <w14:textFill>
            <w14:solidFill>
              <w14:schemeClr w14:val="tx1"/>
            </w14:solidFill>
          </w14:textFill>
        </w:rPr>
        <w:t>取得投资者书面同意</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w:t>
      </w:r>
      <w:r>
        <w:rPr>
          <w:rFonts w:ascii="Times New Roman" w:hAnsi="Times New Roman" w:eastAsia="楷体_GB2312" w:cs="楷体_GB2312"/>
          <w:color w:val="000000" w:themeColor="text1"/>
          <w:sz w:val="20"/>
          <w:szCs w:val="20"/>
          <w14:textFill>
            <w14:solidFill>
              <w14:schemeClr w14:val="tx1"/>
            </w14:solidFill>
          </w14:textFill>
        </w:rPr>
        <w:t>限制：</w:t>
      </w:r>
    </w:p>
    <w:p w14:paraId="32AEEF17">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（1）本产品总资产不得超过净资产的</w:t>
      </w:r>
      <w:r>
        <w:rPr>
          <w:rFonts w:ascii="Times New Roman" w:hAnsi="Times New Roman" w:eastAsia="楷体_GB2312" w:cs="楷体_GB2312"/>
          <w:color w:val="000000" w:themeColor="text1"/>
          <w:sz w:val="20"/>
          <w:szCs w:val="20"/>
          <w14:textFill>
            <w14:solidFill>
              <w14:schemeClr w14:val="tx1"/>
            </w14:solidFill>
          </w14:textFill>
        </w:rPr>
        <w:t>200%；</w:t>
      </w:r>
    </w:p>
    <w:p w14:paraId="712A2732">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本产品投资单只证券或者单只公募证券投资基金的市值不得超过产品净资产的</w:t>
      </w:r>
      <w:r>
        <w:rPr>
          <w:rFonts w:ascii="Times New Roman" w:hAnsi="Times New Roman" w:eastAsia="楷体_GB2312" w:cs="楷体_GB2312"/>
          <w:color w:val="000000" w:themeColor="text1"/>
          <w:sz w:val="20"/>
          <w:szCs w:val="20"/>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hAnsi="Times New Roman" w:eastAsia="楷体_GB2312" w:cs="楷体_GB2312"/>
          <w:b/>
          <w:bCs/>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（3</w:t>
      </w:r>
      <w:r>
        <w:rPr>
          <w:rFonts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b/>
          <w:bCs/>
          <w:color w:val="000000" w:themeColor="text1"/>
          <w:sz w:val="20"/>
          <w:szCs w:val="20"/>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b）计划投资上述资产的比例达到产品净资产50%以上。</w:t>
      </w:r>
    </w:p>
    <w:p w14:paraId="4F21476D">
      <w:pPr>
        <w:spacing w:line="300" w:lineRule="exact"/>
        <w:ind w:left="-2" w:right="36" w:rightChars="15" w:firstLine="400" w:firstLineChars="200"/>
        <w:rPr>
          <w:rFonts w:ascii="Times New Roman" w:hAnsi="Times New Roman" w:eastAsia="楷体_GB2312" w:cs="楷体_GB2312"/>
          <w:color w:val="000000" w:themeColor="text1"/>
          <w:sz w:val="20"/>
          <w:szCs w:val="20"/>
          <w:highlight w:val="none"/>
          <w14:textFill>
            <w14:solidFill>
              <w14:schemeClr w14:val="tx1"/>
            </w14:solidFill>
          </w14:textFill>
        </w:rPr>
      </w:pPr>
      <w:bookmarkStart w:id="0" w:name="_Hlk37143861"/>
      <w:r>
        <w:rPr>
          <w:rFonts w:ascii="楷体_GB2312" w:eastAsia="楷体_GB2312"/>
          <w:color w:val="000000" w:themeColor="text1"/>
          <w:sz w:val="20"/>
          <w:szCs w:val="20"/>
          <w:highlight w:val="none"/>
          <w14:textFill>
            <w14:solidFill>
              <w14:schemeClr w14:val="tx1"/>
            </w14:solidFill>
          </w14:textFill>
        </w:rPr>
        <w:t>5.</w:t>
      </w:r>
      <w:r>
        <w:rPr>
          <w:highlight w:val="none"/>
        </w:rPr>
        <w:t xml:space="preserve"> </w:t>
      </w:r>
      <w:r>
        <w:rPr>
          <w:rFonts w:hint="eastAsia" w:ascii="楷体_GB2312" w:eastAsia="楷体_GB2312"/>
          <w:color w:val="000000" w:themeColor="text1"/>
          <w:sz w:val="20"/>
          <w:szCs w:val="20"/>
          <w:highlight w:val="none"/>
          <w14:textFill>
            <w14:solidFill>
              <w14:schemeClr w14:val="tx1"/>
            </w14:solidFill>
          </w14:textFill>
        </w:rPr>
        <w:t>本理财产品的捐赠合作机构为【浙江省慈善联合总会】（网址https://www.zcf.org.cn</w:t>
      </w:r>
      <w:r>
        <w:rPr>
          <w:rFonts w:ascii="楷体_GB2312" w:eastAsia="楷体_GB2312"/>
          <w:color w:val="000000" w:themeColor="text1"/>
          <w:sz w:val="20"/>
          <w:szCs w:val="20"/>
          <w:highlight w:val="none"/>
          <w14:textFill>
            <w14:solidFill>
              <w14:schemeClr w14:val="tx1"/>
            </w14:solidFill>
          </w14:textFill>
        </w:rPr>
        <w:t xml:space="preserve"> </w:t>
      </w:r>
      <w:r>
        <w:rPr>
          <w:rFonts w:hint="eastAsia" w:ascii="楷体_GB2312" w:eastAsia="楷体_GB2312"/>
          <w:color w:val="000000" w:themeColor="text1"/>
          <w:sz w:val="20"/>
          <w:szCs w:val="20"/>
          <w:highlight w:val="none"/>
          <w14:textFill>
            <w14:solidFill>
              <w14:schemeClr w14:val="tx1"/>
            </w14:solidFill>
          </w14:textFill>
        </w:rPr>
        <w:t>，地方性公募基金会），地址【</w:t>
      </w:r>
      <w:r>
        <w:rPr>
          <w:rFonts w:ascii="楷体_GB2312" w:eastAsia="楷体_GB2312"/>
          <w:color w:val="000000" w:themeColor="text1"/>
          <w:sz w:val="20"/>
          <w:szCs w:val="20"/>
          <w:highlight w:val="none"/>
          <w14:textFill>
            <w14:solidFill>
              <w14:schemeClr w14:val="tx1"/>
            </w14:solidFill>
          </w14:textFill>
        </w:rPr>
        <w:t>浙江省杭州市西湖区保</w:t>
      </w:r>
      <w:r>
        <w:rPr>
          <w:rFonts w:ascii="微软雅黑" w:hAnsi="微软雅黑" w:eastAsia="微软雅黑" w:cs="微软雅黑"/>
          <w:color w:val="000000" w:themeColor="text1"/>
          <w:sz w:val="20"/>
          <w:szCs w:val="20"/>
          <w:highlight w:val="none"/>
          <w14:textFill>
            <w14:solidFill>
              <w14:schemeClr w14:val="tx1"/>
            </w14:solidFill>
          </w14:textFill>
        </w:rPr>
        <w:t>俶</w:t>
      </w:r>
      <w:r>
        <w:rPr>
          <w:rFonts w:ascii="楷体_GB2312" w:eastAsia="楷体_GB2312"/>
          <w:color w:val="000000" w:themeColor="text1"/>
          <w:sz w:val="20"/>
          <w:szCs w:val="20"/>
          <w:highlight w:val="none"/>
          <w14:textFill>
            <w14:solidFill>
              <w14:schemeClr w14:val="tx1"/>
            </w14:solidFill>
          </w14:textFill>
        </w:rPr>
        <w:t>北路</w:t>
      </w:r>
      <w:r>
        <w:rPr>
          <w:rFonts w:hint="eastAsia" w:ascii="楷体_GB2312" w:eastAsia="楷体_GB2312"/>
          <w:color w:val="000000" w:themeColor="text1"/>
          <w:sz w:val="20"/>
          <w:szCs w:val="20"/>
          <w:highlight w:val="none"/>
          <w14:textFill>
            <w14:solidFill>
              <w14:schemeClr w14:val="tx1"/>
            </w14:solidFill>
          </w14:textFill>
        </w:rPr>
        <w:t>8</w:t>
      </w:r>
      <w:r>
        <w:rPr>
          <w:rFonts w:ascii="楷体_GB2312" w:eastAsia="楷体_GB2312"/>
          <w:color w:val="000000" w:themeColor="text1"/>
          <w:sz w:val="20"/>
          <w:szCs w:val="20"/>
          <w:highlight w:val="none"/>
          <w14:textFill>
            <w14:solidFill>
              <w14:schemeClr w14:val="tx1"/>
            </w14:solidFill>
          </w14:textFill>
        </w:rPr>
        <w:t>3号】，联系电话【0571-28950831】</w:t>
      </w:r>
      <w:r>
        <w:rPr>
          <w:rFonts w:hint="eastAsia" w:ascii="楷体_GB2312" w:eastAsia="楷体_GB2312"/>
          <w:color w:val="000000" w:themeColor="text1"/>
          <w:sz w:val="20"/>
          <w:szCs w:val="20"/>
          <w:highlight w:val="none"/>
          <w14:textFill>
            <w14:solidFill>
              <w14:schemeClr w14:val="tx1"/>
            </w14:solidFill>
          </w14:textFill>
        </w:rPr>
        <w:t>。</w:t>
      </w:r>
      <w:bookmarkEnd w:id="0"/>
    </w:p>
    <w:p w14:paraId="2B58A500">
      <w:pPr>
        <w:spacing w:line="300" w:lineRule="exact"/>
        <w:ind w:firstLine="400" w:firstLineChars="200"/>
        <w:jc w:val="both"/>
        <w:rPr>
          <w:rFonts w:ascii="Times New Roman" w:hAnsi="Times New Roman" w:eastAsia="楷体_GB2312" w:cs="楷体_GB2312"/>
          <w:color w:val="000000" w:themeColor="text1"/>
          <w:sz w:val="20"/>
          <w:szCs w:val="20"/>
          <w:u w:val="single"/>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7</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在合法合规且履行应履行的内外部程序后，理财产品可能与管理人及其控股股东、实际控制人等发生关联交易。</w:t>
      </w:r>
    </w:p>
    <w:p w14:paraId="686520F9">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8</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非标准化</w:t>
      </w:r>
      <w:r>
        <w:rPr>
          <w:rFonts w:ascii="楷体_GB2312" w:eastAsia="楷体_GB2312"/>
          <w:color w:val="000000" w:themeColor="text1"/>
          <w:sz w:val="20"/>
          <w:szCs w:val="20"/>
          <w14:textFill>
            <w14:solidFill>
              <w14:schemeClr w14:val="tx1"/>
            </w14:solidFill>
          </w14:textFill>
        </w:rPr>
        <w:t>债权</w:t>
      </w:r>
      <w:r>
        <w:rPr>
          <w:rFonts w:hint="eastAsia" w:ascii="楷体_GB2312" w:eastAsia="楷体_GB2312"/>
          <w:color w:val="000000" w:themeColor="text1"/>
          <w:sz w:val="20"/>
          <w:szCs w:val="20"/>
          <w14:textFill>
            <w14:solidFill>
              <w14:schemeClr w14:val="tx1"/>
            </w14:solidFill>
          </w14:textFill>
        </w:rPr>
        <w:t>资产信息</w:t>
      </w:r>
      <w:r>
        <w:rPr>
          <w:rFonts w:ascii="楷体_GB2312" w:eastAsia="楷体_GB2312"/>
          <w:color w:val="000000" w:themeColor="text1"/>
          <w:sz w:val="20"/>
          <w:szCs w:val="20"/>
          <w14:textFill>
            <w14:solidFill>
              <w14:schemeClr w14:val="tx1"/>
            </w14:solidFill>
          </w14:textFill>
        </w:rPr>
        <w:t>披露</w:t>
      </w:r>
    </w:p>
    <w:p w14:paraId="62796547">
      <w:pPr>
        <w:spacing w:line="300" w:lineRule="exact"/>
        <w:ind w:firstLine="400" w:firstLineChars="200"/>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本产品可投资于非标准化债权类资产，信银理财将按照监管规定，向投资者披露产品投资每笔非标准化债权类资产的融资客户、项目名称、剩余融资期限、到期收益分配、交易结构、风险状况等资产信息。</w:t>
      </w:r>
    </w:p>
    <w:p w14:paraId="1A37E873">
      <w:pPr>
        <w:spacing w:line="300" w:lineRule="exact"/>
        <w:ind w:right="48" w:rightChars="20"/>
        <w:jc w:val="both"/>
        <w:rPr>
          <w:color w:val="000000" w:themeColor="text1"/>
          <w14:textFill>
            <w14:solidFill>
              <w14:schemeClr w14:val="tx1"/>
            </w14:solidFill>
          </w14:textFill>
        </w:rPr>
      </w:pPr>
    </w:p>
    <w:p w14:paraId="252B17B3">
      <w:pPr>
        <w:spacing w:line="300" w:lineRule="exact"/>
        <w:ind w:right="48" w:rightChars="20"/>
        <w:jc w:val="both"/>
        <w:rPr>
          <w:color w:val="000000" w:themeColor="text1"/>
          <w14:textFill>
            <w14:solidFill>
              <w14:schemeClr w14:val="tx1"/>
            </w14:solidFill>
          </w14:textFill>
        </w:rPr>
      </w:pPr>
    </w:p>
    <w:p w14:paraId="23DEDF75">
      <w:pPr>
        <w:snapToGrid w:val="0"/>
        <w:ind w:left="-2" w:leftChars="-1" w:right="53" w:rightChars="22"/>
        <w:outlineLvl w:val="0"/>
        <w:rPr>
          <w:rFonts w:ascii="楷体" w:hAnsi="楷体" w:eastAsia="楷体"/>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6328"/>
      </w:tblGrid>
      <w:tr w14:paraId="39D4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0" w:type="pct"/>
            <w:vAlign w:val="center"/>
          </w:tcPr>
          <w:p w14:paraId="6269E19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709" w:type="pct"/>
            <w:vAlign w:val="center"/>
          </w:tcPr>
          <w:p w14:paraId="76DC5EED">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【信银理财安盈象固收稳健温暖童行丰收封闭式4号理财产品】</w:t>
            </w:r>
          </w:p>
        </w:tc>
      </w:tr>
      <w:tr w14:paraId="67C2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DD5E7C7">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709" w:type="pct"/>
            <w:vAlign w:val="center"/>
          </w:tcPr>
          <w:p w14:paraId="7BA9F0F2">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【Z7002625002508</w:t>
            </w:r>
            <w:r>
              <w:rPr>
                <w:rFonts w:ascii="楷体_GB2312" w:eastAsia="楷体_GB2312"/>
                <w:color w:val="000000" w:themeColor="text1"/>
                <w:sz w:val="20"/>
                <w:szCs w:val="20"/>
                <w14:textFill>
                  <w14:solidFill>
                    <w14:schemeClr w14:val="tx1"/>
                  </w14:solidFill>
                </w14:textFill>
              </w:rPr>
              <w:t>】</w:t>
            </w:r>
          </w:p>
        </w:tc>
      </w:tr>
      <w:tr w14:paraId="296A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37D70C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709" w:type="pct"/>
            <w:vAlign w:val="center"/>
          </w:tcPr>
          <w:p w14:paraId="66D91F5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【AF251854</w:t>
            </w:r>
            <w:r>
              <w:rPr>
                <w:rFonts w:ascii="楷体_GB2312" w:eastAsia="楷体_GB2312" w:cs="楷体_GB2312"/>
                <w:color w:val="000000" w:themeColor="text1"/>
                <w:sz w:val="20"/>
                <w:szCs w:val="20"/>
                <w14:textFill>
                  <w14:solidFill>
                    <w14:schemeClr w14:val="tx1"/>
                  </w14:solidFill>
                </w14:textFill>
              </w:rPr>
              <w:t>】</w:t>
            </w:r>
          </w:p>
        </w:tc>
      </w:tr>
      <w:tr w14:paraId="0BBA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0894C47">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709" w:type="pct"/>
            <w:vAlign w:val="center"/>
          </w:tcPr>
          <w:p w14:paraId="33D6B887">
            <w:pPr>
              <w:spacing w:line="300" w:lineRule="exact"/>
              <w:ind w:left="-2" w:leftChars="-1" w:right="36" w:rightChars="15"/>
            </w:pPr>
            <w:r>
              <w:rPr>
                <w:rFonts w:hint="eastAsia" w:ascii="楷体_GB2312" w:eastAsia="楷体_GB2312" w:cs="楷体_GB2312"/>
                <w:color w:val="000000" w:themeColor="text1"/>
                <w:sz w:val="20"/>
                <w:szCs w:val="20"/>
                <w14:textFill>
                  <w14:solidFill>
                    <w14:schemeClr w14:val="tx1"/>
                  </w14:solidFill>
                </w14:textFill>
              </w:rPr>
              <w:t>公募、【固定收益类】、封闭式</w:t>
            </w:r>
          </w:p>
        </w:tc>
      </w:tr>
      <w:tr w14:paraId="1D47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23E74D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709" w:type="pct"/>
            <w:vAlign w:val="center"/>
          </w:tcPr>
          <w:p w14:paraId="7ED2EA72">
            <w:pPr>
              <w:spacing w:line="300" w:lineRule="exact"/>
              <w:ind w:left="-2" w:leftChars="-1" w:right="36" w:rightChars="15"/>
              <w:rPr>
                <w:rFonts w:ascii="楷体_GB2312" w:eastAsia="楷体_GB2312" w:cs="楷体_GB2312"/>
                <w:color w:val="000000"/>
                <w:sz w:val="20"/>
                <w:szCs w:val="20"/>
              </w:rPr>
            </w:pPr>
            <w:r>
              <w:rPr>
                <w:rFonts w:ascii="楷体_GB2312" w:eastAsia="楷体_GB2312" w:cs="楷体_GB2312"/>
                <w:sz w:val="20"/>
                <w:szCs w:val="20"/>
              </w:rPr>
              <w:t>PR</w:t>
            </w:r>
            <w:r>
              <w:rPr>
                <w:rFonts w:hint="eastAsia" w:ascii="楷体_GB2312" w:eastAsia="楷体_GB2312" w:cs="楷体_GB2312"/>
                <w:sz w:val="20"/>
                <w:szCs w:val="20"/>
              </w:rPr>
              <w:t>【</w:t>
            </w:r>
            <w:r>
              <w:rPr>
                <w:rFonts w:ascii="楷体_GB2312" w:eastAsia="楷体_GB2312" w:cs="楷体_GB2312"/>
                <w:sz w:val="20"/>
                <w:szCs w:val="20"/>
              </w:rPr>
              <w:t>2</w:t>
            </w:r>
            <w:r>
              <w:rPr>
                <w:rFonts w:hint="eastAsia" w:ascii="楷体_GB2312" w:eastAsia="楷体_GB2312" w:cs="楷体_GB2312"/>
                <w:sz w:val="20"/>
                <w:szCs w:val="20"/>
              </w:rPr>
              <w:t>】级（【稳健】</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sz w:val="20"/>
                <w:szCs w:val="20"/>
              </w:rPr>
              <w:t>。本风险分级为信银理财自行评定，仅供参考。</w:t>
            </w:r>
          </w:p>
          <w:p w14:paraId="25E9484A">
            <w:pPr>
              <w:spacing w:line="300" w:lineRule="exact"/>
              <w:ind w:left="-2" w:leftChars="-1" w:right="36" w:rightChars="15"/>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color w:val="000000"/>
                <w:sz w:val="20"/>
                <w:szCs w:val="20"/>
              </w:rPr>
              <w:t>理财</w:t>
            </w:r>
            <w:r>
              <w:rPr>
                <w:rFonts w:ascii="楷体_GB2312" w:eastAsia="楷体_GB2312" w:cs="楷体_GB2312"/>
                <w:color w:val="000000"/>
                <w:sz w:val="20"/>
                <w:szCs w:val="20"/>
              </w:rPr>
              <w:t>产品通过代销机构销售的，代销机构将</w:t>
            </w:r>
            <w:r>
              <w:rPr>
                <w:rFonts w:hint="eastAsia" w:ascii="楷体_GB2312" w:eastAsia="楷体_GB2312" w:cs="楷体_GB2312"/>
                <w:color w:val="000000"/>
                <w:sz w:val="20"/>
                <w:szCs w:val="20"/>
              </w:rPr>
              <w:t>对</w:t>
            </w:r>
            <w:r>
              <w:rPr>
                <w:rFonts w:ascii="楷体_GB2312" w:eastAsia="楷体_GB2312" w:cs="楷体_GB2312"/>
                <w:color w:val="000000"/>
                <w:sz w:val="20"/>
                <w:szCs w:val="20"/>
              </w:rPr>
              <w:t>理财产品进行风险评级</w:t>
            </w:r>
            <w:r>
              <w:rPr>
                <w:rFonts w:hint="eastAsia" w:ascii="楷体_GB2312" w:eastAsia="楷体_GB2312" w:cs="楷体_GB2312"/>
                <w:color w:val="000000"/>
                <w:sz w:val="20"/>
                <w:szCs w:val="20"/>
              </w:rPr>
              <w:t>并</w:t>
            </w:r>
            <w:r>
              <w:rPr>
                <w:rFonts w:ascii="楷体_GB2312" w:eastAsia="楷体_GB2312" w:cs="楷体_GB2312"/>
                <w:color w:val="000000"/>
                <w:sz w:val="20"/>
                <w:szCs w:val="20"/>
              </w:rPr>
              <w:t>对投资者进行风险</w:t>
            </w:r>
            <w:r>
              <w:rPr>
                <w:rFonts w:hint="eastAsia" w:ascii="楷体_GB2312" w:eastAsia="楷体_GB2312" w:cs="楷体_GB2312"/>
                <w:color w:val="000000"/>
                <w:sz w:val="20"/>
                <w:szCs w:val="20"/>
              </w:rPr>
              <w:t>承受</w:t>
            </w:r>
            <w:r>
              <w:rPr>
                <w:rFonts w:ascii="楷体_GB2312" w:eastAsia="楷体_GB2312" w:cs="楷体_GB2312"/>
                <w:color w:val="000000"/>
                <w:sz w:val="20"/>
                <w:szCs w:val="20"/>
              </w:rPr>
              <w:t>能力测评</w:t>
            </w:r>
            <w:r>
              <w:rPr>
                <w:rFonts w:hint="eastAsia" w:ascii="楷体_GB2312" w:eastAsia="楷体_GB2312" w:cs="楷体_GB2312"/>
                <w:color w:val="000000"/>
                <w:sz w:val="20"/>
                <w:szCs w:val="20"/>
              </w:rPr>
              <w:t>，</w:t>
            </w:r>
            <w:r>
              <w:rPr>
                <w:rFonts w:hint="eastAsia" w:ascii="楷体_GB2312" w:eastAsia="楷体_GB2312" w:cs="楷体_GB2312"/>
                <w:b/>
                <w:color w:val="000000"/>
                <w:sz w:val="20"/>
                <w:szCs w:val="20"/>
              </w:rPr>
              <w:t>理财产品评级应当以代销机构最终披露的评级结果为准</w:t>
            </w:r>
            <w:r>
              <w:rPr>
                <w:rFonts w:ascii="楷体_GB2312" w:eastAsia="楷体_GB2312" w:cs="楷体_GB2312"/>
                <w:color w:val="000000"/>
                <w:sz w:val="20"/>
                <w:szCs w:val="20"/>
              </w:rPr>
              <w:t>。</w:t>
            </w:r>
            <w:r>
              <w:rPr>
                <w:rFonts w:hint="eastAsia" w:ascii="楷体_GB2312" w:eastAsia="楷体_GB2312" w:cs="楷体_GB2312"/>
                <w:color w:val="000000"/>
                <w:sz w:val="20"/>
                <w:szCs w:val="20"/>
              </w:rPr>
              <w:t>代销</w:t>
            </w:r>
            <w:r>
              <w:rPr>
                <w:rFonts w:ascii="楷体_GB2312" w:eastAsia="楷体_GB2312" w:cs="楷体_GB2312"/>
                <w:color w:val="000000"/>
                <w:sz w:val="20"/>
                <w:szCs w:val="20"/>
              </w:rPr>
              <w:t>机构对</w:t>
            </w:r>
            <w:r>
              <w:rPr>
                <w:rFonts w:hint="eastAsia" w:ascii="楷体_GB2312" w:eastAsia="楷体_GB2312" w:cs="楷体_GB2312"/>
                <w:color w:val="000000"/>
                <w:sz w:val="20"/>
                <w:szCs w:val="20"/>
              </w:rPr>
              <w:t>产品的</w:t>
            </w:r>
            <w:r>
              <w:rPr>
                <w:rFonts w:ascii="楷体_GB2312" w:eastAsia="楷体_GB2312" w:cs="楷体_GB2312"/>
                <w:color w:val="000000"/>
                <w:sz w:val="20"/>
                <w:szCs w:val="20"/>
              </w:rPr>
              <w:t>风险</w:t>
            </w:r>
            <w:r>
              <w:rPr>
                <w:rFonts w:hint="eastAsia" w:ascii="楷体_GB2312" w:eastAsia="楷体_GB2312" w:cs="楷体_GB2312"/>
                <w:color w:val="000000"/>
                <w:sz w:val="20"/>
                <w:szCs w:val="20"/>
              </w:rPr>
              <w:t>评级</w:t>
            </w:r>
            <w:r>
              <w:rPr>
                <w:rFonts w:ascii="楷体_GB2312" w:eastAsia="楷体_GB2312" w:cs="楷体_GB2312"/>
                <w:color w:val="000000"/>
                <w:sz w:val="20"/>
                <w:szCs w:val="20"/>
              </w:rPr>
              <w:t>结果与信银理财不一致的，将采用对应较高风险</w:t>
            </w:r>
            <w:r>
              <w:rPr>
                <w:rFonts w:hint="eastAsia" w:ascii="楷体_GB2312" w:eastAsia="楷体_GB2312" w:cs="楷体_GB2312"/>
                <w:color w:val="000000"/>
                <w:sz w:val="20"/>
                <w:szCs w:val="20"/>
              </w:rPr>
              <w:t>等级</w:t>
            </w:r>
            <w:r>
              <w:rPr>
                <w:rFonts w:ascii="楷体_GB2312" w:eastAsia="楷体_GB2312" w:cs="楷体_GB2312"/>
                <w:color w:val="000000"/>
                <w:sz w:val="20"/>
                <w:szCs w:val="20"/>
              </w:rPr>
              <w:t>的评级结果。</w:t>
            </w:r>
          </w:p>
        </w:tc>
      </w:tr>
      <w:tr w14:paraId="4B7B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FAA7E0B">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709" w:type="pct"/>
            <w:vAlign w:val="center"/>
          </w:tcPr>
          <w:p w14:paraId="136D36A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【个人/机构】客户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适合</w:t>
            </w:r>
            <w:r>
              <w:rPr>
                <w:rFonts w:hint="eastAsia" w:ascii="楷体_GB2312" w:eastAsia="楷体_GB2312" w:cs="Times New Roman"/>
                <w:sz w:val="20"/>
                <w:szCs w:val="20"/>
              </w:rPr>
              <w:t>【稳健型】、【平衡型】、【进取型】、【激进型】</w:t>
            </w:r>
            <w:r>
              <w:rPr>
                <w:rFonts w:hint="eastAsia" w:ascii="楷体_GB2312" w:eastAsia="楷体_GB2312" w:cs="楷体_GB2312"/>
                <w:color w:val="000000"/>
                <w:sz w:val="20"/>
                <w:szCs w:val="20"/>
              </w:rPr>
              <w:t>投资者。</w:t>
            </w:r>
            <w:r>
              <w:rPr>
                <w:rFonts w:hint="eastAsia" w:ascii="楷体_GB2312" w:eastAsia="楷体_GB2312" w:cs="楷体_GB2312"/>
                <w:sz w:val="20"/>
                <w:szCs w:val="20"/>
              </w:rPr>
              <w:t>代销机构对产品的发行对象与信银理财不一致的，以代销机构为准</w:t>
            </w:r>
            <w:r>
              <w:rPr>
                <w:rFonts w:hint="eastAsia" w:ascii="楷体_GB2312" w:eastAsia="楷体_GB2312" w:cs="楷体_GB2312"/>
                <w:b w:val="0"/>
                <w:bCs w:val="0"/>
                <w:sz w:val="20"/>
                <w:szCs w:val="20"/>
                <w:lang w:eastAsia="zh-CN"/>
              </w:rPr>
              <w:t>，</w:t>
            </w:r>
            <w:r>
              <w:rPr>
                <w:rFonts w:hint="eastAsia" w:ascii="楷体_GB2312" w:eastAsia="楷体_GB2312" w:cs="楷体_GB2312"/>
                <w:b w:val="0"/>
                <w:bCs w:val="0"/>
                <w:sz w:val="20"/>
                <w:szCs w:val="20"/>
                <w:lang w:val="en-US" w:eastAsia="zh-CN"/>
              </w:rPr>
              <w:t>但不得超出上述发行对象范围</w:t>
            </w:r>
            <w:r>
              <w:rPr>
                <w:rFonts w:hint="eastAsia" w:ascii="楷体_GB2312" w:eastAsia="楷体_GB2312" w:cs="楷体_GB2312"/>
                <w:b w:val="0"/>
                <w:bCs w:val="0"/>
                <w:sz w:val="20"/>
                <w:szCs w:val="20"/>
              </w:rPr>
              <w:t>。</w:t>
            </w:r>
          </w:p>
        </w:tc>
      </w:tr>
      <w:tr w14:paraId="2F49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26F8B53">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709" w:type="pct"/>
            <w:vAlign w:val="center"/>
          </w:tcPr>
          <w:p w14:paraId="7B38D788">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14:paraId="77CA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AF1123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709" w:type="pct"/>
            <w:vAlign w:val="center"/>
          </w:tcPr>
          <w:p w14:paraId="74EAD760">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销售合同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14:paraId="673D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2C0F9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709" w:type="pct"/>
            <w:vAlign w:val="center"/>
          </w:tcPr>
          <w:p w14:paraId="547247B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1元。</w:t>
            </w:r>
          </w:p>
        </w:tc>
      </w:tr>
      <w:tr w14:paraId="5B2F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41C447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709" w:type="pct"/>
            <w:vAlign w:val="center"/>
          </w:tcPr>
          <w:p w14:paraId="0F8D0FF3">
            <w:pPr>
              <w:spacing w:line="300" w:lineRule="exact"/>
              <w:ind w:right="36" w:rightChars="15"/>
              <w:rPr>
                <w:rFonts w:ascii="楷体_GB2312" w:eastAsia="楷体_GB2312" w:cs="楷体_GB2312"/>
                <w:sz w:val="20"/>
                <w:szCs w:val="20"/>
              </w:rPr>
            </w:pPr>
            <w:r>
              <w:rPr>
                <w:rFonts w:hint="eastAsia" w:ascii="楷体_GB2312" w:eastAsia="楷体_GB2312" w:cs="楷体_GB2312"/>
                <w:sz w:val="20"/>
                <w:szCs w:val="20"/>
              </w:rPr>
              <w:t>【B】类份额：份额代码【AF251854B】</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【G】类份额：份额代码【AF251854G】</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【M】类份额：份额代码【AF251854M】</w:t>
            </w:r>
          </w:p>
          <w:p w14:paraId="585FCACA">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p>
          <w:p w14:paraId="66B5979E">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14:paraId="25B5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89387CE">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709" w:type="pct"/>
            <w:vAlign w:val="center"/>
          </w:tcPr>
          <w:p w14:paraId="078AC594">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指除中国法定节假日和公休日外的其他日。</w:t>
            </w:r>
          </w:p>
        </w:tc>
      </w:tr>
      <w:tr w14:paraId="3CEC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F14243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709" w:type="pct"/>
            <w:vAlign w:val="center"/>
          </w:tcPr>
          <w:p w14:paraId="33B6B195">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【2025】年【12】月【1】日至【2025】年【12】月【8】日</w:t>
            </w:r>
            <w:r>
              <w:rPr>
                <w:rFonts w:hint="eastAsia" w:ascii="楷体_GB2312"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管理人有权提前结束募集期并提前成立产品或者延长募集期。</w:t>
            </w:r>
          </w:p>
          <w:p w14:paraId="52A3ED1F">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Times New Roman" w:hAnsi="Times New Roman" w:eastAsia="楷体_GB2312" w:cs="Times New Roman"/>
                <w:color w:val="000000" w:themeColor="text1"/>
                <w:sz w:val="20"/>
                <w:szCs w:val="20"/>
                <w14:textFill>
                  <w14:solidFill>
                    <w14:schemeClr w14:val="tx1"/>
                  </w14:solidFill>
                </w14:textFill>
              </w:rPr>
              <w:t>投资者在</w:t>
            </w:r>
            <w:r>
              <w:rPr>
                <w:rFonts w:hint="eastAsia" w:ascii="Times New Roman" w:hAnsi="Times New Roman" w:eastAsia="楷体_GB2312" w:cs="Times New Roman"/>
                <w:color w:val="000000" w:themeColor="text1"/>
                <w:sz w:val="20"/>
                <w:szCs w:val="20"/>
                <w14:textFill>
                  <w14:solidFill>
                    <w14:schemeClr w14:val="tx1"/>
                  </w14:solidFill>
                </w14:textFill>
              </w:rPr>
              <w:t>信银</w:t>
            </w:r>
            <w:r>
              <w:rPr>
                <w:rFonts w:ascii="Times New Roman" w:hAnsi="Times New Roman" w:eastAsia="楷体_GB2312" w:cs="Times New Roman"/>
                <w:color w:val="000000" w:themeColor="text1"/>
                <w:sz w:val="20"/>
                <w:szCs w:val="20"/>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14:textFill>
                  <w14:solidFill>
                    <w14:schemeClr w14:val="tx1"/>
                  </w14:solidFill>
                </w14:textFill>
              </w:rPr>
              <w:t>产品</w:t>
            </w:r>
            <w:r>
              <w:rPr>
                <w:rFonts w:ascii="Times New Roman" w:hAnsi="Times New Roman" w:eastAsia="楷体_GB2312" w:cs="Times New Roman"/>
                <w:color w:val="000000" w:themeColor="text1"/>
                <w:sz w:val="20"/>
                <w:szCs w:val="20"/>
                <w14:textFill>
                  <w14:solidFill>
                    <w14:schemeClr w14:val="tx1"/>
                  </w14:solidFill>
                </w14:textFill>
              </w:rPr>
              <w:t>的，募集期内</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可以</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。撤单</w:t>
            </w:r>
            <w:r>
              <w:rPr>
                <w:rFonts w:ascii="Times New Roman" w:hAnsi="Times New Roman" w:eastAsia="楷体_GB2312" w:cs="Times New Roman"/>
                <w:color w:val="000000" w:themeColor="text1"/>
                <w:sz w:val="20"/>
                <w:szCs w:val="20"/>
                <w14:textFill>
                  <w14:solidFill>
                    <w14:schemeClr w14:val="tx1"/>
                  </w14:solidFill>
                </w14:textFill>
              </w:rPr>
              <w:t>具体规则</w:t>
            </w:r>
            <w:r>
              <w:rPr>
                <w:rFonts w:hint="eastAsia" w:ascii="Times New Roman" w:hAnsi="Times New Roman" w:eastAsia="楷体_GB2312" w:cs="Times New Roman"/>
                <w:color w:val="000000" w:themeColor="text1"/>
                <w:sz w:val="20"/>
                <w:szCs w:val="20"/>
                <w14:textFill>
                  <w14:solidFill>
                    <w14:schemeClr w14:val="tx1"/>
                  </w14:solidFill>
                </w14:textFill>
              </w:rPr>
              <w:t>以</w:t>
            </w:r>
            <w:r>
              <w:rPr>
                <w:rFonts w:ascii="Times New Roman" w:hAnsi="Times New Roman" w:eastAsia="楷体_GB2312" w:cs="Times New Roman"/>
                <w:color w:val="000000" w:themeColor="text1"/>
                <w:sz w:val="20"/>
                <w:szCs w:val="20"/>
                <w14:textFill>
                  <w14:solidFill>
                    <w14:schemeClr w14:val="tx1"/>
                  </w14:solidFill>
                </w14:textFill>
              </w:rPr>
              <w:t>信银理财</w:t>
            </w:r>
            <w:r>
              <w:rPr>
                <w:rFonts w:hint="eastAsia" w:ascii="Times New Roman" w:hAnsi="Times New Roman" w:eastAsia="楷体_GB2312" w:cs="Times New Roman"/>
                <w:color w:val="000000" w:themeColor="text1"/>
                <w:sz w:val="20"/>
                <w:szCs w:val="20"/>
                <w14:textFill>
                  <w14:solidFill>
                    <w14:schemeClr w14:val="tx1"/>
                  </w14:solidFill>
                </w14:textFill>
              </w:rPr>
              <w:t>说明</w:t>
            </w:r>
            <w:r>
              <w:rPr>
                <w:rFonts w:ascii="Times New Roman" w:hAnsi="Times New Roman" w:eastAsia="楷体_GB2312" w:cs="Times New Roman"/>
                <w:color w:val="000000" w:themeColor="text1"/>
                <w:sz w:val="20"/>
                <w:szCs w:val="20"/>
                <w14:textFill>
                  <w14:solidFill>
                    <w14:schemeClr w14:val="tx1"/>
                  </w14:solidFill>
                </w14:textFill>
              </w:rPr>
              <w:t>或公布的操作方式为准。</w:t>
            </w:r>
          </w:p>
          <w:p w14:paraId="7908389D">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w:t>
            </w:r>
            <w:r>
              <w:rPr>
                <w:rFonts w:ascii="Times New Roman" w:hAnsi="Times New Roman" w:eastAsia="楷体_GB2312" w:cs="Times New Roman"/>
                <w:color w:val="000000" w:themeColor="text1"/>
                <w:sz w:val="20"/>
                <w:szCs w:val="20"/>
                <w14:textFill>
                  <w14:solidFill>
                    <w14:schemeClr w14:val="tx1"/>
                  </w14:solidFill>
                </w14:textFill>
              </w:rPr>
              <w:t>代销</w:t>
            </w:r>
            <w:r>
              <w:rPr>
                <w:rFonts w:hint="eastAsia" w:ascii="Times New Roman" w:hAnsi="Times New Roman" w:eastAsia="楷体_GB2312" w:cs="Times New Roman"/>
                <w:color w:val="000000" w:themeColor="text1"/>
                <w:sz w:val="20"/>
                <w:szCs w:val="20"/>
                <w14:textFill>
                  <w14:solidFill>
                    <w14:schemeClr w14:val="tx1"/>
                  </w14:solidFill>
                </w14:textFill>
              </w:rPr>
              <w:t>机构</w:t>
            </w:r>
            <w:r>
              <w:rPr>
                <w:rFonts w:ascii="Times New Roman" w:hAnsi="Times New Roman" w:eastAsia="楷体_GB2312" w:cs="Times New Roman"/>
                <w:color w:val="000000" w:themeColor="text1"/>
                <w:sz w:val="20"/>
                <w:szCs w:val="20"/>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14:textFill>
                  <w14:solidFill>
                    <w14:schemeClr w14:val="tx1"/>
                  </w14:solidFill>
                </w14:textFill>
              </w:rPr>
              <w:t>募集期</w:t>
            </w:r>
            <w:r>
              <w:rPr>
                <w:rFonts w:ascii="Times New Roman" w:hAnsi="Times New Roman" w:eastAsia="楷体_GB2312" w:cs="Times New Roman"/>
                <w:color w:val="000000" w:themeColor="text1"/>
                <w:sz w:val="20"/>
                <w:szCs w:val="20"/>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14:textFill>
                  <w14:solidFill>
                    <w14:schemeClr w14:val="tx1"/>
                  </w14:solidFill>
                </w14:textFill>
              </w:rPr>
              <w:t>以及</w:t>
            </w:r>
            <w:r>
              <w:rPr>
                <w:rFonts w:ascii="Times New Roman" w:hAnsi="Times New Roman" w:eastAsia="楷体_GB2312" w:cs="Times New Roman"/>
                <w:color w:val="000000" w:themeColor="text1"/>
                <w:sz w:val="20"/>
                <w:szCs w:val="20"/>
                <w14:textFill>
                  <w14:solidFill>
                    <w14:schemeClr w14:val="tx1"/>
                  </w14:solidFill>
                </w14:textFill>
              </w:rPr>
              <w:t>撤单规则，以代销机构说明或公布的操作方式为准。</w:t>
            </w:r>
          </w:p>
          <w:p w14:paraId="624B8A1F">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”则</w:t>
            </w:r>
            <w:r>
              <w:rPr>
                <w:rFonts w:ascii="Times New Roman" w:hAnsi="Times New Roman" w:eastAsia="楷体_GB2312" w:cs="Times New Roman"/>
                <w:color w:val="000000" w:themeColor="text1"/>
                <w:sz w:val="20"/>
                <w:szCs w:val="20"/>
                <w14:textFill>
                  <w14:solidFill>
                    <w14:schemeClr w14:val="tx1"/>
                  </w14:solidFill>
                </w14:textFill>
              </w:rPr>
              <w:t>意味着</w:t>
            </w:r>
            <w:r>
              <w:rPr>
                <w:rFonts w:hint="eastAsia" w:ascii="Times New Roman" w:hAnsi="Times New Roman" w:eastAsia="楷体_GB2312" w:cs="Times New Roman"/>
                <w:color w:val="000000" w:themeColor="text1"/>
                <w:sz w:val="20"/>
                <w:szCs w:val="20"/>
                <w14:textFill>
                  <w14:solidFill>
                    <w14:schemeClr w14:val="tx1"/>
                  </w14:solidFill>
                </w14:textFill>
              </w:rPr>
              <w:t>投资者有权撤销其已向信银理财或代销机构提交的认购申请。</w:t>
            </w:r>
          </w:p>
          <w:p w14:paraId="2B55BFA6">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14:paraId="3AB6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D3BBF5">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w:t>
            </w:r>
          </w:p>
        </w:tc>
        <w:tc>
          <w:tcPr>
            <w:tcW w:w="3709" w:type="pct"/>
            <w:vAlign w:val="center"/>
          </w:tcPr>
          <w:p w14:paraId="2D30CB65">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eastAsia="楷体_GB2312" w:cs="Times New Roman"/>
                <w:color w:val="000000" w:themeColor="text1"/>
                <w:sz w:val="20"/>
                <w:szCs w:val="20"/>
                <w14:textFill>
                  <w14:solidFill>
                    <w14:schemeClr w14:val="tx1"/>
                  </w14:solidFill>
                </w14:textFill>
              </w:rPr>
              <w:t>【2025】年【12】月【9】日</w:t>
            </w:r>
            <w:r>
              <w:rPr>
                <w:rFonts w:hint="eastAsia" w:ascii="Times New Roman" w:hAnsi="Times New Roman" w:eastAsia="楷体_GB2312" w:cs="Times New Roman"/>
                <w:color w:val="000000" w:themeColor="text1"/>
                <w:sz w:val="20"/>
                <w:szCs w:val="20"/>
                <w14:textFill>
                  <w14:solidFill>
                    <w14:schemeClr w14:val="tx1"/>
                  </w14:solidFill>
                </w14:textFill>
              </w:rPr>
              <w:t>（如管理人调整募集期，则运作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日将相应调整。）</w:t>
            </w:r>
          </w:p>
        </w:tc>
      </w:tr>
      <w:tr w14:paraId="4686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CE1C3EA">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709" w:type="pct"/>
            <w:vAlign w:val="center"/>
          </w:tcPr>
          <w:p w14:paraId="15383D9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【2025】年【12】月【9】日</w:t>
            </w:r>
            <w:r>
              <w:rPr>
                <w:rFonts w:hint="eastAsia" w:ascii="楷体_GB2312" w:eastAsia="楷体_GB2312" w:cs="楷体_GB2312"/>
                <w:color w:val="000000" w:themeColor="text1"/>
                <w:sz w:val="20"/>
                <w:szCs w:val="20"/>
                <w14:textFill>
                  <w14:solidFill>
                    <w14:schemeClr w14:val="tx1"/>
                  </w14:solidFill>
                </w14:textFill>
              </w:rPr>
              <w:t>至【2026】年【6】月【8】日。</w:t>
            </w:r>
          </w:p>
        </w:tc>
      </w:tr>
      <w:tr w14:paraId="667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649C0C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709" w:type="pct"/>
            <w:vAlign w:val="center"/>
          </w:tcPr>
          <w:p w14:paraId="161A27DB">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【2027】年【2】月【3】日</w:t>
            </w:r>
            <w:r>
              <w:rPr>
                <w:rFonts w:hint="eastAsia" w:ascii="楷体_GB2312" w:eastAsia="楷体_GB2312" w:cs="楷体_GB2312"/>
                <w:color w:val="000000" w:themeColor="text1"/>
                <w:sz w:val="20"/>
                <w:szCs w:val="20"/>
                <w14:textFill>
                  <w14:solidFill>
                    <w14:schemeClr w14:val="tx1"/>
                  </w14:solidFill>
                </w14:textFill>
              </w:rPr>
              <w:t>（受运作</w:t>
            </w:r>
            <w:r>
              <w:rPr>
                <w:rFonts w:ascii="楷体_GB2312" w:eastAsia="楷体_GB2312" w:cs="楷体_GB2312"/>
                <w:color w:val="000000" w:themeColor="text1"/>
                <w:sz w:val="20"/>
                <w:szCs w:val="20"/>
                <w14:textFill>
                  <w14:solidFill>
                    <w14:schemeClr w14:val="tx1"/>
                  </w14:solidFill>
                </w14:textFill>
              </w:rPr>
              <w:t>起始</w:t>
            </w:r>
            <w:r>
              <w:rPr>
                <w:rFonts w:hint="eastAsia" w:ascii="楷体_GB2312" w:eastAsia="楷体_GB2312" w:cs="楷体_GB2312"/>
                <w:color w:val="000000" w:themeColor="text1"/>
                <w:sz w:val="20"/>
                <w:szCs w:val="20"/>
                <w14:textFill>
                  <w14:solidFill>
                    <w14:schemeClr w14:val="tx1"/>
                  </w14:solidFill>
                </w14:textFill>
              </w:rPr>
              <w:t>日、提前终止条款等约束，遇非工作日则顺延至下一工作日）</w:t>
            </w:r>
          </w:p>
        </w:tc>
      </w:tr>
      <w:tr w14:paraId="4411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2DC643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709" w:type="pct"/>
            <w:vAlign w:val="center"/>
          </w:tcPr>
          <w:p w14:paraId="12CF1F5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14:paraId="61BA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41DA36E">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709" w:type="pct"/>
            <w:vAlign w:val="center"/>
          </w:tcPr>
          <w:p w14:paraId="2F968686">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【B】类份额：【2.40%】</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【G】类份额：【2.30%】</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【M】类份额：【2.50%】</w:t>
            </w:r>
          </w:p>
          <w:p w14:paraId="121DD7AE">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p>
          <w:p w14:paraId="0618A9FB">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b/>
                <w:bCs/>
                <w:sz w:val="20"/>
                <w:szCs w:val="20"/>
              </w:rPr>
              <w:t>业绩</w:t>
            </w:r>
            <w:r>
              <w:rPr>
                <w:rFonts w:ascii="楷体_GB2312" w:eastAsia="楷体_GB2312" w:cs="楷体_GB2312"/>
                <w:b/>
                <w:bCs/>
                <w:sz w:val="20"/>
                <w:szCs w:val="20"/>
              </w:rPr>
              <w:t>比较基准测算依据：</w:t>
            </w:r>
            <w:r>
              <w:rPr>
                <w:rFonts w:hint="eastAsia" w:ascii="楷体_GB2312" w:eastAsia="楷体_GB2312" w:cs="楷体_GB2312"/>
                <w:b/>
                <w:bCs/>
                <w:sz w:val="20"/>
                <w:szCs w:val="20"/>
              </w:rPr>
              <w:t>【</w:t>
            </w:r>
            <w:r>
              <w:rPr>
                <w:rFonts w:ascii="楷体_GB2312" w:eastAsia="楷体_GB2312" w:cs="楷体_GB2312"/>
                <w:b/>
                <w:bCs/>
                <w:sz w:val="20"/>
                <w:szCs w:val="20"/>
              </w:rPr>
              <w:t>本理财产品为固定收益类产品，主要投向债券、非标等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不是预期收益率，不代表产品的未来表现和实际收益，不构成对产品收益的承诺，投资须谨慎。</w:t>
            </w:r>
            <w:r>
              <w:rPr>
                <w:rFonts w:hint="eastAsia" w:ascii="楷体_GB2312" w:eastAsia="楷体_GB2312" w:cs="楷体_GB2312"/>
                <w:b/>
                <w:bCs/>
                <w:sz w:val="20"/>
                <w:szCs w:val="20"/>
              </w:rPr>
              <w:t>】</w:t>
            </w:r>
          </w:p>
          <w:p w14:paraId="54138B23">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A5ED974">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709" w:type="pct"/>
            <w:vAlign w:val="center"/>
          </w:tcPr>
          <w:p w14:paraId="447AC58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fldChar w:fldCharType="begin"/>
            </w:r>
            <w:r>
              <w:instrText xml:space="preserve"> HYPERLINK </w:instrText>
            </w:r>
            <w:r>
              <w:fldChar w:fldCharType="separate"/>
            </w:r>
            <w:r>
              <w:fldChar w:fldCharType="end"/>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】内</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代销机构购买理财产品的，还应按照代销机构对于交易时间以及交易申请的相关规定执行，但认购交易时间必须在【8：30-17:00</w:t>
            </w:r>
            <w:r>
              <w:rPr>
                <w:rFonts w:hint="eastAsia" w:ascii="楷体_GB2312" w:eastAsia="楷体_GB2312" w:cs="楷体_GB2312"/>
                <w:color w:val="000000" w:themeColor="text1"/>
                <w:sz w:val="20"/>
                <w:szCs w:val="20"/>
                <w14:textFill>
                  <w14:solidFill>
                    <w14:schemeClr w14:val="tx1"/>
                  </w14:solidFill>
                </w14:textFill>
              </w:rPr>
              <w:t>】内</w:t>
            </w:r>
            <w:r>
              <w:rPr>
                <w:rFonts w:ascii="楷体_GB2312" w:eastAsia="楷体_GB2312" w:cs="楷体_GB2312"/>
                <w:color w:val="000000" w:themeColor="text1"/>
                <w:sz w:val="20"/>
                <w:szCs w:val="20"/>
                <w14:textFill>
                  <w14:solidFill>
                    <w14:schemeClr w14:val="tx1"/>
                  </w14:solidFill>
                </w14:textFill>
              </w:rPr>
              <w:t>。</w:t>
            </w:r>
          </w:p>
        </w:tc>
      </w:tr>
      <w:tr w14:paraId="67DF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E6416A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hint="eastAsia" w:ascii="Times New Roman" w:eastAsia="楷体_GB2312" w:cs="楷体_GB2312"/>
                <w:color w:val="000000" w:themeColor="text1"/>
                <w:sz w:val="20"/>
                <w:szCs w:val="20"/>
                <w:lang w:eastAsia="zh-Hans"/>
                <w14:textFill>
                  <w14:solidFill>
                    <w14:schemeClr w14:val="tx1"/>
                  </w14:solidFill>
                </w14:textFill>
              </w:rPr>
              <w:t>上</w:t>
            </w:r>
            <w:r>
              <w:rPr>
                <w:rFonts w:ascii="Times New Roman" w:eastAsia="楷体_GB2312" w:cs="楷体_GB2312"/>
                <w:color w:val="000000" w:themeColor="text1"/>
                <w:sz w:val="20"/>
                <w:szCs w:val="20"/>
                <w14:textFill>
                  <w14:solidFill>
                    <w14:schemeClr w14:val="tx1"/>
                  </w14:solidFill>
                </w14:textFill>
              </w:rPr>
              <w:t>限</w:t>
            </w:r>
          </w:p>
        </w:tc>
        <w:tc>
          <w:tcPr>
            <w:tcW w:w="3709" w:type="pct"/>
            <w:vAlign w:val="center"/>
          </w:tcPr>
          <w:p w14:paraId="20E44042">
            <w:pPr>
              <w:pStyle w:val="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无。</w:t>
            </w:r>
          </w:p>
        </w:tc>
      </w:tr>
      <w:tr w14:paraId="1100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6A03B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709" w:type="pct"/>
            <w:vAlign w:val="center"/>
          </w:tcPr>
          <w:p w14:paraId="15B787E4">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本产品的计划募集金额下限为【人民币】【1】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p>
        </w:tc>
      </w:tr>
      <w:tr w14:paraId="03D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73008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709" w:type="pct"/>
            <w:vAlign w:val="center"/>
          </w:tcPr>
          <w:p w14:paraId="6C37B9B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p>
        </w:tc>
      </w:tr>
      <w:tr w14:paraId="0BC6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C09B961">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认购起点</w:t>
            </w:r>
          </w:p>
        </w:tc>
        <w:tc>
          <w:tcPr>
            <w:tcW w:w="3709" w:type="pct"/>
            <w:vAlign w:val="center"/>
          </w:tcPr>
          <w:p w14:paraId="0B62AA2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【B】类份额初始认购金额不低于【人民币】【1】元，以【人民币】【0.01】元的整数倍增加。追加认购金额不低于【人民币】【0.01】元，以【人民币】【0.01】元的整数倍增加。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代销机构对产品的认购起点及追加认购金额的要求与信银理财不一致的，以代销机构为准，但不得低于上述对应金额。</w:t>
            </w:r>
          </w:p>
        </w:tc>
      </w:tr>
      <w:tr w14:paraId="514E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C33B0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709" w:type="pct"/>
            <w:vAlign w:val="center"/>
          </w:tcPr>
          <w:p w14:paraId="752664D1">
            <w:pPr>
              <w:spacing w:line="300" w:lineRule="exact"/>
              <w:ind w:left="-2" w:leftChars="-1" w:right="36" w:rightChars="15"/>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w:t>
            </w:r>
            <w:r>
              <w:rPr>
                <w:rFonts w:ascii="楷体_GB2312" w:eastAsia="楷体_GB2312" w:cs="楷体_GB2312"/>
                <w:color w:val="000000" w:themeColor="text1"/>
                <w:sz w:val="20"/>
                <w:szCs w:val="20"/>
                <w14:textFill>
                  <w14:solidFill>
                    <w14:schemeClr w14:val="tx1"/>
                  </w14:solidFill>
                </w14:textFill>
              </w:rPr>
              <w:t>单一投资者持有份额</w:t>
            </w:r>
            <w:r>
              <w:rPr>
                <w:rFonts w:hint="eastAsia" w:ascii="楷体_GB2312" w:eastAsia="楷体_GB2312" w:cs="楷体_GB2312"/>
                <w:color w:val="000000" w:themeColor="text1"/>
                <w:sz w:val="20"/>
                <w:szCs w:val="20"/>
                <w14:textFill>
                  <w14:solidFill>
                    <w14:schemeClr w14:val="tx1"/>
                  </w14:solidFill>
                </w14:textFill>
              </w:rPr>
              <w:t>【b</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261B67A2">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可以</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。但产品不得</w:t>
            </w:r>
            <w:r>
              <w:rPr>
                <w:rFonts w:ascii="楷体_GB2312" w:eastAsia="楷体_GB2312" w:cs="楷体_GB2312"/>
                <w:color w:val="000000" w:themeColor="text1"/>
                <w:sz w:val="20"/>
                <w:szCs w:val="20"/>
                <w14:textFill>
                  <w14:solidFill>
                    <w14:schemeClr w14:val="tx1"/>
                  </w14:solidFill>
                </w14:textFill>
              </w:rPr>
              <w:t xml:space="preserve">向个人投资者公开发售。 </w:t>
            </w:r>
          </w:p>
          <w:p w14:paraId="735BA2F5">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p>
        </w:tc>
      </w:tr>
      <w:tr w14:paraId="0048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328F217">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709" w:type="pct"/>
            <w:vAlign w:val="center"/>
          </w:tcPr>
          <w:p w14:paraId="3028C13D">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14:paraId="7143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8AA2B6">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709" w:type="pct"/>
            <w:vAlign w:val="center"/>
          </w:tcPr>
          <w:p w14:paraId="45DF7300">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单位净值为单位产品份额的净值，该净值为扣除相关税费（相关税费包含固定管理费、</w:t>
            </w:r>
            <w:r>
              <w:rPr>
                <w:rFonts w:ascii="楷体_GB2312" w:eastAsia="楷体_GB2312" w:cs="楷体_GB2312"/>
                <w:color w:val="000000" w:themeColor="text1"/>
                <w:sz w:val="20"/>
                <w:szCs w:val="20"/>
                <w14:textFill>
                  <w14:solidFill>
                    <w14:schemeClr w14:val="tx1"/>
                  </w14:solidFill>
                </w14:textFill>
              </w:rPr>
              <w:t>浮动管理费</w:t>
            </w:r>
            <w:r>
              <w:rPr>
                <w:rFonts w:hint="eastAsia" w:ascii="楷体_GB2312" w:eastAsia="楷体_GB2312" w:cs="楷体_GB2312"/>
                <w:color w:val="000000" w:themeColor="text1"/>
                <w:sz w:val="20"/>
                <w:szCs w:val="20"/>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本产品到期后，管理人将在到期日后【5】个工作日内披露产品</w:t>
            </w:r>
            <w:r>
              <w:rPr>
                <w:rFonts w:ascii="楷体_GB2312" w:eastAsia="楷体_GB2312" w:cs="楷体_GB2312"/>
                <w:color w:val="000000" w:themeColor="text1"/>
                <w:sz w:val="20"/>
                <w:szCs w:val="20"/>
                <w14:textFill>
                  <w14:solidFill>
                    <w14:schemeClr w14:val="tx1"/>
                  </w14:solidFill>
                </w14:textFill>
              </w:rPr>
              <w:t>份额</w:t>
            </w:r>
            <w:r>
              <w:rPr>
                <w:rFonts w:hint="eastAsia" w:ascii="楷体_GB2312" w:eastAsia="楷体_GB2312" w:cs="楷体_GB2312"/>
                <w:color w:val="000000" w:themeColor="text1"/>
                <w:sz w:val="20"/>
                <w:szCs w:val="20"/>
                <w14:textFill>
                  <w14:solidFill>
                    <w14:schemeClr w14:val="tx1"/>
                  </w14:solidFill>
                </w14:textFill>
              </w:rPr>
              <w:t>最终单位净值。</w:t>
            </w:r>
          </w:p>
        </w:tc>
      </w:tr>
      <w:tr w14:paraId="4E76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EDA1EB8">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709" w:type="pct"/>
            <w:vAlign w:val="center"/>
          </w:tcPr>
          <w:p w14:paraId="5E90A1A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理财产品通过代销机构销售的，投资者可通过代销机构规定的渠道认购。</w:t>
            </w:r>
          </w:p>
          <w:p w14:paraId="08BBF135">
            <w:pPr>
              <w:spacing w:line="300" w:lineRule="exact"/>
              <w:ind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93CECD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709" w:type="pct"/>
            <w:vAlign w:val="center"/>
          </w:tcPr>
          <w:p w14:paraId="44C81E18">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4E6B4A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709" w:type="pct"/>
            <w:vAlign w:val="center"/>
          </w:tcPr>
          <w:p w14:paraId="0DC19621">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1.</w:t>
            </w:r>
            <w:r>
              <w:rPr>
                <w:rFonts w:hint="eastAsia" w:ascii="楷体_GB2312" w:eastAsia="楷体_GB2312" w:cs="楷体_GB2312"/>
                <w:b/>
                <w:sz w:val="20"/>
                <w:szCs w:val="20"/>
              </w:rPr>
              <w:t>认购费</w:t>
            </w:r>
            <w:r>
              <w:rPr>
                <w:rFonts w:ascii="楷体_GB2312" w:eastAsia="楷体_GB2312" w:cs="楷体_GB2312"/>
                <w:b/>
                <w:sz w:val="20"/>
                <w:szCs w:val="20"/>
              </w:rPr>
              <w:t>：</w:t>
            </w:r>
            <w:r>
              <w:rPr>
                <w:rFonts w:hint="eastAsia" w:ascii="楷体_GB2312" w:eastAsia="楷体_GB2312"/>
                <w:b/>
                <w:sz w:val="20"/>
                <w:szCs w:val="20"/>
              </w:rPr>
              <w:t>【B】类份额不收取认购费，【G】类份额不收取认购费，【M】类份额不收取认购费</w:t>
            </w:r>
            <w:r>
              <w:rPr>
                <w:rFonts w:hint="eastAsia" w:ascii="楷体_GB2312" w:eastAsia="楷体_GB2312"/>
                <w:b/>
                <w:sz w:val="20"/>
                <w:szCs w:val="20"/>
                <w:lang w:eastAsia="zh-CN"/>
              </w:rPr>
              <w:t>；</w:t>
            </w:r>
          </w:p>
          <w:p w14:paraId="62A82753">
            <w:pPr>
              <w:snapToGrid w:val="0"/>
              <w:spacing w:line="300" w:lineRule="exact"/>
              <w:ind w:left="-2" w:leftChars="-1"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2.</w:t>
            </w:r>
            <w:r>
              <w:rPr>
                <w:rFonts w:hint="eastAsia" w:ascii="楷体_GB2312" w:eastAsia="楷体_GB2312" w:cs="楷体_GB2312"/>
                <w:b/>
                <w:sz w:val="20"/>
                <w:szCs w:val="20"/>
              </w:rPr>
              <w:t>销售服务费：【B】类份额费率【0.15%】/年，【G】类份额费率【0.25%】/年，【M】类份额费率【0.05%】/年</w:t>
            </w:r>
            <w:r>
              <w:rPr>
                <w:rFonts w:hint="eastAsia" w:ascii="楷体_GB2312" w:eastAsia="楷体_GB2312" w:cs="楷体_GB2312"/>
                <w:b/>
                <w:sz w:val="20"/>
                <w:szCs w:val="20"/>
                <w:lang w:eastAsia="zh-CN"/>
              </w:rPr>
              <w:t>；</w:t>
            </w:r>
          </w:p>
          <w:p w14:paraId="793AE849">
            <w:pPr>
              <w:snapToGrid w:val="0"/>
              <w:spacing w:line="300" w:lineRule="exact"/>
              <w:ind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3.</w:t>
            </w:r>
            <w:r>
              <w:rPr>
                <w:rFonts w:hint="eastAsia" w:ascii="楷体_GB2312" w:eastAsia="楷体_GB2312" w:cs="楷体_GB2312"/>
                <w:b/>
                <w:sz w:val="20"/>
                <w:szCs w:val="20"/>
              </w:rPr>
              <w:t>托管费：费率【</w:t>
            </w:r>
            <w:r>
              <w:rPr>
                <w:rFonts w:ascii="楷体_GB2312" w:eastAsia="楷体_GB2312" w:cs="楷体_GB2312"/>
                <w:b/>
                <w:sz w:val="20"/>
                <w:szCs w:val="20"/>
              </w:rPr>
              <w:t>0.02%】/年</w:t>
            </w:r>
            <w:r>
              <w:rPr>
                <w:rFonts w:hint="eastAsia" w:ascii="楷体_GB2312" w:eastAsia="楷体_GB2312" w:cs="楷体_GB2312"/>
                <w:b/>
                <w:sz w:val="20"/>
                <w:szCs w:val="20"/>
                <w:lang w:eastAsia="zh-CN"/>
              </w:rPr>
              <w:t>；</w:t>
            </w:r>
          </w:p>
          <w:p w14:paraId="0B46EB90">
            <w:pPr>
              <w:snapToGrid w:val="0"/>
              <w:spacing w:line="300" w:lineRule="exact"/>
              <w:ind w:right="96" w:rightChars="40"/>
              <w:outlineLvl w:val="0"/>
              <w:rPr>
                <w:rFonts w:hint="eastAsia" w:ascii="楷体_GB2312" w:eastAsia="楷体_GB2312" w:cs="楷体_GB2312"/>
                <w:b/>
                <w:sz w:val="20"/>
                <w:szCs w:val="20"/>
                <w:lang w:eastAsia="zh-CN"/>
              </w:rPr>
            </w:pPr>
            <w:r>
              <w:rPr>
                <w:rFonts w:ascii="楷体_GB2312" w:eastAsia="楷体_GB2312" w:cs="楷体_GB2312"/>
                <w:b/>
                <w:sz w:val="20"/>
                <w:szCs w:val="20"/>
              </w:rPr>
              <w:t>4.</w:t>
            </w:r>
            <w:r>
              <w:rPr>
                <w:rFonts w:hint="eastAsia" w:ascii="楷体_GB2312" w:eastAsia="楷体_GB2312" w:cs="楷体_GB2312"/>
                <w:b/>
                <w:sz w:val="20"/>
                <w:szCs w:val="20"/>
              </w:rPr>
              <w:t>固定管理费：费率【0.05%</w:t>
            </w:r>
            <w:r>
              <w:rPr>
                <w:rFonts w:ascii="楷体_GB2312" w:eastAsia="楷体_GB2312" w:cs="楷体_GB2312"/>
                <w:b/>
                <w:sz w:val="20"/>
                <w:szCs w:val="20"/>
              </w:rPr>
              <w:t>】/年</w:t>
            </w:r>
            <w:r>
              <w:rPr>
                <w:rFonts w:hint="eastAsia" w:ascii="楷体_GB2312" w:eastAsia="楷体_GB2312" w:cs="楷体_GB2312"/>
                <w:b/>
                <w:sz w:val="20"/>
                <w:szCs w:val="20"/>
                <w:lang w:eastAsia="zh-CN"/>
              </w:rPr>
              <w:t>；</w:t>
            </w:r>
          </w:p>
          <w:p w14:paraId="0005DA40">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5.</w:t>
            </w:r>
            <w:r>
              <w:rPr>
                <w:rFonts w:hint="eastAsia" w:ascii="楷体_GB2312" w:eastAsia="楷体_GB2312" w:cs="楷体_GB2312"/>
                <w:b/>
                <w:sz w:val="20"/>
                <w:szCs w:val="20"/>
              </w:rPr>
              <w:t>浮动管理费：</w:t>
            </w:r>
          </w:p>
          <w:p w14:paraId="2E39FB67">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B</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4F6B6801">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G</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5AF84CBE">
            <w:pPr>
              <w:snapToGrid w:val="0"/>
              <w:spacing w:line="300" w:lineRule="exact"/>
              <w:ind w:right="96" w:rightChars="40"/>
              <w:outlineLvl w:val="0"/>
              <w:rPr>
                <w:rFonts w:ascii="楷体_GB2312" w:eastAsia="楷体_GB2312"/>
                <w:b/>
                <w:sz w:val="20"/>
                <w:szCs w:val="20"/>
              </w:rPr>
            </w:pPr>
            <w:r>
              <w:rPr>
                <w:rFonts w:hint="eastAsia" w:ascii="楷体_GB2312" w:eastAsia="楷体_GB2312"/>
                <w:b/>
                <w:sz w:val="20"/>
                <w:szCs w:val="20"/>
                <w:highlight w:val="none"/>
                <w:lang w:val="en-US" w:eastAsia="zh-CN"/>
              </w:rPr>
              <w:t>M</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2FBF8D6D">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05FE616E">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1A0F7EF0">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八、理财产品的费用</w:t>
            </w:r>
            <w:r>
              <w:rPr>
                <w:rFonts w:ascii="楷体_GB2312" w:eastAsia="楷体_GB2312" w:cs="楷体_GB2312"/>
                <w:b/>
                <w:color w:val="000000" w:themeColor="text1"/>
                <w:sz w:val="20"/>
                <w:szCs w:val="20"/>
                <w14:textFill>
                  <w14:solidFill>
                    <w14:schemeClr w14:val="tx1"/>
                  </w14:solidFill>
                </w14:textFill>
              </w:rPr>
              <w:t>”部分。</w:t>
            </w:r>
          </w:p>
          <w:p w14:paraId="00B37122">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B31997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709" w:type="pct"/>
            <w:vAlign w:val="center"/>
          </w:tcPr>
          <w:p w14:paraId="553C9FF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14:paraId="68AD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9A16B1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709" w:type="pct"/>
            <w:vAlign w:val="center"/>
          </w:tcPr>
          <w:p w14:paraId="092F262E">
            <w:pPr>
              <w:spacing w:line="300" w:lineRule="atLeast"/>
              <w:ind w:right="31"/>
              <w:rPr>
                <w:rFonts w:ascii="楷体_GB2312" w:eastAsia="楷体_GB2312" w:cs="楷体_GB2312"/>
                <w:sz w:val="20"/>
                <w:szCs w:val="20"/>
                <w:highlight w:val="none"/>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AF251854</w:t>
            </w:r>
            <w:r>
              <w:rPr>
                <w:rFonts w:hint="eastAsia" w:ascii="楷体_GB2312" w:eastAsia="楷体_GB2312" w:cs="楷体_GB2312"/>
                <w:sz w:val="20"/>
                <w:szCs w:val="20"/>
                <w:lang w:val="en-US" w:eastAsia="zh-CN"/>
              </w:rPr>
              <w:t>B</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highlight w:val="none"/>
                <w:lang w:eastAsia="zh-CN"/>
              </w:rPr>
              <w:t>（</w:t>
            </w:r>
            <w:r>
              <w:rPr>
                <w:rFonts w:hint="eastAsia" w:ascii="楷体_GB2312" w:eastAsia="楷体_GB2312" w:cs="楷体_GB2312"/>
                <w:sz w:val="20"/>
                <w:szCs w:val="20"/>
                <w:highlight w:val="none"/>
                <w:lang w:val="en-US" w:eastAsia="zh-CN"/>
              </w:rPr>
              <w:t>销售简称：安盈象固收稳健温暖童行丰收封闭4号B（慈善）</w:t>
            </w:r>
            <w:r>
              <w:rPr>
                <w:rFonts w:hint="eastAsia" w:ascii="楷体_GB2312" w:eastAsia="楷体_GB2312" w:cs="楷体_GB2312"/>
                <w:sz w:val="20"/>
                <w:szCs w:val="20"/>
                <w:highlight w:val="none"/>
                <w:lang w:eastAsia="zh-CN"/>
              </w:rPr>
              <w:t>）</w:t>
            </w:r>
            <w:r>
              <w:rPr>
                <w:rFonts w:ascii="楷体_GB2312" w:eastAsia="楷体_GB2312" w:cs="楷体_GB2312"/>
                <w:sz w:val="20"/>
                <w:szCs w:val="20"/>
                <w:highlight w:val="none"/>
              </w:rPr>
              <w:t>：</w:t>
            </w:r>
          </w:p>
          <w:p w14:paraId="0038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595FC0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5077AD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B8922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193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5EAE31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E39BA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28794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FE75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BC266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B5E53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7B312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09C40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48D4E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727BE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E265B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4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40D5E9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DD0D83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7F879A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D01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33F34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5DFB5F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31E34B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D105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7592D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36AB67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10AEF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BE04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5DD8D2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3CD405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167795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7E0E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7170C9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72667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ABD2E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5F05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18F8BF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29E8CB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42584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1B1B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8D469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1DFB2C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410252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C69A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15B665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3F85A8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68EAEC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40C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3FC553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5F98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1D70AF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CF66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DA690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660307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3373CC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6A2AD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57096F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2289E69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5F1E09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F45A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68DD99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5D1550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65E3C2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44CA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126C30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4B69C4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6D671F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3F60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2BB707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1E1551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7CF948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0AD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653931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1D7EC9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49AD3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B649F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4E396C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673C05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6599E6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5C6D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739D45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57B35D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E0E7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90C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1D20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7F45880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1E5C2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8A6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BD8D6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07C5E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7D706D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760E2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037F97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32C435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74D56F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76B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68071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18A704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7E38CE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29227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E0008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3A08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17D32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281199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588B4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6FC2B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05F2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724FBF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015B24B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392E96C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B81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62CC49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681A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37672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68CD2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0C853F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77C52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42AAF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7019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06B152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06F303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149963E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4A7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1CB10A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004D16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80498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DCE1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CD029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5161EB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1CCE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93D5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14638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EB561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322B5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7139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7A7A6F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66B27AA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1D52B2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7991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05D088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3AE73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05818B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696F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26152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36961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1549FB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D40F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7F4E7E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163BC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495343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540F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4E56F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0C6D2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2520D4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A579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3DD036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70726A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11E2F1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B4AB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F895E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D0CD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367E53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FE53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7BFED9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580D28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C1402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5C5C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13BC1F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8B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001A4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238F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66E17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3BB808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3D071F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D29D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2775AA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6182DD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5BEF67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4335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4A89B9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3EEB6B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50C2C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91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542882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566EAB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13B2D6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DBE4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2111A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0AB751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2302F3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1D13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128D7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60B55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5F1C54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14C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550139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322D3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6972EA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13EF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33CE63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1BFF14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00B2AF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8238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51D396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3C5387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46B519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DA57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002347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3947B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A9B3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2738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2FFB9C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2D2E2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18651B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36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4A7B3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19E5F0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497725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9D1C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531A51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5A06F5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C8CA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3BF1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6280EE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25A9F0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7D211D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D1408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66A96A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2FA54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1EA147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2D38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3D544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7248E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6505F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3464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5C26BE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3E63D7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D7329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ACB4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30060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7ADA71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15FF38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07D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951BD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4D33D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11C4F5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03903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266454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5E6094C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121364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F5EA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479434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1E33EB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560C8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F9F9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266A85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790B8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01BBED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8BC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69785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7C0ED5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B1144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F8E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4D040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36B3B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23FE9E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5C9B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EAFF1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532657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CDE05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116E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2EBF77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636F6F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2886C6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E0C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694368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67E610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374398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1C4D79">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763C0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52ADF1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424D3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67A5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342DAF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16C4A6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D2B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046D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615203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3311F3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759C48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D483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20005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50C6E3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729186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93B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30096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03C16AB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19ED22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5ADE22">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0FF82B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1EEEB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A9E4E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D22CF1">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29476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66F9DF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39F13A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29158948">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78.企业名称：【宁波鄞州农村商业银行股份有限公司】</w:t>
            </w:r>
          </w:p>
          <w:p w14:paraId="3A40454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统一社会信用代码：【</w:t>
            </w:r>
            <w:r>
              <w:rPr>
                <w:rFonts w:ascii="楷体_GB2312" w:eastAsia="楷体_GB2312" w:cs="楷体_GB2312"/>
                <w:color w:val="000000" w:themeColor="text1"/>
                <w:sz w:val="20"/>
                <w:szCs w:val="20"/>
                <w14:textFill>
                  <w14:solidFill>
                    <w14:schemeClr w14:val="tx1"/>
                  </w14:solidFill>
                </w14:textFill>
              </w:rPr>
              <w:t>91330212144417235R】</w:t>
            </w:r>
          </w:p>
          <w:p w14:paraId="4EADADFF">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住所：【浙江省宁波市鄞州区民惠西路</w:t>
            </w:r>
            <w:r>
              <w:rPr>
                <w:rFonts w:ascii="楷体_GB2312" w:eastAsia="楷体_GB2312" w:cs="楷体_GB2312"/>
                <w:color w:val="000000" w:themeColor="text1"/>
                <w:sz w:val="20"/>
                <w:szCs w:val="20"/>
                <w14:textFill>
                  <w14:solidFill>
                    <w14:schemeClr w14:val="tx1"/>
                  </w14:solidFill>
                </w14:textFill>
              </w:rPr>
              <w:t xml:space="preserve"> 88 号】</w:t>
            </w:r>
          </w:p>
          <w:p w14:paraId="0AF048A9">
            <w:pPr>
              <w:spacing w:line="300" w:lineRule="atLeast"/>
              <w:ind w:left="-2" w:right="31"/>
              <w:rPr>
                <w:rFonts w:ascii="楷体_GB2312" w:eastAsia="楷体_GB2312" w:cs="楷体_GB2312"/>
                <w:sz w:val="20"/>
                <w:szCs w:val="20"/>
              </w:rPr>
            </w:pPr>
            <w:r>
              <w:rPr>
                <w:rFonts w:hint="eastAsia" w:ascii="楷体_GB2312" w:eastAsia="楷体_GB2312" w:cs="楷体_GB2312"/>
                <w:color w:val="000000" w:themeColor="text1"/>
                <w:sz w:val="20"/>
                <w:szCs w:val="20"/>
                <w14:textFill>
                  <w14:solidFill>
                    <w14:schemeClr w14:val="tx1"/>
                  </w14:solidFill>
                </w14:textFill>
              </w:rPr>
              <w:t>客户服务热线：【</w:t>
            </w:r>
            <w:r>
              <w:rPr>
                <w:rFonts w:ascii="楷体_GB2312" w:eastAsia="楷体_GB2312" w:cs="楷体_GB2312"/>
                <w:color w:val="000000" w:themeColor="text1"/>
                <w:sz w:val="20"/>
                <w:szCs w:val="20"/>
                <w14:textFill>
                  <w14:solidFill>
                    <w14:schemeClr w14:val="tx1"/>
                  </w14:solidFill>
                </w14:textFill>
              </w:rPr>
              <w:t>956058】</w:t>
            </w:r>
          </w:p>
          <w:p w14:paraId="426CE9C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488790F">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AF251854</w:t>
            </w:r>
            <w:r>
              <w:rPr>
                <w:rFonts w:hint="eastAsia" w:ascii="楷体_GB2312" w:eastAsia="楷体_GB2312" w:cs="楷体_GB2312"/>
                <w:sz w:val="20"/>
                <w:szCs w:val="20"/>
                <w:lang w:val="en-US" w:eastAsia="zh-CN"/>
              </w:rPr>
              <w:t>G</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销售简称：安盈象固收稳健温暖童行丰收封闭4号G（慈善））</w:t>
            </w:r>
            <w:r>
              <w:rPr>
                <w:rFonts w:ascii="楷体_GB2312" w:eastAsia="楷体_GB2312" w:cs="楷体_GB2312"/>
                <w:sz w:val="20"/>
                <w:szCs w:val="20"/>
              </w:rPr>
              <w:t>：</w:t>
            </w:r>
          </w:p>
          <w:p w14:paraId="570CE5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71B057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49AE9E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3736E4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486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22E5E8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31E3C9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0BE748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514E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0E3EF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67F4C3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7F59F2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5D23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7002A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9F4EC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2BF31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00DC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50DCF0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0905CD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3B3A7D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C3AFF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100EC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456D4E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21681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615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2E5103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0D1B6D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28F9C3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8088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6BFAF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403662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4AC84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8258A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4CDFA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F1151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9652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EEB9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0529EB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0E8F68E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087BD3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504C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0B48DC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39D72D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464DC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C82E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57815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4D5AF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71A7A9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68E8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0214C3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A2CD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3D815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E0B76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CF661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3EF256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4A5515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AE0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79EE26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65B762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167A92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A330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4C7187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26C8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9BE54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F65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7C5ED3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040C90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02D52E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3B8E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4D29B7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042FA5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DEBC2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5A084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339CA4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60D758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2C5C8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A8A3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0378E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1507CA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2EEE14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91ED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5DC5C4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389965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5C90E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87A0D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1EA4AD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55C46D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03F399D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1E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C21FF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767A8B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4CEBEB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EB83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235B55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22F0F5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19425E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80E64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208B07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1C78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586876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5FA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64599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2C1DE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47A9AF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9517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39C349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756D14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34379A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41B1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5C87F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68E2B2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6A53FB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BF8D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18A578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38EB0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6B2E26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34F1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7E2484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1980C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7C0CC5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5C19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440966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53AEF0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4F5F6F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3613D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2CB5B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558C24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AD8F0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8DCBE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58CEAB0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368F8F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3724C9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5C80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4AC928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6EEE4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2E48B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201F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32FDD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0729F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7011EC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44C9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AE845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19BA313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1BDBB3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ABF0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53A86C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557162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2C964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78ACB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F5210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F38C9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7B2A3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7733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15ED1A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2B33D2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11B35B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70B2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160947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6C0EF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47B21B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73DE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0349C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237B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6746C5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8D47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18961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191DA4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D0C82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4F5A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423CE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207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2951BD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C54C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07A94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4A86C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2EE4CE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BCD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B0849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31C325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1A7524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BC39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5498EA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8D902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65B4D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15E0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005DF0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470967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A8F7A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F19E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1970FB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3C44A6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6A2FDA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F1018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10639C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41BE3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203F1C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9E8B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396FB0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0E0CC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5031CF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84E6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FACF0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3F8A46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11BE1B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AD14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8FCD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7E5BDC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7867D3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396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14B48E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5B2D64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B75C5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00A6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1A20F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1AD08C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06B0CA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6969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7CD036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2F8E9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5B3D51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A216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72F126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0BF220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A3B78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BBA0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1DA3C9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7E2952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4293F6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991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15DFD4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4593F4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6E1B03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B3F2C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74742D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5B326A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230C9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8EDEB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94B7E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037354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6CA06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891F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E74A0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57AA5C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06FDEB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1AB68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0A0F8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5ACBC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289175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68A3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4C70E0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079A95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3DDCB8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C62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08BAAB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660BD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C0EE3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8DDC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7B164B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22AD47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786034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8186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24ADE5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44D08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53855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445B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60B436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B352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613CDA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C160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90476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75FBF0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ECF7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9AC3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06D08F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1D90F3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7C721A2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6E673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521167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28006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1E71D6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3BC3A1">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E4C3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643D15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337109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DC1B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6BB788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45ED1A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ECBDA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A441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59A65B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278F3F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341902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5CAE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00E4F3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632F5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4BC616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AED2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2143F8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54B49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259D19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B8B105">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4521E0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7EEECD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473012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44B10">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555787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7CE882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1EF9A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38CD16FC">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78.企业名称：【宁波鄞州农村商业银行股份有限公司】</w:t>
            </w:r>
          </w:p>
          <w:p w14:paraId="28015A9E">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统一社会信用代码：【</w:t>
            </w:r>
            <w:r>
              <w:rPr>
                <w:rFonts w:ascii="楷体_GB2312" w:eastAsia="楷体_GB2312" w:cs="楷体_GB2312"/>
                <w:color w:val="000000" w:themeColor="text1"/>
                <w:sz w:val="20"/>
                <w:szCs w:val="20"/>
                <w14:textFill>
                  <w14:solidFill>
                    <w14:schemeClr w14:val="tx1"/>
                  </w14:solidFill>
                </w14:textFill>
              </w:rPr>
              <w:t>91330212144417235R】</w:t>
            </w:r>
          </w:p>
          <w:p w14:paraId="414E88E2">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住所：【浙江省宁波市鄞州区民惠西路</w:t>
            </w:r>
            <w:r>
              <w:rPr>
                <w:rFonts w:ascii="楷体_GB2312" w:eastAsia="楷体_GB2312" w:cs="楷体_GB2312"/>
                <w:color w:val="000000" w:themeColor="text1"/>
                <w:sz w:val="20"/>
                <w:szCs w:val="20"/>
                <w14:textFill>
                  <w14:solidFill>
                    <w14:schemeClr w14:val="tx1"/>
                  </w14:solidFill>
                </w14:textFill>
              </w:rPr>
              <w:t xml:space="preserve"> 88 号】</w:t>
            </w:r>
          </w:p>
          <w:p w14:paraId="7524D5A5">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客户服务热线：【</w:t>
            </w:r>
            <w:r>
              <w:rPr>
                <w:rFonts w:ascii="楷体_GB2312" w:eastAsia="楷体_GB2312" w:cs="楷体_GB2312"/>
                <w:color w:val="000000" w:themeColor="text1"/>
                <w:sz w:val="20"/>
                <w:szCs w:val="20"/>
                <w14:textFill>
                  <w14:solidFill>
                    <w14:schemeClr w14:val="tx1"/>
                  </w14:solidFill>
                </w14:textFill>
              </w:rPr>
              <w:t>956058】</w:t>
            </w:r>
          </w:p>
          <w:p w14:paraId="6866CCA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6D039662">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AF251854</w:t>
            </w:r>
            <w:r>
              <w:rPr>
                <w:rFonts w:hint="eastAsia" w:ascii="楷体_GB2312" w:eastAsia="楷体_GB2312" w:cs="楷体_GB2312"/>
                <w:sz w:val="20"/>
                <w:szCs w:val="20"/>
                <w:lang w:val="en-US" w:eastAsia="zh-CN"/>
              </w:rPr>
              <w:t>M</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销售简称：安盈象固收稳健温暖童行丰收封闭4号M（慈善））</w:t>
            </w:r>
            <w:r>
              <w:rPr>
                <w:rFonts w:ascii="楷体_GB2312" w:eastAsia="楷体_GB2312" w:cs="楷体_GB2312"/>
                <w:sz w:val="20"/>
                <w:szCs w:val="20"/>
              </w:rPr>
              <w:t>：</w:t>
            </w:r>
          </w:p>
          <w:p w14:paraId="463D6D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3B76A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238D7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42D77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F71A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6F483F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1D4B2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A8637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2E22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42C0E7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9BDD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E3041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A1D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6C70AB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8F6F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722FF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A294D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7BF5F4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6CAC5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2F1F0F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24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77C32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617EC0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1F37B3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DAEF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5AE5E6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51E417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36E1B00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4C1E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35D2F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2D79DA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6E6BFA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E6DB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11E83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A970F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119E6D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9B49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330B30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4E5046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2C49AE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671E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A7B7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661B6C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89C72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2165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6483C8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76DD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118AB1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56E6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171E1D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7CAFF1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721AEF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E686E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417435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0FCA4C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2911C6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FA8D8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3D81A8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781F36C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707F73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C8A3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01270E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DB0B1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D9DFD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57B6D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671AB7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16FBDF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22ACCB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4A57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6007A3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2B598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20D23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B2951E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2E47B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43343D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3C9048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A9AD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25B441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038BA4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04880E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1E2C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62377A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1882B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4E6EC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EFFA8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5DBB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4E4F43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D7FFD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B91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56B6AD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681C4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2D1C66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A9DE9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771D55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6F6D4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099246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F251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3014A2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23E74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38D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46ED1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388AFC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65837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07401D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226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1DA727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4DCBF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76A859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C493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39B1C2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1D6755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02BAFB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1B2C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20992C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7FF644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56BB1A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351E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25BA19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5AEBD7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7C019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481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1EB30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65927B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5D5670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3A051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AA155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797AD9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3A8CD2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4B8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E114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1A59A7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813CF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182C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0C9DCF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FC3B5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06BFF1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5C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79E74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19B83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2887E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4027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E4021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DA849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600BB6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468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1359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086B7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74CB24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DEE9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A1A7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73A47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6BB818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BD24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B90B18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1597D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4CE34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F682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7BFD22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088D7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3C1D1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86B7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3EA65E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F8432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256AD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2A594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5D5E6A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7B7794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2F0556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9B64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68D643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11D772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4348E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BE790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5191C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BF64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068821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60A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F853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764F19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08FBA3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5B35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14718A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0A4C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769B95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78572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1F4DB4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1A34EF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8506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F68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6142CF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2E5BEE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3AE72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D264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3A07F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30616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481640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754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0FAC59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EE7F37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0B535B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B41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8543E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21F432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43B7D9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F6255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9EE4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53F74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59DF6E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DBD1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36CFCC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418124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4D598E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7D38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022553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7D91F0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4A8BBD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C01B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3F5EB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73417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6B3273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4291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1AFF7D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465B17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4F2636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D97E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70C2CA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1877F6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13AE6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A0F7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5481F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65526E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7E635A1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F46E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628BF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291630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443A2D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A3F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68A7C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6149CC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1E583B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868F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35D214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4BD537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798693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8893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3CACB2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1D80D3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0DD55C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0D2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71F434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69B532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292FCA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7F83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271102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4087EE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6AA93D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F1AE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3E7B1C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6F7025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6AC06C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B6B9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7B60B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016E0C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6E62A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1D83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25606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C449A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511B86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7966C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3B01C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7C9798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974E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7A1BE8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3A8CA7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5B5FC2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D9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332ABF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490032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4DFECB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AF5B4F">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390161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2161C0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016A49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4564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766964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31F9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5B956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953E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286052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66EB62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55972B3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98D2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492DBB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7D1DF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33D25F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4277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B98F0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0A381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386FA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0E2327">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5BD282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DDF65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68F08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22863D">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64CAEC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4F4537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2C71DE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4F65D2E7">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78.企业名称：【宁波鄞州农村商业银行股份有限公司】</w:t>
            </w:r>
          </w:p>
          <w:p w14:paraId="5E09048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统一社会信用代码：【</w:t>
            </w:r>
            <w:r>
              <w:rPr>
                <w:rFonts w:ascii="楷体_GB2312" w:eastAsia="楷体_GB2312" w:cs="楷体_GB2312"/>
                <w:color w:val="000000" w:themeColor="text1"/>
                <w:sz w:val="20"/>
                <w:szCs w:val="20"/>
                <w14:textFill>
                  <w14:solidFill>
                    <w14:schemeClr w14:val="tx1"/>
                  </w14:solidFill>
                </w14:textFill>
              </w:rPr>
              <w:t>91330212144417235R】</w:t>
            </w:r>
          </w:p>
          <w:p w14:paraId="6251D652">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住所：【浙江省宁波市鄞州区民惠西路</w:t>
            </w:r>
            <w:r>
              <w:rPr>
                <w:rFonts w:ascii="楷体_GB2312" w:eastAsia="楷体_GB2312" w:cs="楷体_GB2312"/>
                <w:color w:val="000000" w:themeColor="text1"/>
                <w:sz w:val="20"/>
                <w:szCs w:val="20"/>
                <w14:textFill>
                  <w14:solidFill>
                    <w14:schemeClr w14:val="tx1"/>
                  </w14:solidFill>
                </w14:textFill>
              </w:rPr>
              <w:t xml:space="preserve"> 88 号】</w:t>
            </w:r>
          </w:p>
          <w:p w14:paraId="0D8BA9D5">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客户服务热线：【</w:t>
            </w:r>
            <w:r>
              <w:rPr>
                <w:rFonts w:ascii="楷体_GB2312" w:eastAsia="楷体_GB2312" w:cs="楷体_GB2312"/>
                <w:color w:val="000000" w:themeColor="text1"/>
                <w:sz w:val="20"/>
                <w:szCs w:val="20"/>
                <w14:textFill>
                  <w14:solidFill>
                    <w14:schemeClr w14:val="tx1"/>
                  </w14:solidFill>
                </w14:textFill>
              </w:rPr>
              <w:t>956058】</w:t>
            </w:r>
          </w:p>
          <w:p w14:paraId="51763D4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37AF162">
            <w:pPr>
              <w:spacing w:line="300" w:lineRule="atLeast"/>
              <w:ind w:left="-2" w:right="31"/>
              <w:rPr>
                <w:rFonts w:ascii="楷体_GB2312" w:eastAsia="楷体_GB2312" w:cs="楷体_GB2312"/>
                <w:sz w:val="20"/>
                <w:szCs w:val="20"/>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14:paraId="3BF4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E5FB7AD">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709" w:type="pct"/>
            <w:vAlign w:val="center"/>
          </w:tcPr>
          <w:p w14:paraId="0CCB71FB">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14:paraId="7CDAF1AF">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14:paraId="702914E0">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w:t>
            </w:r>
            <w:r>
              <w:rPr>
                <w:rFonts w:hint="eastAsia" w:ascii="楷体_GB2312" w:eastAsia="楷体_GB2312" w:cs="楷体_GB2312"/>
                <w:color w:val="000000" w:themeColor="text1"/>
                <w:sz w:val="20"/>
                <w:szCs w:val="20"/>
                <w14:textFill>
                  <w14:solidFill>
                    <w14:schemeClr w14:val="tx1"/>
                  </w14:solidFill>
                </w14:textFill>
              </w:rPr>
              <w:t>/申购、赎回等业务办理；</w:t>
            </w:r>
          </w:p>
          <w:p w14:paraId="4A9AD0E7">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14:paraId="2C74EE7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14:paraId="139ACE42">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14:paraId="7AAA1E7A">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0D71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050542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709" w:type="pct"/>
            <w:vAlign w:val="center"/>
          </w:tcPr>
          <w:p w14:paraId="7881BBF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企业名称：【中信银行股份有限公司】</w:t>
            </w:r>
            <w:r>
              <w:rPr>
                <w:rFonts w:hint="eastAsia" w:ascii="楷体_GB2312" w:eastAsia="楷体_GB2312" w:cs="楷体_GB2312"/>
                <w:sz w:val="20"/>
                <w:szCs w:val="20"/>
              </w:rPr>
              <w:br w:type="textWrapping"/>
            </w:r>
            <w:r>
              <w:rPr>
                <w:rFonts w:hint="eastAsia" w:ascii="楷体_GB2312" w:eastAsia="楷体_GB2312" w:cs="楷体_GB2312"/>
                <w:sz w:val="20"/>
                <w:szCs w:val="20"/>
              </w:rPr>
              <w:t>统一社会信用代码：【91110000101690725E】</w:t>
            </w:r>
            <w:r>
              <w:rPr>
                <w:rFonts w:hint="eastAsia" w:ascii="楷体_GB2312" w:eastAsia="楷体_GB2312" w:cs="楷体_GB2312"/>
                <w:sz w:val="20"/>
                <w:szCs w:val="20"/>
              </w:rPr>
              <w:br w:type="textWrapping"/>
            </w:r>
            <w:r>
              <w:rPr>
                <w:rFonts w:hint="eastAsia" w:ascii="楷体_GB2312" w:eastAsia="楷体_GB2312" w:cs="楷体_GB2312"/>
                <w:sz w:val="20"/>
                <w:szCs w:val="20"/>
              </w:rPr>
              <w:t>纳税人识别号：【91110000101690725E】</w:t>
            </w:r>
            <w:r>
              <w:rPr>
                <w:rFonts w:hint="eastAsia" w:ascii="楷体_GB2312" w:eastAsia="楷体_GB2312" w:cs="楷体_GB2312"/>
                <w:sz w:val="20"/>
                <w:szCs w:val="20"/>
              </w:rPr>
              <w:br w:type="textWrapping"/>
            </w:r>
            <w:r>
              <w:rPr>
                <w:rFonts w:hint="eastAsia" w:ascii="楷体_GB2312" w:eastAsia="楷体_GB2312" w:cs="楷体_GB2312"/>
                <w:sz w:val="20"/>
                <w:szCs w:val="20"/>
              </w:rPr>
              <w:t>法定代表人：【方合英】</w:t>
            </w:r>
            <w:r>
              <w:rPr>
                <w:rFonts w:hint="eastAsia" w:ascii="楷体_GB2312" w:eastAsia="楷体_GB2312" w:cs="楷体_GB2312"/>
                <w:sz w:val="20"/>
                <w:szCs w:val="20"/>
              </w:rPr>
              <w:br w:type="textWrapping"/>
            </w:r>
            <w:r>
              <w:rPr>
                <w:rFonts w:hint="eastAsia" w:ascii="楷体_GB2312" w:eastAsia="楷体_GB2312" w:cs="楷体_GB2312"/>
                <w:sz w:val="20"/>
                <w:szCs w:val="20"/>
              </w:rPr>
              <w:t>住所：【北京市朝阳区光华路10号中信大厦】</w:t>
            </w:r>
          </w:p>
        </w:tc>
      </w:tr>
      <w:tr w14:paraId="5735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C8FAB9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709" w:type="pct"/>
            <w:vAlign w:val="center"/>
          </w:tcPr>
          <w:p w14:paraId="361E7CE9">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14:paraId="783F89AB">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14:paraId="15E5EBA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w:t>
            </w:r>
            <w:r>
              <w:rPr>
                <w:rFonts w:ascii="楷体_GB2312" w:eastAsia="楷体_GB2312" w:cs="楷体_GB2312"/>
                <w:color w:val="000000" w:themeColor="text1"/>
                <w:sz w:val="20"/>
                <w:szCs w:val="20"/>
                <w14:textFill>
                  <w14:solidFill>
                    <w14:schemeClr w14:val="tx1"/>
                  </w14:solidFill>
                </w14:textFill>
              </w:rPr>
              <w:t>资产净值</w:t>
            </w:r>
            <w:r>
              <w:rPr>
                <w:rFonts w:hint="eastAsia" w:ascii="楷体_GB2312" w:eastAsia="楷体_GB2312" w:cs="楷体_GB2312"/>
                <w:color w:val="000000" w:themeColor="text1"/>
                <w:sz w:val="20"/>
                <w:szCs w:val="20"/>
                <w14:textFill>
                  <w14:solidFill>
                    <w14:schemeClr w14:val="tx1"/>
                  </w14:solidFill>
                </w14:textFill>
              </w:rPr>
              <w:t>、理财产品份额认/申购、赎回价格等数据，及时核查认/申购、赎回以及投资资金的支付和到账情况；</w:t>
            </w:r>
          </w:p>
          <w:p w14:paraId="28C9B121">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14:paraId="4D3CA57E">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年以上；</w:t>
            </w:r>
          </w:p>
          <w:p w14:paraId="65054DC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3191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5AE062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709" w:type="pct"/>
            <w:vAlign w:val="center"/>
          </w:tcPr>
          <w:p w14:paraId="382C2B1E">
            <w:pPr>
              <w:spacing w:line="300" w:lineRule="exact"/>
              <w:ind w:right="36" w:rightChars="15" w:firstLine="284" w:firstLineChars="142"/>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C5387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709" w:type="pct"/>
            <w:vAlign w:val="center"/>
          </w:tcPr>
          <w:p w14:paraId="5031BE54">
            <w:pPr>
              <w:pStyle w:val="19"/>
              <w:spacing w:line="300" w:lineRule="exact"/>
              <w:ind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C9168B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709" w:type="pct"/>
            <w:vAlign w:val="center"/>
          </w:tcPr>
          <w:p w14:paraId="28841A80">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7660C98">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709" w:type="pct"/>
            <w:vAlign w:val="center"/>
          </w:tcPr>
          <w:p w14:paraId="32D4C033">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14:paraId="79CD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7F6AE4F">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709" w:type="pct"/>
            <w:vAlign w:val="center"/>
          </w:tcPr>
          <w:p w14:paraId="26EB3146">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1．信银理财</w:t>
            </w:r>
            <w:r>
              <w:rPr>
                <w:rFonts w:ascii="楷体_GB2312" w:eastAsia="楷体_GB2312" w:cs="楷体_GB2312"/>
                <w:color w:val="000000" w:themeColor="text1"/>
                <w:sz w:val="20"/>
                <w:szCs w:val="20"/>
                <w14:textFill>
                  <w14:solidFill>
                    <w14:schemeClr w14:val="tx1"/>
                  </w14:solidFill>
                </w14:textFill>
              </w:rPr>
              <w:t>将通过【http://www.citic-wealth.com】</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本理财产品的各类信息。</w:t>
            </w:r>
          </w:p>
          <w:p w14:paraId="5811A9B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本理财产品存续期间内，因</w:t>
            </w:r>
            <w:r>
              <w:rPr>
                <w:rFonts w:ascii="楷体_GB2312" w:eastAsia="楷体_GB2312" w:cs="楷体_GB2312"/>
                <w:color w:val="000000" w:themeColor="text1"/>
                <w:sz w:val="20"/>
                <w:szCs w:val="20"/>
                <w14:textFill>
                  <w14:solidFill>
                    <w14:schemeClr w14:val="tx1"/>
                  </w14:solidFill>
                </w14:textFill>
              </w:rPr>
              <w:t>国家法律法规、监管规定发生变化，或是出于维持本产品正常运营需要</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在不损害投资者</w:t>
            </w:r>
            <w:r>
              <w:rPr>
                <w:rFonts w:hint="eastAsia" w:ascii="楷体_GB2312" w:eastAsia="楷体_GB2312" w:cs="楷体_GB2312"/>
                <w:color w:val="000000" w:themeColor="text1"/>
                <w:sz w:val="20"/>
                <w:szCs w:val="20"/>
                <w14:textFill>
                  <w14:solidFill>
                    <w14:schemeClr w14:val="tx1"/>
                  </w14:solidFill>
                </w14:textFill>
              </w:rPr>
              <w:t>利益</w:t>
            </w:r>
            <w:r>
              <w:rPr>
                <w:rFonts w:ascii="楷体_GB2312" w:eastAsia="楷体_GB2312" w:cs="楷体_GB2312"/>
                <w:color w:val="000000" w:themeColor="text1"/>
                <w:sz w:val="20"/>
                <w:szCs w:val="20"/>
                <w14:textFill>
                  <w14:solidFill>
                    <w14:schemeClr w14:val="tx1"/>
                  </w14:solidFill>
                </w14:textFill>
              </w:rPr>
              <w:t>的前提下</w:t>
            </w:r>
            <w:r>
              <w:rPr>
                <w:rFonts w:hint="eastAsia" w:ascii="楷体_GB2312" w:eastAsia="楷体_GB2312" w:cs="楷体_GB2312"/>
                <w:color w:val="000000" w:themeColor="text1"/>
                <w:sz w:val="20"/>
                <w:szCs w:val="20"/>
                <w14:textFill>
                  <w14:solidFill>
                    <w14:schemeClr w14:val="tx1"/>
                  </w14:solidFill>
                </w14:textFill>
              </w:rPr>
              <w:t>，信银理财有权提前【2】个工作日向投资者发出</w:t>
            </w:r>
            <w:r>
              <w:rPr>
                <w:rFonts w:ascii="楷体_GB2312" w:eastAsia="楷体_GB2312" w:cs="楷体_GB2312"/>
                <w:color w:val="000000" w:themeColor="text1"/>
                <w:sz w:val="20"/>
                <w:szCs w:val="20"/>
                <w14:textFill>
                  <w14:solidFill>
                    <w14:schemeClr w14:val="tx1"/>
                  </w14:solidFill>
                </w14:textFill>
              </w:rPr>
              <w:t>通知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符合监管规定的方式</w:t>
            </w:r>
            <w:r>
              <w:rPr>
                <w:rFonts w:hint="eastAsia" w:ascii="楷体_GB2312" w:eastAsia="楷体_GB2312" w:cs="楷体_GB2312"/>
                <w:color w:val="000000" w:themeColor="text1"/>
                <w:sz w:val="20"/>
                <w:szCs w:val="20"/>
                <w14:textFill>
                  <w14:solidFill>
                    <w14:schemeClr w14:val="tx1"/>
                  </w14:solidFill>
                </w14:textFill>
              </w:rPr>
              <w:t>对说明书条款进行补充、说明和修改。</w:t>
            </w:r>
          </w:p>
          <w:p w14:paraId="07DBB1E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w:t>
            </w:r>
            <w:r>
              <w:rPr>
                <w:rFonts w:hint="eastAsia" w:ascii="楷体_GB2312" w:eastAsia="楷体_GB2312" w:cs="楷体_GB2312"/>
                <w:color w:val="000000" w:themeColor="text1"/>
                <w:sz w:val="20"/>
                <w:szCs w:val="20"/>
                <w14:textFill>
                  <w14:solidFill>
                    <w14:schemeClr w14:val="tx1"/>
                  </w14:solidFill>
                </w14:textFill>
              </w:rPr>
              <w:t>内向</w:t>
            </w:r>
            <w:r>
              <w:rPr>
                <w:rFonts w:ascii="楷体_GB2312" w:eastAsia="楷体_GB2312" w:cs="楷体_GB2312"/>
                <w:color w:val="000000" w:themeColor="text1"/>
                <w:sz w:val="20"/>
                <w:szCs w:val="20"/>
                <w14:textFill>
                  <w14:solidFill>
                    <w14:schemeClr w14:val="tx1"/>
                  </w14:solidFill>
                </w14:textFill>
              </w:rPr>
              <w:t>投资者发布信息。</w:t>
            </w:r>
          </w:p>
          <w:p w14:paraId="3A94158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w:t>
            </w:r>
            <w:r>
              <w:rPr>
                <w:rFonts w:hint="eastAsia" w:ascii="楷体_GB2312" w:eastAsia="楷体_GB2312" w:cs="楷体_GB2312"/>
                <w:color w:val="000000" w:themeColor="text1"/>
                <w:sz w:val="20"/>
                <w:szCs w:val="20"/>
                <w14:textFill>
                  <w14:solidFill>
                    <w14:schemeClr w14:val="tx1"/>
                  </w14:solidFill>
                </w14:textFill>
              </w:rPr>
              <w:t>结束募集期或</w:t>
            </w:r>
            <w:r>
              <w:rPr>
                <w:rFonts w:ascii="楷体_GB2312" w:eastAsia="楷体_GB2312" w:cs="楷体_GB2312"/>
                <w:color w:val="000000" w:themeColor="text1"/>
                <w:sz w:val="20"/>
                <w:szCs w:val="20"/>
                <w14:textFill>
                  <w14:solidFill>
                    <w14:schemeClr w14:val="tx1"/>
                  </w14:solidFill>
                </w14:textFill>
              </w:rPr>
              <w:t>延长募集期</w:t>
            </w:r>
            <w:r>
              <w:rPr>
                <w:rFonts w:hint="eastAsia" w:ascii="楷体_GB2312" w:eastAsia="楷体_GB2312" w:cs="楷体_GB2312"/>
                <w:color w:val="000000" w:themeColor="text1"/>
                <w:sz w:val="20"/>
                <w:szCs w:val="20"/>
                <w14:textFill>
                  <w14:solidFill>
                    <w14:schemeClr w14:val="tx1"/>
                  </w14:solidFill>
                </w14:textFill>
              </w:rPr>
              <w:t>的，将在</w:t>
            </w:r>
            <w:r>
              <w:rPr>
                <w:rFonts w:ascii="楷体_GB2312" w:eastAsia="楷体_GB2312" w:cs="楷体_GB2312"/>
                <w:color w:val="000000" w:themeColor="text1"/>
                <w:sz w:val="20"/>
                <w:szCs w:val="20"/>
                <w14:textFill>
                  <w14:solidFill>
                    <w14:schemeClr w14:val="tx1"/>
                  </w14:solidFill>
                </w14:textFill>
              </w:rPr>
              <w:t>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w:t>
            </w:r>
            <w:r>
              <w:rPr>
                <w:rFonts w:hint="eastAsia" w:ascii="楷体_GB2312" w:eastAsia="楷体_GB2312" w:cs="楷体_GB2312"/>
                <w:color w:val="000000" w:themeColor="text1"/>
                <w:sz w:val="20"/>
                <w:szCs w:val="20"/>
                <w14:textFill>
                  <w14:solidFill>
                    <w14:schemeClr w14:val="tx1"/>
                  </w14:solidFill>
                </w14:textFill>
              </w:rPr>
              <w:t>投资者发布</w:t>
            </w:r>
            <w:r>
              <w:rPr>
                <w:rFonts w:ascii="楷体_GB2312" w:eastAsia="楷体_GB2312" w:cs="楷体_GB2312"/>
                <w:color w:val="000000" w:themeColor="text1"/>
                <w:sz w:val="20"/>
                <w:szCs w:val="20"/>
                <w14:textFill>
                  <w14:solidFill>
                    <w14:schemeClr w14:val="tx1"/>
                  </w14:solidFill>
                </w14:textFill>
              </w:rPr>
              <w:t>相关信息。</w:t>
            </w:r>
          </w:p>
          <w:p w14:paraId="7965FB0F">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在本产品成立后【</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内披露发行公告。</w:t>
            </w:r>
          </w:p>
          <w:p w14:paraId="76FC2D2A">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14:paraId="237D92F2">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14:paraId="056B2842">
            <w:pPr>
              <w:pStyle w:val="19"/>
              <w:spacing w:line="300" w:lineRule="exact"/>
              <w:ind w:left="360"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w:t>
            </w:r>
            <w:r>
              <w:rPr>
                <w:rFonts w:ascii="楷体_GB2312" w:eastAsia="楷体_GB2312" w:cs="楷体_GB2312"/>
                <w:color w:val="000000" w:themeColor="text1"/>
                <w:sz w:val="20"/>
                <w:szCs w:val="20"/>
                <w14:textFill>
                  <w14:solidFill>
                    <w14:schemeClr w14:val="tx1"/>
                  </w14:solidFill>
                </w14:textFill>
              </w:rPr>
              <w:t>（包括</w:t>
            </w:r>
            <w:r>
              <w:rPr>
                <w:rFonts w:hint="eastAsia" w:ascii="楷体_GB2312" w:eastAsia="楷体_GB2312" w:cs="楷体_GB2312"/>
                <w:color w:val="000000" w:themeColor="text1"/>
                <w:sz w:val="20"/>
                <w:szCs w:val="20"/>
                <w14:textFill>
                  <w14:solidFill>
                    <w14:schemeClr w14:val="tx1"/>
                  </w14:solidFill>
                </w14:textFill>
              </w:rPr>
              <w:t>到期和</w:t>
            </w:r>
            <w:r>
              <w:rPr>
                <w:rFonts w:ascii="楷体_GB2312" w:eastAsia="楷体_GB2312" w:cs="楷体_GB2312"/>
                <w:color w:val="000000" w:themeColor="text1"/>
                <w:sz w:val="20"/>
                <w:szCs w:val="20"/>
                <w14:textFill>
                  <w14:solidFill>
                    <w14:schemeClr w14:val="tx1"/>
                  </w14:solidFill>
                </w14:textFill>
              </w:rPr>
              <w:t>提前终止）</w:t>
            </w:r>
            <w:r>
              <w:rPr>
                <w:rFonts w:hint="eastAsia" w:ascii="楷体_GB2312" w:eastAsia="楷体_GB2312" w:cs="楷体_GB2312"/>
                <w:color w:val="000000" w:themeColor="text1"/>
                <w:sz w:val="20"/>
                <w:szCs w:val="20"/>
                <w14:textFill>
                  <w14:solidFill>
                    <w14:schemeClr w14:val="tx1"/>
                  </w14:solidFill>
                </w14:textFill>
              </w:rPr>
              <w:t>日后【5】个工作日内，向投资者披露</w:t>
            </w:r>
            <w:r>
              <w:rPr>
                <w:rFonts w:ascii="楷体_GB2312" w:eastAsia="楷体_GB2312" w:cs="楷体_GB2312"/>
                <w:color w:val="000000" w:themeColor="text1"/>
                <w:sz w:val="20"/>
                <w:szCs w:val="20"/>
                <w14:textFill>
                  <w14:solidFill>
                    <w14:schemeClr w14:val="tx1"/>
                  </w14:solidFill>
                </w14:textFill>
              </w:rPr>
              <w:t>到期公告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到期日产品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单位净值在内的</w:t>
            </w:r>
            <w:r>
              <w:rPr>
                <w:rFonts w:hint="eastAsia" w:ascii="楷体_GB2312" w:eastAsia="楷体_GB2312" w:cs="楷体_GB2312"/>
                <w:color w:val="000000" w:themeColor="text1"/>
                <w:sz w:val="20"/>
                <w:szCs w:val="20"/>
                <w14:textFill>
                  <w14:solidFill>
                    <w14:schemeClr w14:val="tx1"/>
                  </w14:solidFill>
                </w14:textFill>
              </w:rPr>
              <w:t>到期相关信息。</w:t>
            </w:r>
          </w:p>
          <w:p w14:paraId="23460B1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w:t>
            </w:r>
            <w:r>
              <w:rPr>
                <w:rFonts w:ascii="楷体_GB2312" w:eastAsia="楷体_GB2312" w:cs="楷体_GB2312"/>
                <w:color w:val="000000" w:themeColor="text1"/>
                <w:sz w:val="20"/>
                <w:szCs w:val="20"/>
                <w14:textFill>
                  <w14:solidFill>
                    <w14:schemeClr w14:val="tx1"/>
                  </w14:solidFill>
                </w14:textFill>
              </w:rPr>
              <w:t>存续期间，</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提前【2】个工作日告知</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w:t>
            </w:r>
          </w:p>
          <w:p w14:paraId="79FB8F9D">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14:textFill>
                  <w14:solidFill>
                    <w14:schemeClr w14:val="tx1"/>
                  </w14:solidFill>
                </w14:textFill>
              </w:rPr>
              <w:t>生效前</w:t>
            </w: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w:t>
            </w:r>
            <w:r>
              <w:rPr>
                <w:rFonts w:hint="eastAsia" w:ascii="楷体_GB2312" w:eastAsia="楷体_GB2312"/>
                <w:color w:val="000000" w:themeColor="text1"/>
                <w:sz w:val="20"/>
                <w:szCs w:val="20"/>
                <w14:textFill>
                  <w14:solidFill>
                    <w14:schemeClr w14:val="tx1"/>
                  </w14:solidFill>
                </w14:textFill>
              </w:rPr>
              <w:t>告知投资者。</w:t>
            </w:r>
          </w:p>
          <w:p w14:paraId="13ECEA48">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产品存续</w:t>
            </w:r>
            <w:r>
              <w:rPr>
                <w:rFonts w:hint="eastAsia" w:ascii="Times New Roman" w:hAnsi="Times New Roman" w:eastAsia="楷体_GB2312" w:cs="楷体_GB2312"/>
                <w:color w:val="000000" w:themeColor="text1"/>
                <w:sz w:val="20"/>
                <w:szCs w:val="20"/>
                <w14:textFill>
                  <w14:solidFill>
                    <w14:schemeClr w14:val="tx1"/>
                  </w14:solidFill>
                </w14:textFill>
              </w:rPr>
              <w:t>期间</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如</w:t>
            </w:r>
            <w:r>
              <w:rPr>
                <w:rFonts w:ascii="Times New Roman" w:hAnsi="Times New Roman" w:eastAsia="楷体_GB2312" w:cs="楷体_GB2312"/>
                <w:color w:val="000000" w:themeColor="text1"/>
                <w:sz w:val="20"/>
                <w:szCs w:val="20"/>
                <w14:textFill>
                  <w14:solidFill>
                    <w14:schemeClr w14:val="tx1"/>
                  </w14:solidFill>
                </w14:textFill>
              </w:rPr>
              <w:t>因市场</w:t>
            </w:r>
            <w:r>
              <w:rPr>
                <w:rFonts w:hint="eastAsia" w:ascii="Times New Roman" w:hAnsi="Times New Roman" w:eastAsia="楷体_GB2312" w:cs="楷体_GB2312"/>
                <w:color w:val="000000" w:themeColor="text1"/>
                <w:sz w:val="20"/>
                <w:szCs w:val="20"/>
                <w14:textFill>
                  <w14:solidFill>
                    <w14:schemeClr w14:val="tx1"/>
                  </w14:solidFill>
                </w14:textFill>
              </w:rPr>
              <w:t>重大</w:t>
            </w:r>
            <w:r>
              <w:rPr>
                <w:rFonts w:ascii="Times New Roman" w:hAnsi="Times New Roman" w:eastAsia="楷体_GB2312" w:cs="楷体_GB2312"/>
                <w:color w:val="000000" w:themeColor="text1"/>
                <w:sz w:val="20"/>
                <w:szCs w:val="20"/>
                <w14:textFill>
                  <w14:solidFill>
                    <w14:schemeClr w14:val="tx1"/>
                  </w14:solidFill>
                </w14:textFill>
              </w:rPr>
              <w:t>变化导致投资比例暂时超出</w:t>
            </w: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说明书约定的投资比例区间</w:t>
            </w:r>
            <w:r>
              <w:rPr>
                <w:rFonts w:hint="eastAsia" w:ascii="Times New Roman" w:hAnsi="Times New Roman" w:eastAsia="楷体_GB2312" w:cs="楷体_GB2312"/>
                <w:color w:val="000000" w:themeColor="text1"/>
                <w:sz w:val="20"/>
                <w:szCs w:val="20"/>
                <w14:textFill>
                  <w14:solidFill>
                    <w14:schemeClr w14:val="tx1"/>
                  </w14:solidFill>
                </w14:textFill>
              </w:rPr>
              <w:t>且</w:t>
            </w:r>
            <w:r>
              <w:rPr>
                <w:rFonts w:ascii="Times New Roman" w:hAnsi="Times New Roman" w:eastAsia="楷体_GB2312" w:cs="楷体_GB2312"/>
                <w:color w:val="000000" w:themeColor="text1"/>
                <w:sz w:val="20"/>
                <w:szCs w:val="20"/>
                <w14:textFill>
                  <w14:solidFill>
                    <w14:schemeClr w14:val="tx1"/>
                  </w14:solidFill>
                </w14:textFill>
              </w:rPr>
              <w:t>可能对理财产品收益产生重大影响的，</w:t>
            </w:r>
            <w:r>
              <w:rPr>
                <w:rFonts w:hint="eastAsia" w:ascii="Times New Roman" w:hAnsi="Times New Roman" w:eastAsia="楷体_GB2312" w:cs="楷体_GB2312"/>
                <w:color w:val="000000" w:themeColor="text1"/>
                <w:sz w:val="20"/>
                <w:szCs w:val="20"/>
                <w14:textFill>
                  <w14:solidFill>
                    <w14:schemeClr w14:val="tx1"/>
                  </w14:solidFill>
                </w14:textFill>
              </w:rPr>
              <w:t>信银理财</w:t>
            </w:r>
            <w:r>
              <w:rPr>
                <w:rFonts w:ascii="Times New Roman" w:hAnsi="Times New Roman" w:eastAsia="楷体_GB2312" w:cs="楷体_GB2312"/>
                <w:color w:val="000000" w:themeColor="text1"/>
                <w:sz w:val="20"/>
                <w:szCs w:val="20"/>
                <w14:textFill>
                  <w14:solidFill>
                    <w14:schemeClr w14:val="tx1"/>
                  </w14:solidFill>
                </w14:textFill>
              </w:rPr>
              <w:t>将</w:t>
            </w:r>
            <w:r>
              <w:rPr>
                <w:rFonts w:hint="eastAsia" w:ascii="Times New Roman" w:hAnsi="Times New Roman" w:eastAsia="楷体_GB2312" w:cs="楷体_GB2312"/>
                <w:color w:val="000000" w:themeColor="text1"/>
                <w:sz w:val="20"/>
                <w:szCs w:val="20"/>
                <w14:textFill>
                  <w14:solidFill>
                    <w14:schemeClr w14:val="tx1"/>
                  </w14:solidFill>
                </w14:textFill>
              </w:rPr>
              <w:t>在【2】个</w:t>
            </w:r>
            <w:r>
              <w:rPr>
                <w:rFonts w:ascii="Times New Roman" w:hAnsi="Times New Roman" w:eastAsia="楷体_GB2312" w:cs="楷体_GB2312"/>
                <w:color w:val="000000" w:themeColor="text1"/>
                <w:sz w:val="20"/>
                <w:szCs w:val="20"/>
                <w14:textFill>
                  <w14:solidFill>
                    <w14:schemeClr w14:val="tx1"/>
                  </w14:solidFill>
                </w14:textFill>
              </w:rPr>
              <w:t>工作日内</w:t>
            </w:r>
            <w:r>
              <w:rPr>
                <w:rFonts w:hint="eastAsia" w:ascii="Times New Roman" w:hAnsi="Times New Roman" w:eastAsia="楷体_GB2312" w:cs="楷体_GB2312"/>
                <w:color w:val="000000" w:themeColor="text1"/>
                <w:sz w:val="20"/>
                <w:szCs w:val="20"/>
                <w14:textFill>
                  <w14:solidFill>
                    <w14:schemeClr w14:val="tx1"/>
                  </w14:solidFill>
                </w14:textFill>
              </w:rPr>
              <w:t>告知投资者</w:t>
            </w:r>
            <w:r>
              <w:rPr>
                <w:rFonts w:ascii="Times New Roman" w:hAnsi="Times New Roman" w:eastAsia="楷体_GB2312" w:cs="楷体_GB2312"/>
                <w:color w:val="000000" w:themeColor="text1"/>
                <w:sz w:val="20"/>
                <w:szCs w:val="20"/>
                <w14:textFill>
                  <w14:solidFill>
                    <w14:schemeClr w14:val="tx1"/>
                  </w14:solidFill>
                </w14:textFill>
              </w:rPr>
              <w:t>。</w:t>
            </w:r>
          </w:p>
          <w:p w14:paraId="13C3E740">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hAnsi="Times New Roman" w:eastAsia="楷体_GB2312" w:cs="楷体_GB2312"/>
                <w:color w:val="000000" w:themeColor="text1"/>
                <w:sz w:val="20"/>
                <w:szCs w:val="20"/>
                <w14:textFill>
                  <w14:solidFill>
                    <w14:schemeClr w14:val="tx1"/>
                  </w14:solidFill>
                </w14:textFill>
              </w:rPr>
              <w:t>。</w:t>
            </w:r>
          </w:p>
          <w:p w14:paraId="52D47665">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产品存续期间，信银理财将向投资者</w:t>
            </w:r>
            <w:r>
              <w:rPr>
                <w:rFonts w:hint="eastAsia" w:ascii="楷体_GB2312" w:eastAsia="楷体_GB2312" w:cs="楷体_GB2312"/>
                <w:color w:val="000000" w:themeColor="text1"/>
                <w:sz w:val="20"/>
                <w:szCs w:val="20"/>
                <w14:textFill>
                  <w14:solidFill>
                    <w14:schemeClr w14:val="tx1"/>
                  </w14:solidFill>
                </w14:textFill>
              </w:rPr>
              <w:t>发布</w:t>
            </w:r>
            <w:r>
              <w:rPr>
                <w:rFonts w:ascii="楷体_GB2312" w:eastAsia="楷体_GB2312" w:cs="楷体_GB2312"/>
                <w:color w:val="000000" w:themeColor="text1"/>
                <w:sz w:val="20"/>
                <w:szCs w:val="20"/>
                <w14:textFill>
                  <w14:solidFill>
                    <w14:schemeClr w14:val="tx1"/>
                  </w14:solidFill>
                </w14:textFill>
              </w:rPr>
              <w:t>定期报告，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但不限于季度、半年和年度报告。</w:t>
            </w:r>
            <w:r>
              <w:rPr>
                <w:rFonts w:hint="eastAsia" w:ascii="楷体_GB2312" w:eastAsia="楷体_GB2312" w:cs="楷体_GB2312"/>
                <w:color w:val="000000" w:themeColor="text1"/>
                <w:sz w:val="20"/>
                <w:szCs w:val="20"/>
                <w14:textFill>
                  <w14:solidFill>
                    <w14:schemeClr w14:val="tx1"/>
                  </w14:solidFill>
                </w14:textFill>
              </w:rPr>
              <w:t>理财产品成立不足</w:t>
            </w:r>
            <w:r>
              <w:rPr>
                <w:rFonts w:ascii="楷体_GB2312" w:eastAsia="楷体_GB2312" w:cs="楷体_GB2312"/>
                <w:color w:val="000000" w:themeColor="text1"/>
                <w:sz w:val="20"/>
                <w:szCs w:val="20"/>
                <w14:textFill>
                  <w14:solidFill>
                    <w14:schemeClr w14:val="tx1"/>
                  </w14:solidFill>
                </w14:textFill>
              </w:rPr>
              <w:t>90日或者剩余存续期不超过90日的，</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 xml:space="preserve">将在理财产品季度、半年和年度报告中披露理财产品组合资产情况及其流动性风险分析等； </w:t>
            </w:r>
          </w:p>
          <w:p w14:paraId="10EC2279">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本理财产品存续期间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获知</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经信银理财合理判断认为对</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w:t>
            </w:r>
            <w:r>
              <w:rPr>
                <w:rFonts w:ascii="楷体_GB2312" w:eastAsia="楷体_GB2312" w:cs="楷体_GB2312"/>
                <w:color w:val="000000" w:themeColor="text1"/>
                <w:sz w:val="20"/>
                <w:szCs w:val="20"/>
                <w14:textFill>
                  <w14:solidFill>
                    <w14:schemeClr w14:val="tx1"/>
                  </w14:solidFill>
                </w14:textFill>
              </w:rPr>
              <w:t>法律法规、监管规定</w:t>
            </w:r>
            <w:r>
              <w:rPr>
                <w:rFonts w:hint="eastAsia" w:ascii="楷体_GB2312" w:eastAsia="楷体_GB2312" w:cs="楷体_GB2312"/>
                <w:color w:val="000000" w:themeColor="text1"/>
                <w:sz w:val="20"/>
                <w:szCs w:val="20"/>
                <w14:textFill>
                  <w14:solidFill>
                    <w14:schemeClr w14:val="tx1"/>
                  </w14:solidFill>
                </w14:textFill>
              </w:rPr>
              <w:t>及时</w:t>
            </w:r>
            <w:r>
              <w:rPr>
                <w:rFonts w:ascii="楷体_GB2312" w:eastAsia="楷体_GB2312" w:cs="楷体_GB2312"/>
                <w:color w:val="000000" w:themeColor="text1"/>
                <w:sz w:val="20"/>
                <w:szCs w:val="20"/>
                <w14:textFill>
                  <w14:solidFill>
                    <w14:schemeClr w14:val="tx1"/>
                  </w14:solidFill>
                </w14:textFill>
              </w:rPr>
              <w:t>向投资者发布相关信息。</w:t>
            </w:r>
          </w:p>
          <w:p w14:paraId="7013C41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至少每周向投资者披露一次本产品的资产净值和份额净值。</w:t>
            </w:r>
          </w:p>
          <w:p w14:paraId="167010BD">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管理人在</w:t>
            </w:r>
            <w:r>
              <w:rPr>
                <w:rFonts w:ascii="楷体_GB2312" w:eastAsia="楷体_GB2312" w:cs="楷体_GB2312"/>
                <w:color w:val="000000" w:themeColor="text1"/>
                <w:sz w:val="20"/>
                <w:szCs w:val="20"/>
                <w14:textFill>
                  <w14:solidFill>
                    <w14:schemeClr w14:val="tx1"/>
                  </w14:solidFill>
                </w14:textFill>
              </w:rPr>
              <w:t>运用暂停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拒绝认</w:t>
            </w:r>
            <w:r>
              <w:rPr>
                <w:rFonts w:hint="eastAsia" w:ascii="楷体_GB2312" w:eastAsia="楷体_GB2312" w:cs="楷体_GB2312"/>
                <w:color w:val="000000" w:themeColor="text1"/>
                <w:sz w:val="20"/>
                <w:szCs w:val="20"/>
                <w14:textFill>
                  <w14:solidFill>
                    <w14:schemeClr w14:val="tx1"/>
                  </w14:solidFill>
                </w14:textFill>
              </w:rPr>
              <w:t>购</w:t>
            </w:r>
            <w:r>
              <w:rPr>
                <w:rFonts w:ascii="楷体_GB2312" w:eastAsia="楷体_GB2312" w:cs="楷体_GB2312"/>
                <w:color w:val="000000" w:themeColor="text1"/>
                <w:sz w:val="20"/>
                <w:szCs w:val="20"/>
                <w14:textFill>
                  <w14:solidFill>
                    <w14:schemeClr w14:val="tx1"/>
                  </w14:solidFill>
                </w14:textFill>
              </w:rPr>
              <w:t>申请</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暂停理财产品估值等措施后，</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个交易日内告知投资者，并说明运用相关措施的原因、拟采取的应对安排等。在发生涉及理财产品认购事项调</w:t>
            </w:r>
            <w:r>
              <w:rPr>
                <w:rFonts w:hint="eastAsia" w:ascii="楷体_GB2312" w:eastAsia="楷体_GB2312" w:cs="楷体_GB2312"/>
                <w:color w:val="000000" w:themeColor="text1"/>
                <w:sz w:val="20"/>
                <w:szCs w:val="20"/>
                <w14:textFill>
                  <w14:solidFill>
                    <w14:schemeClr w14:val="tx1"/>
                  </w14:solidFill>
                </w14:textFill>
              </w:rPr>
              <w:t>整</w:t>
            </w:r>
            <w:r>
              <w:rPr>
                <w:rFonts w:ascii="楷体_GB2312" w:eastAsia="楷体_GB2312" w:cs="楷体_GB2312"/>
                <w:color w:val="000000" w:themeColor="text1"/>
                <w:sz w:val="20"/>
                <w:szCs w:val="20"/>
                <w14:textFill>
                  <w14:solidFill>
                    <w14:schemeClr w14:val="tx1"/>
                  </w14:solidFill>
                </w14:textFill>
              </w:rPr>
              <w:t>时，及时发布临时公告</w:t>
            </w:r>
            <w:r>
              <w:rPr>
                <w:rFonts w:hint="eastAsia" w:ascii="楷体_GB2312" w:eastAsia="楷体_GB2312" w:cs="楷体_GB2312"/>
                <w:color w:val="000000" w:themeColor="text1"/>
                <w:sz w:val="20"/>
                <w:szCs w:val="20"/>
                <w14:textFill>
                  <w14:solidFill>
                    <w14:schemeClr w14:val="tx1"/>
                  </w14:solidFill>
                </w14:textFill>
              </w:rPr>
              <w:t>。</w:t>
            </w:r>
          </w:p>
          <w:p w14:paraId="4D7FDA24">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w:t>
            </w:r>
            <w:r>
              <w:rPr>
                <w:rFonts w:ascii="楷体_GB2312" w:eastAsia="楷体_GB2312" w:cs="楷体_GB2312"/>
                <w:color w:val="000000" w:themeColor="text1"/>
                <w:sz w:val="20"/>
                <w:szCs w:val="20"/>
                <w14:textFill>
                  <w14:solidFill>
                    <w14:schemeClr w14:val="tx1"/>
                  </w14:solidFill>
                </w14:textFill>
              </w:rPr>
              <w:t>规范性文件、</w:t>
            </w:r>
            <w:r>
              <w:rPr>
                <w:rFonts w:hint="eastAsia" w:ascii="楷体_GB2312" w:eastAsia="楷体_GB2312" w:cs="楷体_GB2312"/>
                <w:color w:val="000000" w:themeColor="text1"/>
                <w:sz w:val="20"/>
                <w:szCs w:val="20"/>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14:textFill>
                  <w14:solidFill>
                    <w14:schemeClr w14:val="tx1"/>
                  </w14:solidFill>
                </w14:textFill>
              </w:rPr>
              <w:t>信息</w:t>
            </w:r>
            <w:r>
              <w:rPr>
                <w:rFonts w:hint="eastAsia" w:ascii="楷体_GB2312" w:eastAsia="楷体_GB2312" w:cs="楷体_GB2312"/>
                <w:color w:val="000000" w:themeColor="text1"/>
                <w:sz w:val="20"/>
                <w:szCs w:val="20"/>
                <w14:textFill>
                  <w14:solidFill>
                    <w14:schemeClr w14:val="tx1"/>
                  </w14:solidFill>
                </w14:textFill>
              </w:rPr>
              <w:t>披露的情形</w:t>
            </w:r>
            <w:r>
              <w:rPr>
                <w:rFonts w:ascii="楷体_GB2312" w:eastAsia="楷体_GB2312" w:cs="楷体_GB2312"/>
                <w:color w:val="000000" w:themeColor="text1"/>
                <w:sz w:val="20"/>
                <w:szCs w:val="20"/>
                <w14:textFill>
                  <w14:solidFill>
                    <w14:schemeClr w14:val="tx1"/>
                  </w14:solidFill>
                </w14:textFill>
              </w:rPr>
              <w:t>的，信银理财将根据上述规定向投资者发布相关信息</w:t>
            </w:r>
            <w:r>
              <w:rPr>
                <w:rFonts w:hint="eastAsia" w:ascii="楷体_GB2312" w:eastAsia="楷体_GB2312" w:cs="楷体_GB2312"/>
                <w:color w:val="000000" w:themeColor="text1"/>
                <w:sz w:val="20"/>
                <w:szCs w:val="20"/>
                <w14:textFill>
                  <w14:solidFill>
                    <w14:schemeClr w14:val="tx1"/>
                  </w14:solidFill>
                </w14:textFill>
              </w:rPr>
              <w:t>。</w:t>
            </w:r>
          </w:p>
        </w:tc>
      </w:tr>
    </w:tbl>
    <w:p w14:paraId="01404F38">
      <w:pPr>
        <w:snapToGrid w:val="0"/>
        <w:ind w:left="-2" w:leftChars="-1" w:right="53" w:rightChars="22"/>
        <w:outlineLvl w:val="0"/>
        <w:rPr>
          <w:rFonts w:ascii="黑体" w:hAnsi="Times New Roman" w:eastAsia="黑体" w:cs="黑体"/>
          <w:color w:val="000000" w:themeColor="text1"/>
          <w:sz w:val="20"/>
          <w:szCs w:val="20"/>
          <w14:textFill>
            <w14:solidFill>
              <w14:schemeClr w14:val="tx1"/>
            </w14:solidFill>
          </w14:textFill>
        </w:rPr>
      </w:pPr>
    </w:p>
    <w:p w14:paraId="30C464FF">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19"/>
        <w:widowControl w:val="0"/>
        <w:snapToGrid w:val="0"/>
        <w:spacing w:line="300" w:lineRule="exact"/>
        <w:ind w:left="200" w:firstLine="201" w:firstLineChars="1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2.代表理财产品签订投资和资产管理过程中涉及到的协议、合同等文本；</w:t>
      </w:r>
    </w:p>
    <w:p w14:paraId="1B580ABA">
      <w:pPr>
        <w:pStyle w:val="19"/>
        <w:widowControl w:val="0"/>
        <w:snapToGrid w:val="0"/>
        <w:spacing w:line="300" w:lineRule="exact"/>
        <w:ind w:firstLine="402"/>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left="-2" w:leftChars="-1" w:right="53" w:rightChars="22" w:firstLine="400" w:firstLineChars="200"/>
        <w:outlineLvl w:val="0"/>
        <w:rPr>
          <w:rFonts w:ascii="楷体_GB2312" w:eastAsia="楷体_GB2312"/>
          <w:color w:val="000000" w:themeColor="text1"/>
          <w:sz w:val="20"/>
          <w:szCs w:val="20"/>
          <w14:textFill>
            <w14:solidFill>
              <w14:schemeClr w14:val="tx1"/>
            </w14:solidFill>
          </w14:textFill>
        </w:rPr>
      </w:pPr>
    </w:p>
    <w:p w14:paraId="35CD7F63">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w:t>
      </w:r>
      <w:r>
        <w:rPr>
          <w:rFonts w:ascii="黑体" w:hAnsi="Times New Roman" w:eastAsia="黑体" w:cs="黑体"/>
          <w:color w:val="000000" w:themeColor="text1"/>
          <w:sz w:val="20"/>
          <w:szCs w:val="20"/>
          <w14:textFill>
            <w14:solidFill>
              <w14:schemeClr w14:val="tx1"/>
            </w14:solidFill>
          </w14:textFill>
        </w:rPr>
        <w:t>产品的认购</w:t>
      </w:r>
    </w:p>
    <w:p w14:paraId="408920C5">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投资者在募集期</w:t>
      </w:r>
      <w:r>
        <w:rPr>
          <w:rFonts w:ascii="Times New Roman" w:hAnsi="Times New Roman" w:eastAsia="楷体_GB2312" w:cs="Times New Roman"/>
          <w:color w:val="000000" w:themeColor="text1"/>
          <w:sz w:val="20"/>
          <w:szCs w:val="20"/>
          <w14:textFill>
            <w14:solidFill>
              <w14:schemeClr w14:val="tx1"/>
            </w14:solidFill>
          </w14:textFill>
        </w:rPr>
        <w:t>内可</w:t>
      </w:r>
      <w:r>
        <w:rPr>
          <w:rFonts w:hint="eastAsia" w:ascii="Times New Roman" w:hAnsi="Times New Roman" w:eastAsia="楷体_GB2312" w:cs="Times New Roman"/>
          <w:color w:val="000000" w:themeColor="text1"/>
          <w:sz w:val="20"/>
          <w:szCs w:val="20"/>
          <w14:textFill>
            <w14:solidFill>
              <w14:schemeClr w14:val="tx1"/>
            </w14:solidFill>
          </w14:textFill>
        </w:rPr>
        <w:t>提交</w:t>
      </w:r>
      <w:r>
        <w:rPr>
          <w:rFonts w:ascii="Times New Roman" w:hAnsi="Times New Roman" w:eastAsia="楷体_GB2312" w:cs="Times New Roman"/>
          <w:color w:val="000000" w:themeColor="text1"/>
          <w:sz w:val="20"/>
          <w:szCs w:val="20"/>
          <w14:textFill>
            <w14:solidFill>
              <w14:schemeClr w14:val="tx1"/>
            </w14:solidFill>
          </w14:textFill>
        </w:rPr>
        <w:t>认购申请，认购</w:t>
      </w:r>
      <w:r>
        <w:rPr>
          <w:rFonts w:hint="eastAsia" w:ascii="Times New Roman" w:hAnsi="Times New Roman" w:eastAsia="楷体_GB2312" w:cs="Times New Roman"/>
          <w:color w:val="000000" w:themeColor="text1"/>
          <w:sz w:val="20"/>
          <w:szCs w:val="20"/>
          <w14:textFill>
            <w14:solidFill>
              <w14:schemeClr w14:val="tx1"/>
            </w14:solidFill>
          </w14:textFill>
        </w:rPr>
        <w:t>理财</w:t>
      </w:r>
      <w:r>
        <w:rPr>
          <w:rFonts w:ascii="Times New Roman" w:hAnsi="Times New Roman" w:eastAsia="楷体_GB2312" w:cs="Times New Roman"/>
          <w:color w:val="000000" w:themeColor="text1"/>
          <w:sz w:val="20"/>
          <w:szCs w:val="20"/>
          <w14:textFill>
            <w14:solidFill>
              <w14:schemeClr w14:val="tx1"/>
            </w14:solidFill>
          </w14:textFill>
        </w:rPr>
        <w:t>产品份额</w:t>
      </w:r>
      <w:r>
        <w:rPr>
          <w:rFonts w:hint="eastAsia" w:ascii="Times New Roman" w:hAnsi="Times New Roman" w:eastAsia="楷体_GB2312" w:cs="Times New Roman"/>
          <w:color w:val="000000" w:themeColor="text1"/>
          <w:sz w:val="20"/>
          <w:szCs w:val="20"/>
          <w14:textFill>
            <w14:solidFill>
              <w14:schemeClr w14:val="tx1"/>
            </w14:solidFill>
          </w14:textFill>
        </w:rPr>
        <w:t>。</w:t>
      </w:r>
    </w:p>
    <w:p w14:paraId="433102F3">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本</w:t>
      </w:r>
      <w:r>
        <w:rPr>
          <w:rFonts w:ascii="Times New Roman" w:hAnsi="Times New Roman" w:eastAsia="楷体_GB2312" w:cs="Times New Roman"/>
          <w:color w:val="000000" w:themeColor="text1"/>
          <w:sz w:val="20"/>
          <w:szCs w:val="20"/>
          <w14:textFill>
            <w14:solidFill>
              <w14:schemeClr w14:val="tx1"/>
            </w14:solidFill>
          </w14:textFill>
        </w:rPr>
        <w:t>理财产品采取金额认购的方式，</w:t>
      </w:r>
      <w:r>
        <w:rPr>
          <w:rFonts w:hint="eastAsia" w:ascii="Times New Roman" w:hAnsi="Times New Roman" w:eastAsia="楷体_GB2312" w:cs="Times New Roman"/>
          <w:color w:val="000000" w:themeColor="text1"/>
          <w:sz w:val="20"/>
          <w:szCs w:val="20"/>
          <w14:textFill>
            <w14:solidFill>
              <w14:schemeClr w14:val="tx1"/>
            </w14:solidFill>
          </w14:textFill>
        </w:rPr>
        <w:t>认购份额</w:t>
      </w:r>
      <w:r>
        <w:rPr>
          <w:rFonts w:ascii="Times New Roman" w:hAnsi="Times New Roman" w:eastAsia="楷体_GB2312" w:cs="Times New Roman"/>
          <w:color w:val="000000" w:themeColor="text1"/>
          <w:sz w:val="20"/>
          <w:szCs w:val="20"/>
          <w14:textFill>
            <w14:solidFill>
              <w14:schemeClr w14:val="tx1"/>
            </w14:solidFill>
          </w14:textFill>
        </w:rPr>
        <w:t>=人民币认购金额×（1-认购费率）/1元</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认购份额按照四舍五入方法计算，保留小数点后【2】位</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由此误差产生的损失由理财财产承担，产生的收益归理财财产所有）</w:t>
      </w:r>
      <w:r>
        <w:rPr>
          <w:rFonts w:ascii="Times New Roman" w:hAnsi="Times New Roman" w:eastAsia="楷体_GB2312" w:cs="Times New Roman"/>
          <w:color w:val="000000" w:themeColor="text1"/>
          <w:sz w:val="20"/>
          <w:szCs w:val="20"/>
          <w14:textFill>
            <w14:solidFill>
              <w14:schemeClr w14:val="tx1"/>
            </w14:solidFill>
          </w14:textFill>
        </w:rPr>
        <w:t>。</w:t>
      </w:r>
    </w:p>
    <w:p w14:paraId="166A4339">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募集期结束后的第一个工作日</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为认购份额</w:t>
      </w:r>
      <w:r>
        <w:rPr>
          <w:rFonts w:ascii="Times New Roman" w:hAnsi="Times New Roman" w:eastAsia="楷体_GB2312" w:cs="Times New Roman"/>
          <w:color w:val="000000" w:themeColor="text1"/>
          <w:sz w:val="20"/>
          <w:szCs w:val="20"/>
          <w14:textFill>
            <w14:solidFill>
              <w14:schemeClr w14:val="tx1"/>
            </w14:solidFill>
          </w14:textFill>
        </w:rPr>
        <w:t>确认日</w:t>
      </w:r>
      <w:r>
        <w:rPr>
          <w:rFonts w:hint="eastAsia" w:ascii="Times New Roman" w:hAnsi="Times New Roman" w:eastAsia="楷体_GB2312" w:cs="Times New Roman"/>
          <w:color w:val="000000" w:themeColor="text1"/>
          <w:sz w:val="20"/>
          <w:szCs w:val="20"/>
          <w14:textFill>
            <w14:solidFill>
              <w14:schemeClr w14:val="tx1"/>
            </w14:solidFill>
          </w14:textFill>
        </w:rPr>
        <w:t>，认购</w:t>
      </w:r>
      <w:r>
        <w:rPr>
          <w:rFonts w:ascii="Times New Roman" w:hAnsi="Times New Roman" w:eastAsia="楷体_GB2312" w:cs="Times New Roman"/>
          <w:color w:val="000000" w:themeColor="text1"/>
          <w:sz w:val="20"/>
          <w:szCs w:val="20"/>
          <w14:textFill>
            <w14:solidFill>
              <w14:schemeClr w14:val="tx1"/>
            </w14:solidFill>
          </w14:textFill>
        </w:rPr>
        <w:t>份额确认日后投资者可</w:t>
      </w:r>
      <w:r>
        <w:rPr>
          <w:rFonts w:hint="eastAsia" w:ascii="Times New Roman" w:hAnsi="Times New Roman" w:eastAsia="楷体_GB2312" w:cs="Times New Roman"/>
          <w:color w:val="000000" w:themeColor="text1"/>
          <w:sz w:val="20"/>
          <w:szCs w:val="20"/>
          <w14:textFill>
            <w14:solidFill>
              <w14:schemeClr w14:val="tx1"/>
            </w14:solidFill>
          </w14:textFill>
        </w:rPr>
        <w:t>向销售机构</w:t>
      </w:r>
      <w:r>
        <w:rPr>
          <w:rFonts w:ascii="Times New Roman" w:hAnsi="Times New Roman" w:eastAsia="楷体_GB2312" w:cs="Times New Roman"/>
          <w:color w:val="000000" w:themeColor="text1"/>
          <w:sz w:val="20"/>
          <w:szCs w:val="20"/>
          <w14:textFill>
            <w14:solidFill>
              <w14:schemeClr w14:val="tx1"/>
            </w14:solidFill>
          </w14:textFill>
        </w:rPr>
        <w:t>查询认购是否</w:t>
      </w:r>
      <w:r>
        <w:rPr>
          <w:rFonts w:hint="eastAsia" w:ascii="Times New Roman" w:hAnsi="Times New Roman" w:eastAsia="楷体_GB2312" w:cs="Times New Roman"/>
          <w:color w:val="000000" w:themeColor="text1"/>
          <w:sz w:val="20"/>
          <w:szCs w:val="20"/>
          <w14:textFill>
            <w14:solidFill>
              <w14:schemeClr w14:val="tx1"/>
            </w14:solidFill>
          </w14:textFill>
        </w:rPr>
        <w:t>成功</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管理人保留不接受认购申请的权利。</w:t>
      </w:r>
    </w:p>
    <w:p w14:paraId="787D5991">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p>
    <w:p w14:paraId="2142C2C1">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理财</w:t>
      </w:r>
      <w:r>
        <w:rPr>
          <w:rFonts w:ascii="黑体" w:hAnsi="Times New Roman" w:eastAsia="黑体" w:cs="黑体"/>
          <w:color w:val="000000" w:themeColor="text1"/>
          <w:sz w:val="20"/>
          <w:szCs w:val="20"/>
          <w14:textFill>
            <w14:solidFill>
              <w14:schemeClr w14:val="tx1"/>
            </w14:solidFill>
          </w14:textFill>
        </w:rPr>
        <w:t>产品的</w:t>
      </w:r>
      <w:r>
        <w:rPr>
          <w:rFonts w:hint="eastAsia" w:ascii="黑体" w:hAnsi="Times New Roman" w:eastAsia="黑体" w:cs="黑体"/>
          <w:color w:val="000000" w:themeColor="text1"/>
          <w:sz w:val="20"/>
          <w:szCs w:val="20"/>
          <w14:textFill>
            <w14:solidFill>
              <w14:schemeClr w14:val="tx1"/>
            </w14:solidFill>
          </w14:textFill>
        </w:rPr>
        <w:t>申购和</w:t>
      </w:r>
      <w:r>
        <w:rPr>
          <w:rFonts w:ascii="黑体" w:hAnsi="Times New Roman" w:eastAsia="黑体" w:cs="黑体"/>
          <w:color w:val="000000" w:themeColor="text1"/>
          <w:sz w:val="20"/>
          <w:szCs w:val="20"/>
          <w14:textFill>
            <w14:solidFill>
              <w14:schemeClr w14:val="tx1"/>
            </w14:solidFill>
          </w14:textFill>
        </w:rPr>
        <w:t>赎回</w:t>
      </w:r>
    </w:p>
    <w:p w14:paraId="0AC6A6FA">
      <w:pPr>
        <w:spacing w:line="300" w:lineRule="exact"/>
        <w:ind w:left="-2" w:leftChars="-1"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本产品不开放申购和赎回。</w:t>
      </w:r>
    </w:p>
    <w:p w14:paraId="453E6466">
      <w:pPr>
        <w:spacing w:line="300" w:lineRule="exact"/>
        <w:ind w:right="36" w:rightChars="15"/>
        <w:rPr>
          <w:rFonts w:ascii="楷体_GB2312" w:eastAsia="楷体_GB2312"/>
          <w:color w:val="000000" w:themeColor="text1"/>
          <w:sz w:val="20"/>
          <w:szCs w:val="20"/>
          <w14:textFill>
            <w14:solidFill>
              <w14:schemeClr w14:val="tx1"/>
            </w14:solidFill>
          </w14:textFill>
        </w:rPr>
      </w:pPr>
    </w:p>
    <w:p w14:paraId="6B9F2CF3">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14:paraId="773991C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如果投资者的认购申请被拒绝，被拒绝的认购款项将全额退还给投资者，扣款日至资金返还日期间不计付利息。投资者通过代销机构购买理财产品的，以代销机构的规定为准。</w:t>
      </w:r>
    </w:p>
    <w:p w14:paraId="547EB927">
      <w:pPr>
        <w:spacing w:line="300" w:lineRule="exact"/>
        <w:ind w:right="96" w:rightChars="40"/>
        <w:rPr>
          <w:rFonts w:ascii="楷体_GB2312" w:eastAsia="楷体_GB2312" w:cs="楷体_GB2312"/>
          <w:color w:val="000000" w:themeColor="text1"/>
          <w:sz w:val="20"/>
          <w:szCs w:val="20"/>
          <w14:textFill>
            <w14:solidFill>
              <w14:schemeClr w14:val="tx1"/>
            </w14:solidFill>
          </w14:textFill>
        </w:rPr>
      </w:pPr>
    </w:p>
    <w:p w14:paraId="2F9BC8AD">
      <w:pPr>
        <w:pStyle w:val="19"/>
        <w:numPr>
          <w:ilvl w:val="0"/>
          <w:numId w:val="7"/>
        </w:numPr>
        <w:spacing w:line="300" w:lineRule="exact"/>
        <w:ind w:right="96" w:rightChars="40" w:firstLineChars="0"/>
        <w:rPr>
          <w:rFonts w:ascii="黑体" w:eastAsia="黑体" w:cs="黑体"/>
          <w:color w:val="000000" w:themeColor="text1"/>
          <w:sz w:val="20"/>
          <w:szCs w:val="20"/>
          <w14:textFill>
            <w14:solidFill>
              <w14:schemeClr w14:val="tx1"/>
            </w14:solidFill>
          </w14:textFill>
        </w:rPr>
      </w:pPr>
      <w:r>
        <w:rPr>
          <w:rFonts w:ascii="黑体" w:eastAsia="黑体" w:cs="黑体"/>
          <w:color w:val="000000" w:themeColor="text1"/>
          <w:sz w:val="20"/>
          <w:szCs w:val="20"/>
          <w14:textFill>
            <w14:solidFill>
              <w14:schemeClr w14:val="tx1"/>
            </w14:solidFill>
          </w14:textFill>
        </w:rPr>
        <w:t>理财资金分配</w:t>
      </w:r>
    </w:p>
    <w:p w14:paraId="44DD0FE2">
      <w:pPr>
        <w:pStyle w:val="19"/>
        <w:numPr>
          <w:ilvl w:val="0"/>
          <w:numId w:val="0"/>
        </w:numPr>
        <w:spacing w:line="300" w:lineRule="exact"/>
        <w:ind w:right="96" w:rightChars="40" w:firstLine="420" w:firstLineChars="0"/>
        <w:rPr>
          <w:rFonts w:ascii="黑体" w:eastAsia="黑体" w:cs="黑体"/>
          <w:color w:val="000000" w:themeColor="text1"/>
          <w:sz w:val="20"/>
          <w:szCs w:val="20"/>
          <w14:textFill>
            <w14:solidFill>
              <w14:schemeClr w14:val="tx1"/>
            </w14:solidFill>
          </w14:textFill>
        </w:rPr>
      </w:pPr>
      <w:r>
        <w:rPr>
          <w:rFonts w:hint="eastAsia" w:ascii="黑体" w:eastAsia="黑体" w:cs="黑体"/>
          <w:color w:val="000000" w:themeColor="text1"/>
          <w:sz w:val="20"/>
          <w:szCs w:val="20"/>
          <w:lang w:eastAsia="zh-CN"/>
          <w14:textFill>
            <w14:solidFill>
              <w14:schemeClr w14:val="tx1"/>
            </w14:solidFill>
          </w14:textFill>
        </w:rPr>
        <w:t>（一）</w:t>
      </w:r>
      <w:r>
        <w:rPr>
          <w:rFonts w:hint="eastAsia" w:ascii="黑体" w:eastAsia="黑体" w:cs="黑体"/>
          <w:color w:val="000000" w:themeColor="text1"/>
          <w:sz w:val="20"/>
          <w:szCs w:val="20"/>
          <w14:textFill>
            <w14:solidFill>
              <w14:schemeClr w14:val="tx1"/>
            </w14:solidFill>
          </w14:textFill>
        </w:rPr>
        <w:t>期间</w:t>
      </w:r>
      <w:r>
        <w:rPr>
          <w:rFonts w:ascii="黑体" w:eastAsia="黑体" w:cs="黑体"/>
          <w:color w:val="000000" w:themeColor="text1"/>
          <w:sz w:val="20"/>
          <w:szCs w:val="20"/>
          <w14:textFill>
            <w14:solidFill>
              <w14:schemeClr w14:val="tx1"/>
            </w14:solidFill>
          </w14:textFill>
        </w:rPr>
        <w:t>分配</w:t>
      </w:r>
    </w:p>
    <w:p w14:paraId="244E4B04">
      <w:pPr>
        <w:spacing w:line="300" w:lineRule="exact"/>
        <w:ind w:right="96" w:rightChars="40" w:firstLine="402" w:firstLineChars="20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无。</w:t>
      </w:r>
    </w:p>
    <w:p w14:paraId="2FCF4BB6">
      <w:pPr>
        <w:pStyle w:val="19"/>
        <w:numPr>
          <w:ilvl w:val="0"/>
          <w:numId w:val="0"/>
        </w:numPr>
        <w:spacing w:line="300" w:lineRule="exact"/>
        <w:ind w:right="96" w:rightChars="40" w:firstLine="420" w:firstLineChars="0"/>
        <w:rPr>
          <w:rFonts w:hint="eastAsia" w:ascii="黑体" w:eastAsia="黑体" w:cs="黑体"/>
          <w:color w:val="000000" w:themeColor="text1"/>
          <w:sz w:val="20"/>
          <w:szCs w:val="20"/>
          <w:lang w:eastAsia="zh-CN"/>
          <w14:textFill>
            <w14:solidFill>
              <w14:schemeClr w14:val="tx1"/>
            </w14:solidFill>
          </w14:textFill>
        </w:rPr>
      </w:pPr>
      <w:r>
        <w:rPr>
          <w:rFonts w:hint="eastAsia" w:ascii="黑体" w:eastAsia="黑体" w:cs="黑体"/>
          <w:color w:val="000000" w:themeColor="text1"/>
          <w:sz w:val="20"/>
          <w:szCs w:val="20"/>
          <w:lang w:eastAsia="zh-CN"/>
          <w14:textFill>
            <w14:solidFill>
              <w14:schemeClr w14:val="tx1"/>
            </w14:solidFill>
          </w14:textFill>
        </w:rPr>
        <w:t>（二）终止分配</w:t>
      </w:r>
    </w:p>
    <w:p w14:paraId="09F990D0">
      <w:pPr>
        <w:spacing w:line="300" w:lineRule="exact"/>
        <w:ind w:firstLine="400" w:firstLineChars="200"/>
        <w:jc w:val="both"/>
        <w:rPr>
          <w:rFonts w:hint="eastAsia" w:ascii="楷体_GB2312" w:eastAsia="楷体_GB2312" w:cs="楷体_GB2312"/>
          <w:sz w:val="20"/>
          <w:szCs w:val="20"/>
          <w:highlight w:val="none"/>
        </w:rPr>
      </w:pPr>
      <w:r>
        <w:rPr>
          <w:rFonts w:ascii="楷体_GB2312" w:eastAsia="楷体_GB2312" w:cs="楷体_GB2312"/>
          <w:sz w:val="20"/>
          <w:szCs w:val="20"/>
          <w:highlight w:val="none"/>
        </w:rPr>
        <w:t>1.</w:t>
      </w:r>
      <w:r>
        <w:rPr>
          <w:rFonts w:hint="eastAsia"/>
          <w:highlight w:val="none"/>
        </w:rPr>
        <w:t xml:space="preserve"> </w:t>
      </w:r>
      <w:r>
        <w:rPr>
          <w:rFonts w:hint="eastAsia" w:ascii="楷体_GB2312" w:eastAsia="楷体_GB2312" w:cs="楷体_GB2312"/>
          <w:sz w:val="20"/>
          <w:szCs w:val="20"/>
          <w:highlight w:val="none"/>
        </w:rPr>
        <w:t>本人</w:t>
      </w:r>
      <w:r>
        <w:rPr>
          <w:rFonts w:ascii="楷体_GB2312" w:eastAsia="楷体_GB2312" w:cs="楷体_GB2312"/>
          <w:sz w:val="20"/>
          <w:szCs w:val="20"/>
          <w:highlight w:val="none"/>
        </w:rPr>
        <w:t>/本单位确认，自愿同意并授权管理人代本人/本单位按照理财产品说明书中的约定，</w:t>
      </w:r>
      <w:r>
        <w:rPr>
          <w:rFonts w:ascii="楷体_GB2312" w:eastAsia="楷体_GB2312" w:cs="楷体_GB2312"/>
          <w:b/>
          <w:color w:val="FF0000"/>
          <w:sz w:val="20"/>
          <w:szCs w:val="20"/>
          <w:highlight w:val="none"/>
        </w:rPr>
        <w:t>在本产品到期日或提前终止日时，按照产品年化收益超过业绩比较基准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部分的【</w:t>
      </w:r>
      <w:r>
        <w:rPr>
          <w:rFonts w:hint="eastAsia" w:ascii="楷体_GB2312" w:eastAsia="楷体_GB2312" w:cs="楷体_GB2312"/>
          <w:b/>
          <w:color w:val="FF0000"/>
          <w:sz w:val="20"/>
          <w:szCs w:val="20"/>
          <w:highlight w:val="none"/>
          <w:lang w:val="en-US" w:eastAsia="zh-CN"/>
        </w:rPr>
        <w:t>5</w:t>
      </w:r>
      <w:r>
        <w:rPr>
          <w:rFonts w:ascii="楷体_GB2312" w:eastAsia="楷体_GB2312" w:cs="楷体_GB2312"/>
          <w:b/>
          <w:color w:val="FF0000"/>
          <w:sz w:val="20"/>
          <w:szCs w:val="20"/>
          <w:highlight w:val="none"/>
        </w:rPr>
        <w:t>0%】进行捐赠</w:t>
      </w:r>
      <w:r>
        <w:rPr>
          <w:rFonts w:ascii="楷体_GB2312" w:eastAsia="楷体_GB2312" w:cs="楷体_GB2312"/>
          <w:sz w:val="20"/>
          <w:szCs w:val="20"/>
          <w:highlight w:val="none"/>
        </w:rPr>
        <w:t>。在产品到期清算过程中，</w:t>
      </w:r>
      <w:r>
        <w:rPr>
          <w:rFonts w:ascii="楷体_GB2312" w:eastAsia="楷体_GB2312" w:cs="楷体_GB2312"/>
          <w:b/>
          <w:color w:val="FF0000"/>
          <w:sz w:val="20"/>
          <w:szCs w:val="20"/>
          <w:highlight w:val="none"/>
        </w:rPr>
        <w:t>如产品年化收益率超过业绩比较基准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，则按照超过业绩比较基准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部分的【</w:t>
      </w:r>
      <w:r>
        <w:rPr>
          <w:rFonts w:hint="eastAsia" w:ascii="楷体_GB2312" w:eastAsia="楷体_GB2312" w:cs="楷体_GB2312"/>
          <w:b/>
          <w:color w:val="FF0000"/>
          <w:sz w:val="20"/>
          <w:szCs w:val="20"/>
          <w:highlight w:val="none"/>
          <w:lang w:val="en-US" w:eastAsia="zh-CN"/>
        </w:rPr>
        <w:t>5</w:t>
      </w:r>
      <w:r>
        <w:rPr>
          <w:rFonts w:ascii="楷体_GB2312" w:eastAsia="楷体_GB2312" w:cs="楷体_GB2312"/>
          <w:b/>
          <w:color w:val="FF0000"/>
          <w:sz w:val="20"/>
          <w:szCs w:val="20"/>
          <w:highlight w:val="none"/>
        </w:rPr>
        <w:t>0%】进行捐赠。管理人将代投资者直接将捐赠金额以投资者名义捐赠至【</w:t>
      </w:r>
      <w:r>
        <w:rPr>
          <w:rFonts w:hint="eastAsia" w:ascii="楷体_GB2312" w:eastAsia="楷体_GB2312" w:cs="楷体_GB2312"/>
          <w:b/>
          <w:color w:val="FF0000"/>
          <w:sz w:val="20"/>
          <w:szCs w:val="20"/>
          <w:highlight w:val="none"/>
          <w:lang w:val="en-US" w:eastAsia="zh-CN"/>
        </w:rPr>
        <w:t>浙江省慈善联合总会</w:t>
      </w:r>
      <w:r>
        <w:rPr>
          <w:rFonts w:ascii="楷体_GB2312" w:eastAsia="楷体_GB2312" w:cs="楷体_GB2312"/>
          <w:b/>
          <w:color w:val="FF0000"/>
          <w:sz w:val="20"/>
          <w:szCs w:val="20"/>
          <w:highlight w:val="none"/>
        </w:rPr>
        <w:t>】（网址</w:t>
      </w:r>
      <w:r>
        <w:rPr>
          <w:rFonts w:hint="eastAsia" w:ascii="楷体_GB2312" w:eastAsia="楷体_GB2312" w:cs="楷体_GB2312"/>
          <w:b/>
          <w:color w:val="FF0000"/>
          <w:sz w:val="20"/>
          <w:szCs w:val="20"/>
          <w:highlight w:val="none"/>
          <w:lang w:val="en-US" w:eastAsia="zh-CN"/>
        </w:rPr>
        <w:t>https://www.zcf.org.cn</w:t>
      </w:r>
      <w:r>
        <w:rPr>
          <w:rFonts w:hint="eastAsia" w:ascii="楷体_GB2312" w:eastAsia="楷体_GB2312" w:cs="楷体_GB2312"/>
          <w:b/>
          <w:color w:val="FF0000"/>
          <w:sz w:val="20"/>
          <w:szCs w:val="20"/>
          <w:highlight w:val="none"/>
        </w:rPr>
        <w:t>，地方性公募基金会</w:t>
      </w:r>
      <w:r>
        <w:rPr>
          <w:rFonts w:ascii="楷体_GB2312" w:eastAsia="楷体_GB2312" w:cs="楷体_GB2312"/>
          <w:b/>
          <w:color w:val="FF0000"/>
          <w:sz w:val="20"/>
          <w:szCs w:val="20"/>
          <w:highlight w:val="none"/>
        </w:rPr>
        <w:t>）</w:t>
      </w:r>
      <w:r>
        <w:rPr>
          <w:rFonts w:ascii="楷体_GB2312" w:eastAsia="楷体_GB2312" w:cs="楷体_GB2312"/>
          <w:sz w:val="20"/>
          <w:szCs w:val="20"/>
          <w:highlight w:val="none"/>
        </w:rPr>
        <w:t>，产品到期后，投资者可通过产品销售机构或产品销售机构认可的其他方式申请办理相关捐赠证明，具体可详询【中信银行24小时</w:t>
      </w:r>
      <w:r>
        <w:rPr>
          <w:rFonts w:hint="eastAsia" w:ascii="楷体_GB2312" w:eastAsia="楷体_GB2312" w:cs="楷体_GB2312"/>
          <w:sz w:val="20"/>
          <w:szCs w:val="20"/>
          <w:highlight w:val="none"/>
        </w:rPr>
        <w:t>客户服务热线</w:t>
      </w:r>
      <w:r>
        <w:rPr>
          <w:rFonts w:ascii="楷体_GB2312" w:eastAsia="楷体_GB2312" w:cs="楷体_GB2312"/>
          <w:sz w:val="20"/>
          <w:szCs w:val="20"/>
          <w:highlight w:val="none"/>
        </w:rPr>
        <w:t>95558】【信银理财客户服务热线950950，工作时间为工作日8：30-20：30】。</w:t>
      </w:r>
      <w:r>
        <w:rPr>
          <w:rFonts w:ascii="楷体_GB2312" w:eastAsia="楷体_GB2312" w:cs="楷体_GB2312"/>
          <w:b/>
          <w:color w:val="FF0000"/>
          <w:sz w:val="20"/>
          <w:szCs w:val="20"/>
          <w:highlight w:val="none"/>
        </w:rPr>
        <w:t>投资者同意将捐赠金额的【</w:t>
      </w:r>
      <w:r>
        <w:rPr>
          <w:rFonts w:hint="eastAsia" w:ascii="楷体_GB2312" w:eastAsia="楷体_GB2312" w:cs="楷体_GB2312"/>
          <w:b/>
          <w:color w:val="FF0000"/>
          <w:sz w:val="20"/>
          <w:szCs w:val="20"/>
          <w:highlight w:val="none"/>
          <w:lang w:val="en-US" w:eastAsia="zh-CN"/>
        </w:rPr>
        <w:t>10</w:t>
      </w:r>
      <w:r>
        <w:rPr>
          <w:rFonts w:ascii="楷体_GB2312" w:eastAsia="楷体_GB2312" w:cs="楷体_GB2312"/>
          <w:b/>
          <w:color w:val="FF0000"/>
          <w:sz w:val="20"/>
          <w:szCs w:val="20"/>
          <w:highlight w:val="none"/>
        </w:rPr>
        <w:t>%】用于【</w:t>
      </w:r>
      <w:r>
        <w:rPr>
          <w:rFonts w:hint="eastAsia" w:ascii="楷体_GB2312" w:eastAsia="楷体_GB2312" w:cs="楷体_GB2312"/>
          <w:b/>
          <w:color w:val="FF0000"/>
          <w:sz w:val="20"/>
          <w:szCs w:val="20"/>
          <w:highlight w:val="none"/>
          <w:lang w:val="en-US" w:eastAsia="zh-CN"/>
        </w:rPr>
        <w:t>浙江省慈善联合总会</w:t>
      </w:r>
      <w:r>
        <w:rPr>
          <w:rFonts w:ascii="楷体_GB2312" w:eastAsia="楷体_GB2312" w:cs="楷体_GB2312"/>
          <w:b/>
          <w:color w:val="FF0000"/>
          <w:sz w:val="20"/>
          <w:szCs w:val="20"/>
          <w:highlight w:val="none"/>
        </w:rPr>
        <w:t>】管理费用</w:t>
      </w:r>
      <w:r>
        <w:rPr>
          <w:rFonts w:ascii="楷体_GB2312" w:eastAsia="楷体_GB2312" w:cs="楷体_GB2312"/>
          <w:sz w:val="20"/>
          <w:szCs w:val="20"/>
          <w:highlight w:val="none"/>
        </w:rPr>
        <w:t>，【</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】有权按照相关法律法规的要求，合理使用捐赠款项，但不得擅自改变捐赠款项用途。投资者知晓并同意本次慈善捐赠为不可撤销的赠与，投资者无权要求信银理财或【</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】返还捐赠款项。投资者同意并授权信银理财向【</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】提供【投资者姓名、身份证号、持有的理财产品份额、手机号码、邮箱地址】等信息以用于开具捐赠证明或</w:t>
      </w:r>
      <w:r>
        <w:rPr>
          <w:rFonts w:hint="eastAsia" w:ascii="楷体_GB2312" w:eastAsia="楷体_GB2312" w:cs="楷体_GB2312"/>
          <w:sz w:val="20"/>
          <w:szCs w:val="20"/>
          <w:highlight w:val="none"/>
        </w:rPr>
        <w:t>捐赠票据。</w:t>
      </w:r>
    </w:p>
    <w:p w14:paraId="09440C52">
      <w:pPr>
        <w:spacing w:line="300" w:lineRule="exact"/>
        <w:ind w:right="36" w:rightChars="15" w:firstLine="402" w:firstLineChars="200"/>
        <w:rPr>
          <w:rFonts w:hint="eastAsia" w:ascii="楷体_GB2312" w:eastAsia="楷体_GB2312" w:cs="楷体_GB2312"/>
          <w:b/>
          <w:sz w:val="20"/>
          <w:szCs w:val="20"/>
          <w:highlight w:val="none"/>
        </w:rPr>
      </w:pP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highlight w:val="none"/>
        </w:rPr>
        <w:t>善公益项目）。</w:t>
      </w:r>
    </w:p>
    <w:p w14:paraId="33905AC5">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本产品在扣除信银理财</w:t>
      </w:r>
      <w:r>
        <w:rPr>
          <w:rFonts w:ascii="楷体_GB2312" w:eastAsia="楷体_GB2312" w:cs="楷体_GB2312"/>
          <w:color w:val="000000" w:themeColor="text1"/>
          <w:sz w:val="20"/>
          <w:szCs w:val="20"/>
          <w14:textFill>
            <w14:solidFill>
              <w14:schemeClr w14:val="tx1"/>
            </w14:solidFill>
          </w14:textFill>
        </w:rPr>
        <w:t>应收取费用</w:t>
      </w:r>
      <w:r>
        <w:rPr>
          <w:rFonts w:hint="eastAsia" w:ascii="楷体_GB2312" w:eastAsia="楷体_GB2312" w:cs="楷体_GB2312"/>
          <w:color w:val="000000" w:themeColor="text1"/>
          <w:sz w:val="20"/>
          <w:szCs w:val="20"/>
          <w14:textFill>
            <w14:solidFill>
              <w14:schemeClr w14:val="tx1"/>
            </w14:solidFill>
          </w14:textFill>
        </w:rPr>
        <w:t>及其他应由产品承担的税费后的投资损益全部归属投资者。</w:t>
      </w:r>
    </w:p>
    <w:p w14:paraId="71F2C505">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后【5】个工作日内根据实际情况一次性分配，如遇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14:paraId="093A5882">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14:paraId="401EC0F6">
      <w:pPr>
        <w:spacing w:line="300" w:lineRule="exact"/>
        <w:jc w:val="both"/>
        <w:rPr>
          <w:rFonts w:ascii="楷体_GB2312" w:eastAsia="楷体_GB2312"/>
          <w:sz w:val="20"/>
          <w:szCs w:val="20"/>
          <w:highlight w:val="none"/>
        </w:rPr>
      </w:pPr>
      <w:r>
        <w:rPr>
          <w:rFonts w:hint="eastAsia" w:ascii="楷体_GB2312" w:eastAsia="楷体_GB2312" w:cs="楷体_GB2312"/>
          <w:sz w:val="20"/>
          <w:szCs w:val="20"/>
          <w:highlight w:val="none"/>
        </w:rPr>
        <w:t>投资者应得资金</w:t>
      </w:r>
      <w:r>
        <w:rPr>
          <w:rFonts w:ascii="楷体_GB2312" w:eastAsia="楷体_GB2312" w:cs="楷体_GB2312"/>
          <w:sz w:val="20"/>
          <w:szCs w:val="20"/>
          <w:highlight w:val="none"/>
        </w:rPr>
        <w:t>=</w:t>
      </w:r>
      <w:r>
        <w:rPr>
          <w:rFonts w:hint="eastAsia" w:ascii="楷体_GB2312" w:eastAsia="楷体_GB2312" w:cs="楷体_GB2312"/>
          <w:sz w:val="20"/>
          <w:szCs w:val="20"/>
          <w:highlight w:val="none"/>
        </w:rPr>
        <w:t>到期日产品可分配的总金额</w:t>
      </w:r>
      <w:r>
        <w:rPr>
          <w:rFonts w:ascii="楷体_GB2312" w:eastAsia="楷体_GB2312" w:cs="楷体_GB2312"/>
          <w:sz w:val="20"/>
          <w:szCs w:val="20"/>
          <w:highlight w:val="none"/>
        </w:rPr>
        <w:t>/产品的总份额*投资者的持有份额-投资者授权信银理财捐赠资金</w:t>
      </w:r>
      <w:r>
        <w:rPr>
          <w:rFonts w:hint="eastAsia" w:ascii="楷体_GB2312" w:eastAsia="楷体_GB2312" w:cs="楷体_GB2312"/>
          <w:sz w:val="20"/>
          <w:szCs w:val="20"/>
          <w:highlight w:val="none"/>
        </w:rPr>
        <w:t>（如有）</w:t>
      </w:r>
    </w:p>
    <w:p w14:paraId="38D9A039">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w:t>
      </w:r>
      <w:r>
        <w:rPr>
          <w:rFonts w:ascii="楷体_GB2312" w:eastAsia="楷体_GB2312" w:cs="楷体_GB2312"/>
          <w:color w:val="000000" w:themeColor="text1"/>
          <w:sz w:val="20"/>
          <w:szCs w:val="20"/>
          <w14:textFill>
            <w14:solidFill>
              <w14:schemeClr w14:val="tx1"/>
            </w14:solidFill>
          </w14:textFill>
        </w:rPr>
        <w:t>说明书</w:t>
      </w:r>
      <w:r>
        <w:rPr>
          <w:rFonts w:hint="eastAsia" w:ascii="楷体_GB2312" w:eastAsia="楷体_GB2312" w:cs="楷体_GB2312"/>
          <w:color w:val="000000" w:themeColor="text1"/>
          <w:sz w:val="20"/>
          <w:szCs w:val="20"/>
          <w14:textFill>
            <w14:solidFill>
              <w14:schemeClr w14:val="tx1"/>
            </w14:solidFill>
          </w14:textFill>
        </w:rPr>
        <w:t>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14:paraId="34A151F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14:paraId="3282966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p>
    <w:p w14:paraId="0B43CF77">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2.认购费</w:t>
      </w:r>
      <w:r>
        <w:rPr>
          <w:rFonts w:hint="eastAsia" w:ascii="楷体_GB2312" w:eastAsia="楷体_GB2312" w:cs="楷体_GB2312"/>
          <w:b/>
          <w:color w:val="000000"/>
          <w:sz w:val="20"/>
          <w:szCs w:val="20"/>
        </w:rPr>
        <w:t>：</w:t>
      </w:r>
      <w:r>
        <w:rPr>
          <w:rFonts w:ascii="楷体_GB2312" w:eastAsia="楷体_GB2312" w:cs="楷体_GB2312"/>
          <w:b/>
          <w:sz w:val="20"/>
          <w:szCs w:val="20"/>
        </w:rPr>
        <w:t>【B】类份额不收取认购费，【G】类份额不收取认购费，【M】类份额不收取认购费</w:t>
      </w:r>
      <w:r>
        <w:rPr>
          <w:rFonts w:hint="eastAsia" w:ascii="楷体_GB2312" w:eastAsia="楷体_GB2312" w:cs="楷体_GB2312"/>
          <w:b/>
          <w:sz w:val="20"/>
          <w:szCs w:val="20"/>
        </w:rPr>
        <w:t>。</w:t>
      </w:r>
    </w:p>
    <w:p w14:paraId="54618D6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3.销售服务费</w:t>
      </w:r>
    </w:p>
    <w:p w14:paraId="284BF5F7">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【B】类份额费率【0.15%】/年，【G】类份额费率【0.25%】/年，【M】类份额费率【0.05%】/年，计算方式为【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hint="eastAsia" w:ascii="楷体_GB2312" w:eastAsia="楷体_GB2312" w:cs="楷体_GB2312"/>
          <w:b/>
          <w:sz w:val="20"/>
          <w:szCs w:val="20"/>
        </w:rPr>
        <w:t>。</w:t>
      </w:r>
    </w:p>
    <w:p w14:paraId="55AFEBB0">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销售服务费每日计提，按【</w:t>
      </w:r>
      <w:r>
        <w:rPr>
          <w:rFonts w:hint="eastAsia" w:ascii="楷体_GB2312" w:eastAsia="楷体_GB2312" w:cs="楷体_GB2312"/>
          <w:b/>
          <w:sz w:val="20"/>
          <w:szCs w:val="20"/>
        </w:rPr>
        <w:t>季</w:t>
      </w:r>
      <w:r>
        <w:rPr>
          <w:rFonts w:ascii="楷体_GB2312" w:eastAsia="楷体_GB2312" w:cs="楷体_GB2312"/>
          <w:b/>
          <w:color w:val="000000"/>
          <w:sz w:val="20"/>
          <w:szCs w:val="20"/>
        </w:rPr>
        <w:t>】支付，由管理人向托管人发送指令，托管人复核后按【季】从资产中一次性支付。投资者通过代销机构购买理财产品的，代销机构收取的</w:t>
      </w:r>
      <w:r>
        <w:rPr>
          <w:rFonts w:hint="eastAsia" w:ascii="楷体_GB2312" w:eastAsia="楷体_GB2312" w:cs="楷体_GB2312"/>
          <w:b/>
          <w:color w:val="000000"/>
          <w:sz w:val="20"/>
          <w:szCs w:val="20"/>
        </w:rPr>
        <w:t>销售</w:t>
      </w:r>
      <w:r>
        <w:rPr>
          <w:rFonts w:ascii="楷体_GB2312" w:eastAsia="楷体_GB2312" w:cs="楷体_GB2312"/>
          <w:b/>
          <w:color w:val="000000"/>
          <w:sz w:val="20"/>
          <w:szCs w:val="20"/>
        </w:rPr>
        <w:t>相关费用以代销机构规定为准。</w:t>
      </w:r>
    </w:p>
    <w:p w14:paraId="7D1AECCA">
      <w:pPr>
        <w:spacing w:line="300" w:lineRule="exact"/>
        <w:ind w:firstLine="402" w:firstLineChars="200"/>
        <w:rPr>
          <w:rFonts w:ascii="楷体_GB2312" w:eastAsia="楷体_GB2312" w:cs="楷体_GB2312"/>
          <w:b/>
          <w:color w:val="000000"/>
          <w:sz w:val="20"/>
          <w:szCs w:val="20"/>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4.托管费</w:t>
      </w:r>
    </w:p>
    <w:p w14:paraId="2C84DF00">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费率【0.02%】/年，计算方式为【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hint="eastAsia" w:ascii="楷体_GB2312" w:eastAsia="楷体_GB2312" w:cs="楷体_GB2312"/>
          <w:b/>
          <w:sz w:val="20"/>
          <w:szCs w:val="20"/>
        </w:rPr>
        <w:t>。</w:t>
      </w:r>
    </w:p>
    <w:p w14:paraId="61F79A12">
      <w:pPr>
        <w:snapToGrid w:val="0"/>
        <w:spacing w:line="300" w:lineRule="exact"/>
        <w:ind w:firstLine="402" w:firstLineChars="200"/>
        <w:outlineLvl w:val="0"/>
        <w:rPr>
          <w:rFonts w:ascii="楷体_GB2312" w:eastAsia="楷体_GB2312"/>
          <w:b/>
          <w:color w:val="000000"/>
          <w:sz w:val="20"/>
          <w:szCs w:val="20"/>
        </w:rPr>
      </w:pPr>
      <w:r>
        <w:rPr>
          <w:rFonts w:ascii="楷体_GB2312" w:eastAsia="楷体_GB2312" w:cs="楷体_GB2312"/>
          <w:b/>
          <w:color w:val="000000"/>
          <w:sz w:val="20"/>
          <w:szCs w:val="20"/>
        </w:rPr>
        <w:t>托管费每日计提，按【</w:t>
      </w:r>
      <w:r>
        <w:rPr>
          <w:rFonts w:hint="eastAsia" w:ascii="楷体_GB2312" w:eastAsia="楷体_GB2312" w:cs="楷体_GB2312"/>
          <w:b/>
          <w:color w:val="000000"/>
          <w:sz w:val="20"/>
          <w:szCs w:val="20"/>
        </w:rPr>
        <w:t>年</w:t>
      </w:r>
      <w:r>
        <w:rPr>
          <w:rFonts w:ascii="楷体_GB2312" w:eastAsia="楷体_GB2312" w:cs="楷体_GB2312"/>
          <w:b/>
          <w:color w:val="000000"/>
          <w:sz w:val="20"/>
          <w:szCs w:val="20"/>
        </w:rPr>
        <w:t>】支付，由管理人向托管人发送指令，托管人复核后从资产中一次性支付。</w:t>
      </w:r>
    </w:p>
    <w:p w14:paraId="015FAA49">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5.固定管理费</w:t>
      </w:r>
    </w:p>
    <w:p w14:paraId="0B9B6D7F">
      <w:pPr>
        <w:snapToGrid w:val="0"/>
        <w:spacing w:line="300" w:lineRule="exact"/>
        <w:ind w:firstLine="402" w:firstLineChars="200"/>
        <w:outlineLvl w:val="0"/>
        <w:rPr>
          <w:rFonts w:ascii="楷体_GB2312" w:eastAsia="楷体_GB2312"/>
          <w:b/>
          <w:sz w:val="20"/>
          <w:szCs w:val="20"/>
        </w:rPr>
      </w:pPr>
      <w:r>
        <w:rPr>
          <w:rFonts w:hint="eastAsia" w:ascii="楷体_GB2312" w:eastAsia="楷体_GB2312" w:cs="楷体_GB2312"/>
          <w:b/>
          <w:sz w:val="20"/>
          <w:szCs w:val="20"/>
        </w:rPr>
        <w:t>费率【</w:t>
      </w:r>
      <w:r>
        <w:rPr>
          <w:rFonts w:ascii="楷体_GB2312" w:eastAsia="楷体_GB2312" w:cs="楷体_GB2312"/>
          <w:b/>
          <w:sz w:val="20"/>
          <w:szCs w:val="20"/>
        </w:rPr>
        <w:t>0.05%】/年，计算方式为【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hint="eastAsia" w:ascii="楷体_GB2312" w:eastAsia="楷体_GB2312" w:cs="楷体_GB2312"/>
          <w:b/>
          <w:sz w:val="20"/>
          <w:szCs w:val="20"/>
        </w:rPr>
        <w:t>。</w:t>
      </w:r>
    </w:p>
    <w:p w14:paraId="60C301C7">
      <w:pPr>
        <w:snapToGrid w:val="0"/>
        <w:spacing w:line="300" w:lineRule="exact"/>
        <w:ind w:left="-2" w:leftChars="-1" w:firstLine="402" w:firstLineChars="200"/>
        <w:outlineLvl w:val="0"/>
        <w:rPr>
          <w:rFonts w:ascii="楷体_GB2312" w:eastAsia="楷体_GB2312"/>
          <w:b/>
          <w:sz w:val="20"/>
          <w:szCs w:val="20"/>
        </w:rPr>
      </w:pPr>
      <w:r>
        <w:rPr>
          <w:rFonts w:hint="eastAsia" w:ascii="楷体_GB2312" w:eastAsia="楷体_GB2312" w:cs="楷体_GB2312"/>
          <w:b/>
          <w:sz w:val="20"/>
          <w:szCs w:val="20"/>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6.浮动管理费</w:t>
      </w:r>
    </w:p>
    <w:p w14:paraId="7A7D75F7">
      <w:pPr>
        <w:snapToGrid w:val="0"/>
        <w:spacing w:line="300" w:lineRule="exact"/>
        <w:ind w:right="96" w:rightChars="40" w:firstLine="402" w:firstLineChars="20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B</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497DF36E">
      <w:pPr>
        <w:snapToGrid w:val="0"/>
        <w:spacing w:line="300" w:lineRule="exact"/>
        <w:ind w:right="96" w:rightChars="40" w:firstLine="402" w:firstLineChars="20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G</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29F469F9">
      <w:pPr>
        <w:snapToGrid w:val="0"/>
        <w:spacing w:line="300" w:lineRule="exact"/>
        <w:ind w:right="96" w:rightChars="40" w:firstLine="402" w:firstLineChars="200"/>
        <w:outlineLvl w:val="0"/>
        <w:rPr>
          <w:rFonts w:ascii="楷体_GB2312" w:eastAsia="楷体_GB2312" w:cs="楷体_GB2312"/>
          <w:b/>
          <w:color w:val="000000"/>
          <w:sz w:val="20"/>
          <w:szCs w:val="20"/>
        </w:rPr>
      </w:pPr>
      <w:r>
        <w:rPr>
          <w:rFonts w:hint="eastAsia" w:ascii="楷体_GB2312" w:eastAsia="楷体_GB2312"/>
          <w:b/>
          <w:sz w:val="20"/>
          <w:szCs w:val="20"/>
          <w:highlight w:val="none"/>
          <w:lang w:val="en-US" w:eastAsia="zh-CN"/>
        </w:rPr>
        <w:t>M</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45CA16D2">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7.产品运作和清算中产生的其他资金汇划费、结算费、交易手续费、注册登记费、信息披露费、账户服务费、审计费、律师费</w:t>
      </w:r>
      <w:r>
        <w:rPr>
          <w:rFonts w:hint="eastAsia" w:ascii="楷体_GB2312" w:eastAsia="楷体_GB2312" w:cs="楷体_GB2312"/>
          <w:b/>
          <w:color w:val="000000"/>
          <w:sz w:val="20"/>
          <w:szCs w:val="20"/>
        </w:rPr>
        <w:t>、因投资资产而产生的资产推荐服务费等相关费用</w:t>
      </w:r>
      <w:r>
        <w:rPr>
          <w:rFonts w:ascii="楷体_GB2312" w:eastAsia="楷体_GB2312" w:cs="楷体_GB2312"/>
          <w:b/>
          <w:color w:val="000000"/>
          <w:sz w:val="20"/>
          <w:szCs w:val="20"/>
        </w:rPr>
        <w:t>及按照法律法规规章规定和理财产品销售文件约定应由产品承担的费用等，按照实际发生时从产品资产中列支。</w:t>
      </w:r>
    </w:p>
    <w:p w14:paraId="284F0913">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14:textFill>
            <w14:solidFill>
              <w14:schemeClr w14:val="tx1"/>
            </w14:solidFill>
          </w14:textFill>
        </w:rPr>
      </w:pPr>
    </w:p>
    <w:p w14:paraId="79F8174C">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九、资产估值</w:t>
      </w:r>
    </w:p>
    <w:p w14:paraId="1AB5D47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14:paraId="773AD8D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净值披露日和收益分配日</w:t>
      </w:r>
      <w:r>
        <w:rPr>
          <w:rFonts w:ascii="楷体_GB2312" w:eastAsia="楷体_GB2312" w:cs="楷体_GB2312"/>
          <w:color w:val="000000" w:themeColor="text1"/>
          <w:sz w:val="20"/>
          <w:szCs w:val="20"/>
          <w14:textFill>
            <w14:solidFill>
              <w14:schemeClr w14:val="tx1"/>
            </w14:solidFill>
          </w14:textFill>
        </w:rPr>
        <w:t>。</w:t>
      </w:r>
    </w:p>
    <w:p w14:paraId="57A19E3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14:paraId="6EB8E0C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14:paraId="3F0DE640">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14:paraId="15E45F74">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 xml:space="preserve">5）非上市股权估值 </w:t>
      </w:r>
    </w:p>
    <w:p w14:paraId="59D6180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错误的处理</w:t>
      </w:r>
    </w:p>
    <w:p w14:paraId="6ECABD3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eastAsia="楷体_GB2312" w:cs="楷体_GB2312"/>
          <w:color w:val="000000" w:themeColor="text1"/>
          <w:sz w:val="20"/>
          <w:szCs w:val="20"/>
          <w14:textFill>
            <w14:solidFill>
              <w14:schemeClr w14:val="tx1"/>
            </w14:solidFill>
          </w14:textFill>
        </w:rPr>
        <w:t>托管人</w:t>
      </w:r>
      <w:r>
        <w:rPr>
          <w:rFonts w:hint="eastAsia" w:ascii="楷体_GB2312" w:eastAsia="楷体_GB2312" w:cs="楷体_GB2312"/>
          <w:color w:val="000000" w:themeColor="text1"/>
          <w:sz w:val="20"/>
          <w:szCs w:val="20"/>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val="000000" w:themeColor="text1"/>
          <w:sz w:val="20"/>
          <w:szCs w:val="20"/>
          <w14:textFill>
            <w14:solidFill>
              <w14:schemeClr w14:val="tx1"/>
            </w14:solidFill>
          </w14:textFill>
        </w:rPr>
        <w:t>应当积极采取必要措施消除</w:t>
      </w:r>
      <w:r>
        <w:rPr>
          <w:rFonts w:hint="eastAsia" w:ascii="楷体_GB2312" w:eastAsia="楷体_GB2312"/>
          <w:color w:val="000000" w:themeColor="text1"/>
          <w:sz w:val="20"/>
          <w:szCs w:val="20"/>
          <w14:textFill>
            <w14:solidFill>
              <w14:schemeClr w14:val="tx1"/>
            </w14:solidFill>
          </w14:textFill>
        </w:rPr>
        <w:t>差错</w:t>
      </w:r>
      <w:r>
        <w:rPr>
          <w:rFonts w:ascii="楷体_GB2312" w:eastAsia="楷体_GB2312"/>
          <w:color w:val="000000" w:themeColor="text1"/>
          <w:sz w:val="20"/>
          <w:szCs w:val="20"/>
          <w14:textFill>
            <w14:solidFill>
              <w14:schemeClr w14:val="tx1"/>
            </w14:solidFill>
          </w14:textFill>
        </w:rPr>
        <w:t>带来的影响</w:t>
      </w:r>
      <w:r>
        <w:rPr>
          <w:rFonts w:hint="eastAsia" w:ascii="楷体_GB2312" w:eastAsia="楷体_GB2312"/>
          <w:color w:val="000000" w:themeColor="text1"/>
          <w:sz w:val="20"/>
          <w:szCs w:val="20"/>
          <w14:textFill>
            <w14:solidFill>
              <w14:schemeClr w14:val="tx1"/>
            </w14:solidFill>
          </w14:textFill>
        </w:rPr>
        <w:t>。</w:t>
      </w:r>
    </w:p>
    <w:p w14:paraId="548BA121">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w:t>
      </w:r>
      <w:r>
        <w:rPr>
          <w:rFonts w:hint="eastAsia" w:ascii="楷体_GB2312" w:eastAsia="楷体_GB2312"/>
          <w:color w:val="000000" w:themeColor="text1"/>
          <w:sz w:val="20"/>
          <w:szCs w:val="20"/>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w:t>
      </w:r>
      <w:r>
        <w:rPr>
          <w:rFonts w:hint="eastAsia" w:ascii="楷体_GB2312" w:eastAsia="楷体_GB2312"/>
          <w:color w:val="000000" w:themeColor="text1"/>
          <w:sz w:val="20"/>
          <w:szCs w:val="20"/>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查明估值错误发生的原因，列明所有的管理人和托管人并根据估值错误发生的原因确定估值错误的责任方。</w:t>
      </w:r>
    </w:p>
    <w:p w14:paraId="47F684A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根据估值错误处理原则对因估值错误造成的损失进行评估。</w:t>
      </w:r>
    </w:p>
    <w:p w14:paraId="3C76DF0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．暂停</w:t>
      </w:r>
      <w:r>
        <w:rPr>
          <w:rFonts w:ascii="楷体_GB2312" w:eastAsia="楷体_GB2312" w:cs="楷体_GB2312"/>
          <w:color w:val="000000" w:themeColor="text1"/>
          <w:sz w:val="20"/>
          <w:szCs w:val="20"/>
          <w14:textFill>
            <w14:solidFill>
              <w14:schemeClr w14:val="tx1"/>
            </w14:solidFill>
          </w14:textFill>
        </w:rPr>
        <w:t>估值的情形</w:t>
      </w:r>
    </w:p>
    <w:p w14:paraId="3714930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14:paraId="4C1B57F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14:paraId="361976D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w:t>
      </w:r>
      <w:r>
        <w:rPr>
          <w:rFonts w:ascii="楷体_GB2312" w:eastAsia="楷体_GB2312" w:cs="楷体_GB2312"/>
          <w:color w:val="000000" w:themeColor="text1"/>
          <w:sz w:val="20"/>
          <w:szCs w:val="20"/>
          <w14:textFill>
            <w14:solidFill>
              <w14:schemeClr w14:val="tx1"/>
            </w14:solidFill>
          </w14:textFill>
        </w:rPr>
        <w:t>以上情形，</w:t>
      </w:r>
      <w:r>
        <w:rPr>
          <w:rFonts w:hint="eastAsia" w:ascii="楷体_GB2312" w:eastAsia="楷体_GB2312" w:cs="楷体_GB2312"/>
          <w:color w:val="000000" w:themeColor="text1"/>
          <w:sz w:val="20"/>
          <w:szCs w:val="20"/>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14:paraId="22FDF408">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十、产品不成立</w:t>
      </w:r>
    </w:p>
    <w:p w14:paraId="5A45DF60">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14:paraId="37899C85">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w:t>
      </w:r>
      <w:r>
        <w:rPr>
          <w:rFonts w:ascii="楷体_GB2312" w:eastAsia="楷体_GB2312" w:cs="楷体_GB2312"/>
          <w:color w:val="000000" w:themeColor="text1"/>
          <w:sz w:val="20"/>
          <w:szCs w:val="20"/>
          <w14:textFill>
            <w14:solidFill>
              <w14:schemeClr w14:val="tx1"/>
            </w14:solidFill>
          </w14:textFill>
        </w:rPr>
        <w:t>通过代销机构渠道购买</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产品的，</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本金</w:t>
      </w:r>
      <w:r>
        <w:rPr>
          <w:rFonts w:hint="eastAsia" w:ascii="楷体_GB2312" w:eastAsia="楷体_GB2312" w:cs="楷体_GB2312"/>
          <w:color w:val="000000" w:themeColor="text1"/>
          <w:sz w:val="20"/>
          <w:szCs w:val="20"/>
          <w14:textFill>
            <w14:solidFill>
              <w14:schemeClr w14:val="tx1"/>
            </w14:solidFill>
          </w14:textFill>
        </w:rPr>
        <w:t>划转至</w:t>
      </w:r>
      <w:r>
        <w:rPr>
          <w:rFonts w:ascii="楷体_GB2312" w:eastAsia="楷体_GB2312" w:cs="楷体_GB2312"/>
          <w:color w:val="000000" w:themeColor="text1"/>
          <w:sz w:val="20"/>
          <w:szCs w:val="20"/>
          <w14:textFill>
            <w14:solidFill>
              <w14:schemeClr w14:val="tx1"/>
            </w14:solidFill>
          </w14:textFill>
        </w:rPr>
        <w:t>投资者账户的时间以代销机构</w:t>
      </w:r>
      <w:r>
        <w:rPr>
          <w:rFonts w:hint="eastAsia" w:ascii="楷体_GB2312" w:eastAsia="楷体_GB2312" w:cs="楷体_GB2312"/>
          <w:color w:val="000000" w:themeColor="text1"/>
          <w:sz w:val="20"/>
          <w:szCs w:val="20"/>
          <w14:textFill>
            <w14:solidFill>
              <w14:schemeClr w14:val="tx1"/>
            </w14:solidFill>
          </w14:textFill>
        </w:rPr>
        <w:t>清算</w:t>
      </w:r>
      <w:r>
        <w:rPr>
          <w:rFonts w:ascii="楷体_GB2312" w:eastAsia="楷体_GB2312" w:cs="楷体_GB2312"/>
          <w:color w:val="000000" w:themeColor="text1"/>
          <w:sz w:val="20"/>
          <w:szCs w:val="20"/>
          <w14:textFill>
            <w14:solidFill>
              <w14:schemeClr w14:val="tx1"/>
            </w14:solidFill>
          </w14:textFill>
        </w:rPr>
        <w:t>时间为准。</w:t>
      </w:r>
    </w:p>
    <w:p w14:paraId="24DC171A">
      <w:pPr>
        <w:snapToGrid w:val="0"/>
        <w:ind w:left="-2" w:leftChars="-1" w:right="53" w:rightChars="22"/>
        <w:rPr>
          <w:color w:val="000000" w:themeColor="text1"/>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7582A71E">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十一、产品的提前终止</w:t>
      </w:r>
    </w:p>
    <w:p w14:paraId="40D67254">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1．</w:t>
      </w:r>
      <w:r>
        <w:rPr>
          <w:rFonts w:hint="eastAsia" w:ascii="楷体_GB2312" w:eastAsia="楷体_GB2312" w:cs="楷体_GB2312"/>
          <w:color w:val="000000"/>
          <w:sz w:val="20"/>
          <w:szCs w:val="20"/>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（1）遇不可</w:t>
      </w:r>
      <w:r>
        <w:rPr>
          <w:rFonts w:ascii="楷体_GB2312" w:eastAsia="楷体_GB2312" w:cs="楷体_GB2312"/>
          <w:color w:val="000000"/>
          <w:sz w:val="20"/>
          <w:szCs w:val="20"/>
        </w:rPr>
        <w:t>抗力事件</w:t>
      </w:r>
      <w:r>
        <w:rPr>
          <w:rFonts w:hint="eastAsia" w:ascii="楷体_GB2312" w:eastAsia="楷体_GB2312" w:cs="楷体_GB2312"/>
          <w:color w:val="000000"/>
          <w:sz w:val="20"/>
          <w:szCs w:val="20"/>
        </w:rPr>
        <w:t>、</w:t>
      </w:r>
      <w:r>
        <w:rPr>
          <w:rFonts w:ascii="楷体_GB2312" w:eastAsia="楷体_GB2312" w:cs="楷体_GB2312"/>
          <w:color w:val="000000"/>
          <w:sz w:val="20"/>
          <w:szCs w:val="20"/>
        </w:rPr>
        <w:t>法律法规</w:t>
      </w:r>
      <w:r>
        <w:rPr>
          <w:rFonts w:hint="eastAsia" w:ascii="楷体_GB2312" w:eastAsia="楷体_GB2312" w:cs="楷体_GB2312"/>
          <w:color w:val="000000"/>
          <w:sz w:val="20"/>
          <w:szCs w:val="20"/>
        </w:rPr>
        <w:t>规定、</w:t>
      </w:r>
      <w:r>
        <w:rPr>
          <w:rFonts w:ascii="楷体_GB2312" w:eastAsia="楷体_GB2312" w:cs="楷体_GB2312"/>
          <w:color w:val="000000"/>
          <w:sz w:val="20"/>
          <w:szCs w:val="20"/>
        </w:rPr>
        <w:t>国家有权机关强制要求等原因导致理财产品无法继续存续</w:t>
      </w:r>
      <w:r>
        <w:rPr>
          <w:rFonts w:hint="eastAsia" w:ascii="楷体_GB2312" w:eastAsia="楷体_GB2312" w:cs="楷体_GB2312"/>
          <w:color w:val="000000"/>
          <w:sz w:val="20"/>
          <w:szCs w:val="20"/>
        </w:rPr>
        <w:t>的；</w:t>
      </w:r>
    </w:p>
    <w:p w14:paraId="7011ECB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（2）遇国家金融政策出现重大调整，或本产品所投资资产市场价格大幅下滑，或信银理财认为将</w:t>
      </w:r>
      <w:r>
        <w:rPr>
          <w:rFonts w:ascii="楷体_GB2312" w:eastAsia="楷体_GB2312" w:cs="楷体_GB2312"/>
          <w:color w:val="000000"/>
          <w:sz w:val="20"/>
          <w:szCs w:val="20"/>
        </w:rPr>
        <w:t>影响理财产品正常运作</w:t>
      </w:r>
      <w:r>
        <w:rPr>
          <w:rFonts w:hint="eastAsia" w:ascii="楷体_GB2312" w:eastAsia="楷体_GB2312" w:cs="楷体_GB2312"/>
          <w:color w:val="000000"/>
          <w:sz w:val="20"/>
          <w:szCs w:val="20"/>
        </w:rPr>
        <w:t>、需要提前终止本产品的其他情形的；</w:t>
      </w:r>
    </w:p>
    <w:p w14:paraId="325B0620">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（3）本产品所投资资产的信用状况发生恶化，信银理财合理判断可能影响到期正常兑付时；</w:t>
      </w:r>
    </w:p>
    <w:p w14:paraId="2517BBD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（7）提前终止产品比维持产品运作更有利于保护产品持有人的权益；</w:t>
      </w:r>
    </w:p>
    <w:p w14:paraId="5FD66643">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（8）法律法规规定或监管部门认定的其他情形。</w:t>
      </w:r>
    </w:p>
    <w:p w14:paraId="23DB911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w:t>
      </w:r>
      <w:r>
        <w:rPr>
          <w:rFonts w:ascii="楷体_GB2312" w:eastAsia="楷体_GB2312" w:cs="楷体_GB2312"/>
          <w:color w:val="000000"/>
          <w:sz w:val="20"/>
          <w:szCs w:val="20"/>
        </w:rPr>
        <w:t>．</w:t>
      </w:r>
      <w:r>
        <w:rPr>
          <w:rFonts w:hint="eastAsia" w:ascii="楷体_GB2312" w:eastAsia="楷体_GB2312" w:cs="楷体_GB2312"/>
          <w:color w:val="000000"/>
          <w:sz w:val="20"/>
          <w:szCs w:val="20"/>
        </w:rPr>
        <w:t>如果信银理财提前终止本理财产品，信银理财将于提前终止日前【2】个工作日通知投资者，并在提前终止日后【5】个工作日内支付投资者应得</w:t>
      </w:r>
      <w:r>
        <w:rPr>
          <w:rFonts w:ascii="楷体_GB2312" w:eastAsia="楷体_GB2312" w:cs="楷体_GB2312"/>
          <w:color w:val="000000"/>
          <w:sz w:val="20"/>
          <w:szCs w:val="20"/>
        </w:rPr>
        <w:t>资金</w:t>
      </w:r>
      <w:r>
        <w:rPr>
          <w:rFonts w:hint="eastAsia" w:ascii="楷体_GB2312" w:eastAsia="楷体_GB2312" w:cs="楷体_GB2312"/>
          <w:color w:val="000000"/>
          <w:sz w:val="20"/>
          <w:szCs w:val="20"/>
        </w:rPr>
        <w:t>。投资者通过</w:t>
      </w:r>
      <w:r>
        <w:rPr>
          <w:rFonts w:ascii="楷体_GB2312" w:eastAsia="楷体_GB2312" w:cs="楷体_GB2312"/>
          <w:color w:val="000000"/>
          <w:sz w:val="20"/>
          <w:szCs w:val="20"/>
        </w:rPr>
        <w:t>代销机构购买本理财产品的</w:t>
      </w:r>
      <w:r>
        <w:rPr>
          <w:rFonts w:hint="eastAsia" w:ascii="楷体_GB2312" w:eastAsia="楷体_GB2312" w:cs="楷体_GB2312"/>
          <w:color w:val="000000"/>
          <w:sz w:val="20"/>
          <w:szCs w:val="20"/>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w:t>
      </w:r>
      <w:r>
        <w:rPr>
          <w:rFonts w:ascii="楷体_GB2312" w:eastAsia="楷体_GB2312" w:cs="楷体_GB2312"/>
          <w:color w:val="000000"/>
          <w:sz w:val="20"/>
          <w:szCs w:val="20"/>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eastAsia="楷体_GB2312" w:cs="楷体_GB2312"/>
          <w:color w:val="000000"/>
          <w:sz w:val="20"/>
          <w:szCs w:val="20"/>
        </w:rPr>
      </w:pPr>
    </w:p>
    <w:p w14:paraId="001E63B7">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十二、产品的延期清算</w:t>
      </w:r>
    </w:p>
    <w:p w14:paraId="6D0591B2">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hAnsi="Times New Roman" w:eastAsia="楷体_GB2312" w:cs="楷体_GB2312"/>
          <w:color w:val="000000" w:themeColor="text1"/>
          <w:sz w:val="20"/>
          <w:szCs w:val="20"/>
          <w14:textFill>
            <w14:solidFill>
              <w14:schemeClr w14:val="tx1"/>
            </w14:solidFill>
          </w14:textFill>
        </w:rPr>
      </w:pPr>
    </w:p>
    <w:p w14:paraId="0782545B">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十三、产品管理人与投资者权利义务</w:t>
      </w:r>
    </w:p>
    <w:p w14:paraId="45CF0B5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产品管理人声明与保证</w:t>
      </w:r>
    </w:p>
    <w:p w14:paraId="3351CF72">
      <w:pPr>
        <w:snapToGrid w:val="0"/>
        <w:ind w:right="53" w:rightChars="22" w:firstLine="428" w:firstLineChars="213"/>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14:paraId="19A18BD7">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14:paraId="7085C45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投资者声明与保证</w:t>
      </w:r>
    </w:p>
    <w:p w14:paraId="7A2827A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，不存在法律、行政法规有关规定禁止或限制投资理财产品的情形（适用于个人投资者）。</w:t>
      </w:r>
    </w:p>
    <w:p w14:paraId="777AF03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所需的一切有关批准、许可、备案或者登记。（适用于机构投资者）；</w:t>
      </w:r>
    </w:p>
    <w:p w14:paraId="1A9A2C09">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14:paraId="2793902D">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14:paraId="675D344A">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14:paraId="21D1EF66">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ascii="Times New Roman" w:hAnsi="Times New Roman" w:eastAsia="楷体_GB2312" w:cs="楷体_GB2312"/>
          <w:b/>
          <w:color w:val="000000" w:themeColor="text1"/>
          <w:sz w:val="20"/>
          <w:szCs w:val="20"/>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项下理财产品从事违法活动；</w:t>
      </w:r>
    </w:p>
    <w:p w14:paraId="42C0B570">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32EA1141">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14:paraId="7F6A09A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双方同意</w:t>
      </w:r>
    </w:p>
    <w:p w14:paraId="1CFE977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项下的任何权利、利益、权益（包括单独和整体）；</w:t>
      </w:r>
    </w:p>
    <w:p w14:paraId="1D3314DF">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left="402" w:right="29" w:rightChars="12" w:hanging="402" w:hangingChars="200"/>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2ACD857F">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十四、保密</w:t>
      </w:r>
      <w:r>
        <w:rPr>
          <w:rFonts w:ascii="黑体" w:eastAsia="黑体" w:cs="黑体"/>
          <w:b/>
          <w:color w:val="000000" w:themeColor="text1"/>
          <w:sz w:val="20"/>
          <w:szCs w:val="20"/>
          <w14:textFill>
            <w14:solidFill>
              <w14:schemeClr w14:val="tx1"/>
            </w14:solidFill>
          </w14:textFill>
        </w:rPr>
        <w:t>条款</w:t>
      </w:r>
    </w:p>
    <w:p w14:paraId="0263DDBD">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3．根据监管机构要求，管理人（特指除本理财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5867CDC8">
      <w:pPr>
        <w:spacing w:line="300" w:lineRule="exact"/>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sz w:val="20"/>
          <w:szCs w:val="20"/>
          <w:highlight w:val="none"/>
        </w:rPr>
        <w:t>4.</w:t>
      </w:r>
      <w:r>
        <w:rPr>
          <w:highlight w:val="none"/>
        </w:rPr>
        <w:t xml:space="preserve"> </w:t>
      </w:r>
      <w:r>
        <w:rPr>
          <w:rFonts w:hint="eastAsia" w:ascii="Times New Roman" w:hAnsi="Times New Roman" w:eastAsia="楷体_GB2312" w:cs="楷体_GB2312"/>
          <w:b/>
          <w:sz w:val="20"/>
          <w:szCs w:val="20"/>
          <w:highlight w:val="none"/>
        </w:rPr>
        <w:t>投资者同意并授权信银理财向【</w:t>
      </w:r>
      <w:r>
        <w:rPr>
          <w:rFonts w:hint="eastAsia" w:ascii="Times New Roman" w:hAnsi="Times New Roman" w:eastAsia="楷体_GB2312" w:cs="楷体_GB2312"/>
          <w:b/>
          <w:sz w:val="20"/>
          <w:szCs w:val="20"/>
          <w:highlight w:val="none"/>
          <w:lang w:val="en-US" w:eastAsia="zh-CN"/>
        </w:rPr>
        <w:t>浙江省慈善联合总会</w:t>
      </w:r>
      <w:r>
        <w:rPr>
          <w:rFonts w:hint="eastAsia" w:ascii="Times New Roman" w:hAnsi="Times New Roman" w:eastAsia="楷体_GB2312" w:cs="楷体_GB2312"/>
          <w:b/>
          <w:sz w:val="20"/>
          <w:szCs w:val="20"/>
          <w:highlight w:val="none"/>
        </w:rPr>
        <w:t>】提供【投资者姓名、身份证号、持有的理财产品份额、手机号码、邮箱地址】等信息仅用于开具捐赠证明或捐赠票据。</w:t>
      </w:r>
    </w:p>
    <w:p w14:paraId="78906FC4">
      <w:pPr>
        <w:spacing w:line="300" w:lineRule="exact"/>
        <w:ind w:left="2" w:right="29" w:rightChars="12" w:firstLine="282" w:firstLineChars="141"/>
        <w:rPr>
          <w:rFonts w:ascii="Times New Roman" w:hAnsi="Times New Roman" w:eastAsia="楷体_GB2312" w:cs="楷体_GB2312"/>
          <w:color w:val="000000" w:themeColor="text1"/>
          <w:sz w:val="20"/>
          <w:szCs w:val="20"/>
          <w:highlight w:val="none"/>
          <w14:textFill>
            <w14:solidFill>
              <w14:schemeClr w14:val="tx1"/>
            </w14:solidFill>
          </w14:textFill>
        </w:rPr>
      </w:pPr>
    </w:p>
    <w:p w14:paraId="1F461DD7">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十五、特别提示</w:t>
      </w:r>
    </w:p>
    <w:p w14:paraId="0293E191">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3F3FBC90">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登录信银理财网站【http://www.citic-wealth.com/】进行查询。 信银理财将安排专人及时收集客户投诉，并在收到客户投诉的第一时间内与客户取得联系，及时处理并进行反馈。投资者通过代销机构购买理财产品的，可按照代销机构提供的联系方式反馈信息、咨询和投诉。</w:t>
      </w:r>
    </w:p>
    <w:p w14:paraId="450D0CF7">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14:paraId="7618DAD9">
      <w:pPr>
        <w:spacing w:line="300" w:lineRule="exact"/>
        <w:ind w:left="-2" w:firstLine="402" w:firstLineChars="200"/>
        <w:jc w:val="both"/>
        <w:rPr>
          <w:rFonts w:ascii="楷体_GB2312" w:eastAsia="楷体_GB2312"/>
          <w:sz w:val="20"/>
          <w:szCs w:val="20"/>
          <w:highlight w:val="none"/>
        </w:rPr>
      </w:pPr>
      <w:r>
        <w:rPr>
          <w:rFonts w:ascii="楷体_GB2312" w:eastAsia="楷体_GB2312"/>
          <w:b/>
          <w:bCs/>
          <w:sz w:val="20"/>
          <w:szCs w:val="20"/>
          <w:highlight w:val="none"/>
        </w:rPr>
        <w:t>6.</w:t>
      </w:r>
      <w:r>
        <w:rPr>
          <w:b/>
          <w:bCs/>
          <w:highlight w:val="none"/>
        </w:rPr>
        <w:t xml:space="preserve"> </w:t>
      </w:r>
      <w:r>
        <w:rPr>
          <w:rFonts w:hint="eastAsia" w:ascii="楷体_GB2312" w:eastAsia="楷体_GB2312"/>
          <w:b/>
          <w:sz w:val="20"/>
          <w:szCs w:val="20"/>
          <w:highlight w:val="none"/>
        </w:rPr>
        <w:t>投资者同意并授权信银理财向【</w:t>
      </w:r>
      <w:r>
        <w:rPr>
          <w:rFonts w:hint="eastAsia" w:ascii="楷体_GB2312" w:eastAsia="楷体_GB2312"/>
          <w:b/>
          <w:sz w:val="20"/>
          <w:szCs w:val="20"/>
          <w:highlight w:val="none"/>
          <w:lang w:val="en-US" w:eastAsia="zh-CN"/>
        </w:rPr>
        <w:t>浙江省慈善联合总会</w:t>
      </w:r>
      <w:r>
        <w:rPr>
          <w:rFonts w:hint="eastAsia" w:ascii="楷体_GB2312" w:eastAsia="楷体_GB2312"/>
          <w:b/>
          <w:sz w:val="20"/>
          <w:szCs w:val="20"/>
          <w:highlight w:val="none"/>
        </w:rPr>
        <w:t>】提供【投资者姓名、身份证号、持有的理财产品份额、手机号码、邮箱地址】等信息仅用于开具捐赠证明或捐赠票据。投资者可通过本说明书约定的捐赠证明获取途径提交捐赠证明开立申请，请投资者及时关注</w:t>
      </w:r>
      <w:r>
        <w:rPr>
          <w:rFonts w:hint="eastAsia" w:ascii="楷体_GB2312" w:eastAsia="楷体_GB2312"/>
          <w:sz w:val="20"/>
          <w:szCs w:val="20"/>
          <w:highlight w:val="none"/>
        </w:rPr>
        <w:t>。</w:t>
      </w:r>
    </w:p>
    <w:p w14:paraId="19A07B4E">
      <w:pPr>
        <w:spacing w:line="300" w:lineRule="exact"/>
        <w:ind w:left="-2" w:firstLine="402" w:firstLineChars="200"/>
        <w:jc w:val="both"/>
        <w:rPr>
          <w:rFonts w:ascii="楷体_GB2312" w:eastAsia="楷体_GB2312"/>
          <w:sz w:val="20"/>
          <w:szCs w:val="20"/>
          <w:highlight w:val="none"/>
        </w:rPr>
      </w:pPr>
      <w:r>
        <w:rPr>
          <w:rFonts w:ascii="楷体_GB2312" w:eastAsia="楷体_GB2312"/>
          <w:b/>
          <w:color w:val="000000" w:themeColor="text1"/>
          <w:sz w:val="20"/>
          <w:szCs w:val="20"/>
          <w:highlight w:val="none"/>
          <w14:textFill>
            <w14:solidFill>
              <w14:schemeClr w14:val="tx1"/>
            </w14:solidFill>
          </w14:textFill>
        </w:rPr>
        <w:t xml:space="preserve">7.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highlight w:val="none"/>
        </w:rPr>
        <w:t>善公益项目）。</w:t>
      </w:r>
    </w:p>
    <w:p w14:paraId="06F94957">
      <w:pPr>
        <w:spacing w:line="300" w:lineRule="exact"/>
        <w:ind w:left="-2" w:firstLine="402" w:firstLineChars="200"/>
        <w:jc w:val="both"/>
        <w:rPr>
          <w:rFonts w:ascii="楷体_GB2312" w:eastAsia="楷体_GB2312"/>
          <w:sz w:val="20"/>
          <w:szCs w:val="20"/>
        </w:rPr>
      </w:pPr>
      <w:r>
        <w:rPr>
          <w:rFonts w:ascii="楷体_GB2312" w:eastAsia="楷体_GB2312"/>
          <w:b/>
          <w:bCs/>
          <w:sz w:val="20"/>
          <w:szCs w:val="20"/>
        </w:rPr>
        <w:t>8.信银理财有权依法对本产品说明书进行</w:t>
      </w:r>
      <w:r>
        <w:rPr>
          <w:rFonts w:hint="eastAsia" w:ascii="楷体_GB2312" w:eastAsia="楷体_GB2312"/>
          <w:b/>
          <w:bCs/>
          <w:sz w:val="20"/>
          <w:szCs w:val="20"/>
        </w:rPr>
        <w:t>解释</w:t>
      </w:r>
      <w:r>
        <w:rPr>
          <w:rFonts w:ascii="楷体_GB2312" w:eastAsia="楷体_GB2312"/>
          <w:b/>
          <w:bCs/>
          <w:sz w:val="20"/>
          <w:szCs w:val="20"/>
        </w:rPr>
        <w:t>。</w:t>
      </w:r>
    </w:p>
    <w:p w14:paraId="74B97BA4">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F9F4230">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十六、违约责任</w:t>
      </w:r>
    </w:p>
    <w:p w14:paraId="0FE10543">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14:paraId="515352ED">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7319308">
      <w:pPr>
        <w:spacing w:line="300" w:lineRule="exact"/>
        <w:ind w:left="402" w:right="29" w:rightChars="12" w:hanging="402" w:hangingChars="20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5E4B27E8">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十八、本说明书的生效与终止</w:t>
      </w:r>
    </w:p>
    <w:p w14:paraId="5F5DFE30">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w:t>
      </w:r>
      <w:r>
        <w:rPr>
          <w:rFonts w:hint="eastAsia" w:ascii="楷体_GB2312" w:eastAsia="楷体_GB2312"/>
          <w:color w:val="000000" w:themeColor="text1"/>
          <w:sz w:val="20"/>
          <w:szCs w:val="20"/>
          <w14:textFill>
            <w14:solidFill>
              <w14:schemeClr w14:val="tx1"/>
            </w14:solidFill>
          </w14:textFill>
        </w:rPr>
        <w:t>营业</w:t>
      </w:r>
      <w:r>
        <w:rPr>
          <w:rFonts w:ascii="楷体_GB2312" w:eastAsia="楷体_GB2312"/>
          <w:color w:val="000000" w:themeColor="text1"/>
          <w:sz w:val="20"/>
          <w:szCs w:val="20"/>
          <w14:textFill>
            <w14:solidFill>
              <w14:schemeClr w14:val="tx1"/>
            </w14:solidFill>
          </w14:textFill>
        </w:rPr>
        <w:t>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14:paraId="5377648D">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14:paraId="67BD9647">
      <w:pPr>
        <w:pStyle w:val="19"/>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14:paraId="0C94B904">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十九、争议解决</w:t>
      </w:r>
    </w:p>
    <w:p w14:paraId="53FC01F4">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7FFDA4E7">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p>
    <w:p w14:paraId="7F9BE105">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7438E816">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14:paraId="02C242E4">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p>
    <w:p w14:paraId="6A77407E">
      <w:pPr>
        <w:spacing w:before="100" w:beforeAutospacing="1" w:after="100" w:afterAutospacing="1"/>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u w:val="single"/>
          <w14:textFill>
            <w14:solidFill>
              <w14:schemeClr w14:val="tx1"/>
            </w14:solidFill>
          </w14:textFill>
        </w:rPr>
        <w:t>                                       </w:t>
      </w:r>
    </w:p>
    <w:p w14:paraId="59071E3C">
      <w:pPr>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14:paraId="1CBB1673">
      <w:pPr>
        <w:spacing w:line="300" w:lineRule="exact"/>
        <w:ind w:left="-2" w:leftChars="-1" w:right="36" w:rightChars="15"/>
        <w:rPr>
          <w:rFonts w:ascii="黑体" w:hAnsi="Times New Roman" w:eastAsia="黑体"/>
          <w:color w:val="000000" w:themeColor="text1"/>
          <w14:textFill>
            <w14:solidFill>
              <w14:schemeClr w14:val="tx1"/>
            </w14:solidFill>
          </w14:textFill>
        </w:rPr>
      </w:pPr>
    </w:p>
    <w:p w14:paraId="36531B80">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14:paraId="12D9C461">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14:paraId="590A09A4">
      <w:pPr>
        <w:ind w:left="4440" w:right="440" w:hanging="4440" w:hangingChars="1850"/>
        <w:rPr>
          <w:rFonts w:ascii="Arial" w:hAnsi="Arial"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14:paraId="77FB3896">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DF61205">
      <w:pPr>
        <w:ind w:right="-902" w:rightChars="-376"/>
        <w:rPr>
          <w:rFonts w:ascii="黑体" w:hAnsi="Times New Roman" w:eastAsia="黑体"/>
          <w:color w:val="000000" w:themeColor="text1"/>
          <w14:textFill>
            <w14:solidFill>
              <w14:schemeClr w14:val="tx1"/>
            </w14:solidFill>
          </w14:textFill>
        </w:rPr>
      </w:pPr>
    </w:p>
    <w:p w14:paraId="268B66FA">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机构客户（公章）：</w:t>
      </w:r>
      <w:r>
        <w:rPr>
          <w:rFonts w:ascii="黑体" w:hAnsi="Times New Roman" w:eastAsia="黑体"/>
          <w:color w:val="000000" w:themeColor="text1"/>
          <w14:textFill>
            <w14:solidFill>
              <w14:schemeClr w14:val="tx1"/>
            </w14:solidFill>
          </w14:textFill>
        </w:rPr>
        <w:t xml:space="preserve">                    </w:t>
      </w:r>
    </w:p>
    <w:p w14:paraId="7BC033DC">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0771BA6F">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14:paraId="58BC0A8A">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CB3F808">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p>
    <w:p w14:paraId="615BD310">
      <w:pPr>
        <w:snapToGrid w:val="0"/>
        <w:ind w:right="53" w:rightChars="22"/>
        <w:outlineLvl w:val="0"/>
      </w:pPr>
    </w:p>
    <w:p w14:paraId="453C017E">
      <w:pPr>
        <w:snapToGrid w:val="0"/>
        <w:ind w:right="53" w:rightChars="22"/>
        <w:outlineLvl w:val="0"/>
      </w:pPr>
    </w:p>
    <w:p w14:paraId="18F5FA32">
      <w:pPr>
        <w:snapToGrid w:val="0"/>
        <w:ind w:right="53" w:rightChars="22"/>
        <w:outlineLvl w:val="0"/>
      </w:pP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E6008"/>
    <w:multiLevelType w:val="multilevel"/>
    <w:tmpl w:val="1B8E6008"/>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240BE"/>
    <w:multiLevelType w:val="multilevel"/>
    <w:tmpl w:val="320240BE"/>
    <w:lvl w:ilvl="0" w:tentative="0">
      <w:start w:val="1"/>
      <w:numFmt w:val="decimal"/>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2">
    <w:nsid w:val="377E1DBC"/>
    <w:multiLevelType w:val="multilevel"/>
    <w:tmpl w:val="377E1DBC"/>
    <w:lvl w:ilvl="0" w:tentative="0">
      <w:start w:val="1"/>
      <w:numFmt w:val="lowerLetter"/>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
    <w:nsid w:val="37877AB9"/>
    <w:multiLevelType w:val="multilevel"/>
    <w:tmpl w:val="37877AB9"/>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41837C58"/>
    <w:multiLevelType w:val="multilevel"/>
    <w:tmpl w:val="41837C58"/>
    <w:lvl w:ilvl="0" w:tentative="0">
      <w:start w:val="7"/>
      <w:numFmt w:val="japaneseCounting"/>
      <w:lvlText w:val="%1、"/>
      <w:lvlJc w:val="left"/>
      <w:pPr>
        <w:ind w:left="390" w:hanging="390"/>
      </w:pPr>
      <w:rPr>
        <w:rFonts w:hint="default"/>
      </w:rPr>
    </w:lvl>
    <w:lvl w:ilvl="1" w:tentative="0">
      <w:start w:val="2"/>
      <w:numFmt w:val="japaneseCounting"/>
      <w:lvlText w:val="（%2）"/>
      <w:lvlJc w:val="left"/>
      <w:pPr>
        <w:ind w:left="1140" w:hanging="720"/>
      </w:pPr>
      <w:rPr>
        <w:rFonts w:hint="default" w:ascii="黑体" w:hAnsi="Times New Roman" w:eastAsia="黑体" w:cs="黑体"/>
        <w:sz w:val="2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360528"/>
    <w:multiLevelType w:val="multilevel"/>
    <w:tmpl w:val="62360528"/>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6">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5"/>
  </w:num>
  <w:num w:numId="2">
    <w:abstractNumId w:val="2"/>
  </w:num>
  <w:num w:numId="3">
    <w:abstractNumId w:val="1"/>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555547B"/>
    <w:rsid w:val="36200A61"/>
    <w:rsid w:val="36C344B8"/>
    <w:rsid w:val="37085D5E"/>
    <w:rsid w:val="375E0BAF"/>
    <w:rsid w:val="37BD6F93"/>
    <w:rsid w:val="38AA320E"/>
    <w:rsid w:val="3AD774B7"/>
    <w:rsid w:val="3B5A0EDF"/>
    <w:rsid w:val="3D964359"/>
    <w:rsid w:val="3ED41958"/>
    <w:rsid w:val="43BF748C"/>
    <w:rsid w:val="44193E1A"/>
    <w:rsid w:val="44A01663"/>
    <w:rsid w:val="46896EAF"/>
    <w:rsid w:val="477E1AE8"/>
    <w:rsid w:val="4A097F8F"/>
    <w:rsid w:val="4A684CC3"/>
    <w:rsid w:val="4B7F0E9E"/>
    <w:rsid w:val="4DED180A"/>
    <w:rsid w:val="50A5550E"/>
    <w:rsid w:val="54F974BE"/>
    <w:rsid w:val="5744470A"/>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41</Pages>
  <Words>4237</Words>
  <Characters>24152</Characters>
  <Lines>201</Lines>
  <Paragraphs>56</Paragraphs>
  <TotalTime>0</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chenjingpu</cp:lastModifiedBy>
  <cp:lastPrinted>2024-06-08T01:24:00Z</cp:lastPrinted>
  <dcterms:modified xsi:type="dcterms:W3CDTF">2025-11-27T08:05:31Z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