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楷体" w:hAnsi="楷体" w:eastAsia="楷体"/>
          <w:b/>
          <w:sz w:val="32"/>
          <w:szCs w:val="32"/>
        </w:rPr>
      </w:pPr>
      <w:bookmarkStart w:id="0" w:name="_GoBack"/>
      <w:bookmarkEnd w:id="0"/>
      <w:r>
        <w:rPr>
          <w:rFonts w:hint="eastAsia" w:ascii="楷体" w:hAnsi="楷体" w:eastAsia="楷体"/>
          <w:b/>
          <w:sz w:val="32"/>
          <w:szCs w:val="32"/>
        </w:rPr>
        <w:t>理财非存款、产品有风险、投资须谨慎！</w:t>
      </w: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楷体" w:hAnsi="楷体" w:eastAsia="楷体"/>
          <w:bCs/>
          <w:color w:val="000000"/>
          <w:sz w:val="48"/>
          <w:szCs w:val="48"/>
        </w:rPr>
      </w:pPr>
    </w:p>
    <w:p>
      <w:pPr>
        <w:tabs>
          <w:tab w:val="left" w:pos="915"/>
          <w:tab w:val="center" w:pos="5273"/>
        </w:tabs>
        <w:spacing w:before="50" w:line="600" w:lineRule="auto"/>
        <w:jc w:val="center"/>
        <w:rPr>
          <w:rFonts w:hint="eastAsia" w:ascii="华文楷体" w:hAnsi="华文楷体" w:eastAsia="华文楷体"/>
          <w:b/>
          <w:bCs/>
          <w:color w:val="000000"/>
          <w:spacing w:val="-28"/>
          <w:sz w:val="52"/>
          <w:szCs w:val="52"/>
          <w:lang w:eastAsia="zh-CN"/>
        </w:rPr>
      </w:pPr>
      <w:r>
        <w:rPr>
          <w:rFonts w:hint="eastAsia" w:ascii="华文楷体" w:hAnsi="华文楷体" w:eastAsia="华文楷体"/>
          <w:b/>
          <w:bCs/>
          <w:color w:val="000000"/>
          <w:spacing w:val="-28"/>
          <w:sz w:val="52"/>
          <w:szCs w:val="52"/>
          <w:lang w:eastAsia="zh-CN"/>
        </w:rPr>
        <w:t>北银理财丰收系列京华远见春系列诚享</w:t>
      </w:r>
    </w:p>
    <w:p>
      <w:pPr>
        <w:tabs>
          <w:tab w:val="left" w:pos="915"/>
          <w:tab w:val="center" w:pos="5273"/>
        </w:tabs>
        <w:spacing w:before="50"/>
        <w:jc w:val="center"/>
        <w:rPr>
          <w:rFonts w:ascii="楷体" w:hAnsi="楷体" w:eastAsia="楷体"/>
          <w:bCs/>
          <w:color w:val="000000"/>
          <w:sz w:val="48"/>
          <w:szCs w:val="48"/>
        </w:rPr>
      </w:pPr>
      <w:permStart w:id="0" w:edGrp="everyone"/>
      <w:r>
        <w:rPr>
          <w:rFonts w:hint="eastAsia" w:ascii="华文楷体" w:hAnsi="华文楷体" w:eastAsia="华文楷体"/>
          <w:b/>
          <w:bCs/>
          <w:color w:val="000000"/>
          <w:spacing w:val="-28"/>
          <w:sz w:val="52"/>
          <w:szCs w:val="52"/>
          <w:lang w:val="en-US" w:eastAsia="zh-CN"/>
        </w:rPr>
        <w:t>7</w:t>
      </w:r>
      <w:permEnd w:id="0"/>
      <w:r>
        <w:rPr>
          <w:rFonts w:hint="eastAsia" w:ascii="华文楷体" w:hAnsi="华文楷体" w:eastAsia="华文楷体"/>
          <w:b/>
          <w:bCs/>
          <w:color w:val="000000"/>
          <w:spacing w:val="-28"/>
          <w:sz w:val="52"/>
          <w:szCs w:val="52"/>
          <w:lang w:eastAsia="zh-CN"/>
        </w:rPr>
        <w:t>天持有期</w:t>
      </w:r>
      <w:permStart w:id="1" w:edGrp="everyone"/>
      <w:r>
        <w:rPr>
          <w:rFonts w:hint="eastAsia" w:ascii="华文楷体" w:hAnsi="华文楷体" w:eastAsia="华文楷体"/>
          <w:b/>
          <w:bCs/>
          <w:color w:val="000000"/>
          <w:spacing w:val="-28"/>
          <w:sz w:val="52"/>
          <w:szCs w:val="52"/>
          <w:lang w:val="en-US" w:eastAsia="zh-CN"/>
        </w:rPr>
        <w:t>1</w:t>
      </w:r>
      <w:permEnd w:id="1"/>
      <w:r>
        <w:rPr>
          <w:rFonts w:hint="eastAsia" w:ascii="华文楷体" w:hAnsi="华文楷体" w:eastAsia="华文楷体"/>
          <w:b/>
          <w:bCs/>
          <w:color w:val="000000"/>
          <w:spacing w:val="-28"/>
          <w:sz w:val="52"/>
          <w:szCs w:val="52"/>
          <w:lang w:eastAsia="zh-CN"/>
        </w:rPr>
        <w:t>号理财产品</w:t>
      </w: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pStyle w:val="5"/>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Cs/>
          <w:color w:val="000000"/>
          <w:sz w:val="30"/>
          <w:szCs w:val="30"/>
        </w:rPr>
      </w:pPr>
    </w:p>
    <w:p>
      <w:pPr>
        <w:tabs>
          <w:tab w:val="left" w:pos="915"/>
          <w:tab w:val="center" w:pos="5273"/>
        </w:tabs>
        <w:spacing w:before="50"/>
        <w:jc w:val="center"/>
        <w:rPr>
          <w:rFonts w:ascii="黑体" w:eastAsia="黑体"/>
          <w:b/>
          <w:bCs/>
          <w:color w:val="000000"/>
          <w:sz w:val="30"/>
          <w:szCs w:val="30"/>
        </w:rPr>
      </w:pPr>
      <w:r>
        <w:rPr>
          <w:rFonts w:ascii="黑体" w:eastAsia="黑体"/>
          <w:bCs/>
          <w:color w:val="000000"/>
          <w:sz w:val="30"/>
          <w:szCs w:val="30"/>
        </w:rPr>
        <w:drawing>
          <wp:inline distT="0" distB="0" distL="0" distR="0">
            <wp:extent cx="5274310" cy="1313180"/>
            <wp:effectExtent l="19050" t="0" r="2540" b="0"/>
            <wp:docPr id="3" name="图片 3" descr="C:\Users\zy\Desktop\北银理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y\Desktop\北银理财logo.jpg"/>
                    <pic:cNvPicPr>
                      <a:picLocks noChangeAspect="1" noChangeArrowheads="1"/>
                    </pic:cNvPicPr>
                  </pic:nvPicPr>
                  <pic:blipFill>
                    <a:blip r:embed="rId7" cstate="print"/>
                    <a:srcRect/>
                    <a:stretch>
                      <a:fillRect/>
                    </a:stretch>
                  </pic:blipFill>
                  <pic:spPr>
                    <a:xfrm>
                      <a:off x="0" y="0"/>
                      <a:ext cx="5274310" cy="1313572"/>
                    </a:xfrm>
                    <a:prstGeom prst="rect">
                      <a:avLst/>
                    </a:prstGeom>
                    <a:noFill/>
                    <a:ln w="9525">
                      <a:noFill/>
                      <a:miter lim="800000"/>
                      <a:headEnd/>
                      <a:tailEnd/>
                    </a:ln>
                  </pic:spPr>
                </pic:pic>
              </a:graphicData>
            </a:graphic>
          </wp:inline>
        </w:drawing>
      </w:r>
    </w:p>
    <w:p>
      <w:pPr>
        <w:tabs>
          <w:tab w:val="left" w:pos="915"/>
          <w:tab w:val="center" w:pos="5273"/>
        </w:tabs>
        <w:spacing w:before="50"/>
        <w:jc w:val="center"/>
        <w:rPr>
          <w:rFonts w:hint="eastAsia" w:ascii="黑体" w:hAnsi="楷体" w:eastAsia="黑体"/>
          <w:b/>
          <w:bCs w:val="0"/>
          <w:color w:val="auto"/>
          <w:spacing w:val="0"/>
          <w:sz w:val="30"/>
          <w:szCs w:val="30"/>
          <w:lang w:eastAsia="zh-CN"/>
        </w:rPr>
      </w:pPr>
    </w:p>
    <w:p>
      <w:pPr>
        <w:tabs>
          <w:tab w:val="left" w:pos="915"/>
          <w:tab w:val="center" w:pos="5273"/>
        </w:tabs>
        <w:spacing w:before="50"/>
        <w:jc w:val="center"/>
        <w:rPr>
          <w:rFonts w:hint="eastAsia" w:ascii="黑体" w:hAnsi="楷体" w:eastAsia="黑体"/>
          <w:b/>
          <w:bCs w:val="0"/>
          <w:color w:val="auto"/>
          <w:spacing w:val="0"/>
          <w:sz w:val="30"/>
          <w:szCs w:val="30"/>
          <w:lang w:eastAsia="zh-CN"/>
        </w:rPr>
      </w:pPr>
      <w:r>
        <w:rPr>
          <w:rFonts w:hint="eastAsia" w:ascii="黑体" w:hAnsi="楷体" w:eastAsia="黑体"/>
          <w:b/>
          <w:bCs w:val="0"/>
          <w:color w:val="auto"/>
          <w:spacing w:val="0"/>
          <w:sz w:val="30"/>
          <w:szCs w:val="30"/>
          <w:lang w:eastAsia="zh-CN"/>
        </w:rPr>
        <w:t>北银理财丰收系列京华远见春系列</w:t>
      </w:r>
    </w:p>
    <w:p>
      <w:pPr>
        <w:tabs>
          <w:tab w:val="left" w:pos="915"/>
          <w:tab w:val="center" w:pos="5273"/>
        </w:tabs>
        <w:spacing w:before="50"/>
        <w:jc w:val="center"/>
        <w:rPr>
          <w:rFonts w:hint="eastAsia" w:ascii="黑体" w:hAnsi="楷体" w:eastAsia="黑体"/>
          <w:b/>
          <w:bCs w:val="0"/>
          <w:color w:val="auto"/>
          <w:spacing w:val="0"/>
          <w:sz w:val="30"/>
          <w:szCs w:val="30"/>
          <w:lang w:eastAsia="zh-CN"/>
        </w:rPr>
      </w:pPr>
      <w:r>
        <w:rPr>
          <w:rFonts w:hint="eastAsia" w:ascii="黑体" w:hAnsi="楷体" w:eastAsia="黑体"/>
          <w:b/>
          <w:bCs w:val="0"/>
          <w:color w:val="auto"/>
          <w:spacing w:val="0"/>
          <w:sz w:val="30"/>
          <w:szCs w:val="30"/>
          <w:lang w:val="en-US" w:eastAsia="zh-CN"/>
        </w:rPr>
        <w:t>诚享</w:t>
      </w:r>
      <w:r>
        <w:rPr>
          <w:rFonts w:hint="eastAsia" w:ascii="黑体" w:eastAsia="黑体"/>
          <w:b/>
          <w:bCs/>
          <w:color w:val="000000"/>
          <w:sz w:val="30"/>
          <w:szCs w:val="30"/>
          <w:highlight w:val="none"/>
          <w:lang w:val="en-US" w:eastAsia="zh-CN"/>
        </w:rPr>
        <w:t>7</w:t>
      </w:r>
      <w:r>
        <w:rPr>
          <w:rFonts w:hint="eastAsia" w:ascii="黑体" w:eastAsia="黑体"/>
          <w:b/>
          <w:bCs/>
          <w:color w:val="000000"/>
          <w:sz w:val="30"/>
          <w:szCs w:val="30"/>
          <w:highlight w:val="none"/>
          <w:lang w:eastAsia="zh-CN"/>
        </w:rPr>
        <w:t>天持有期</w:t>
      </w:r>
      <w:permStart w:id="2" w:edGrp="everyone"/>
      <w:r>
        <w:rPr>
          <w:rFonts w:hint="eastAsia" w:ascii="黑体" w:eastAsia="黑体"/>
          <w:b/>
          <w:bCs/>
          <w:color w:val="000000"/>
          <w:sz w:val="30"/>
          <w:szCs w:val="30"/>
          <w:highlight w:val="none"/>
          <w:lang w:val="en-US" w:eastAsia="zh-CN"/>
        </w:rPr>
        <w:t>1</w:t>
      </w:r>
      <w:permEnd w:id="2"/>
      <w:r>
        <w:rPr>
          <w:rFonts w:hint="eastAsia" w:ascii="黑体" w:eastAsia="黑体"/>
          <w:b/>
          <w:bCs/>
          <w:color w:val="000000"/>
          <w:sz w:val="30"/>
          <w:szCs w:val="30"/>
          <w:highlight w:val="none"/>
          <w:lang w:eastAsia="zh-CN"/>
        </w:rPr>
        <w:t>号</w:t>
      </w:r>
      <w:r>
        <w:rPr>
          <w:rFonts w:hint="eastAsia" w:ascii="黑体" w:hAnsi="楷体" w:eastAsia="黑体"/>
          <w:b/>
          <w:bCs w:val="0"/>
          <w:color w:val="auto"/>
          <w:spacing w:val="0"/>
          <w:sz w:val="30"/>
          <w:szCs w:val="30"/>
          <w:lang w:eastAsia="zh-CN"/>
        </w:rPr>
        <w:t>理财产品</w:t>
      </w:r>
    </w:p>
    <w:p>
      <w:pPr>
        <w:tabs>
          <w:tab w:val="left" w:pos="915"/>
          <w:tab w:val="center" w:pos="5273"/>
        </w:tabs>
        <w:spacing w:before="50" w:line="600" w:lineRule="auto"/>
        <w:jc w:val="center"/>
        <w:rPr>
          <w:rFonts w:ascii="黑体" w:hAnsi="楷体" w:eastAsia="黑体"/>
          <w:b/>
          <w:sz w:val="30"/>
          <w:szCs w:val="30"/>
        </w:rPr>
      </w:pPr>
      <w:r>
        <w:rPr>
          <w:rFonts w:hint="eastAsia" w:ascii="黑体" w:hAnsi="楷体" w:eastAsia="黑体"/>
          <w:b/>
          <w:sz w:val="30"/>
          <w:szCs w:val="30"/>
        </w:rPr>
        <w:t>风险揭示书</w:t>
      </w:r>
    </w:p>
    <w:p>
      <w:pPr>
        <w:rPr>
          <w:rFonts w:ascii="楷体_GB2312" w:hAnsi="楷体" w:eastAsia="楷体_GB2312"/>
          <w:b/>
          <w:sz w:val="24"/>
        </w:rPr>
      </w:pPr>
      <w:r>
        <w:rPr>
          <w:rFonts w:hint="eastAsia" w:ascii="楷体_GB2312" w:hAnsi="楷体" w:eastAsia="楷体_GB2312"/>
          <w:b/>
          <w:sz w:val="24"/>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ind w:firstLine="361" w:firstLineChars="150"/>
        <w:rPr>
          <w:rFonts w:ascii="楷体_GB2312" w:hAnsi="楷体" w:eastAsia="楷体_GB2312"/>
          <w:sz w:val="24"/>
          <w:highlight w:val="none"/>
        </w:rPr>
      </w:pPr>
      <w:r>
        <w:rPr>
          <w:rFonts w:hint="eastAsia" w:ascii="楷体_GB2312" w:hAnsi="楷体" w:eastAsia="楷体_GB2312"/>
          <w:b/>
          <w:bCs/>
          <w:sz w:val="24"/>
          <w:highlight w:val="none"/>
        </w:rPr>
        <w:t>（一）信用风险：</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产品所投资的债券、债权资产等金融产品涉及融资人的信用风险，若融资人发生信用风险事件，将导致相应金融产品的市场价值下跌或收益、到期本金等无法足额按时偿还，</w:t>
      </w:r>
      <w:r>
        <w:rPr>
          <w:rFonts w:hint="eastAsia" w:ascii="楷体_GB2312" w:hAnsi="楷体" w:eastAsia="楷体_GB2312"/>
          <w:sz w:val="24"/>
          <w:highlight w:val="none"/>
          <w:lang w:val="en-US" w:eastAsia="zh-CN"/>
        </w:rPr>
        <w:t>则</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可能面临本金和收益</w:t>
      </w:r>
      <w:r>
        <w:rPr>
          <w:rFonts w:hint="eastAsia" w:ascii="楷体_GB2312" w:hAnsi="楷体" w:eastAsia="楷体_GB2312"/>
          <w:sz w:val="24"/>
          <w:highlight w:val="none"/>
        </w:rPr>
        <w:t>遭受</w:t>
      </w:r>
      <w:r>
        <w:rPr>
          <w:rFonts w:hint="eastAsia" w:ascii="楷体_GB2312" w:hAnsi="楷体" w:eastAsia="楷体_GB2312"/>
          <w:sz w:val="24"/>
          <w:highlight w:val="none"/>
          <w:lang w:val="en-US" w:eastAsia="zh-CN"/>
        </w:rPr>
        <w:t>部分甚至全部</w:t>
      </w:r>
      <w:r>
        <w:rPr>
          <w:rFonts w:hint="eastAsia" w:ascii="楷体_GB2312" w:hAnsi="楷体" w:eastAsia="楷体_GB2312"/>
          <w:sz w:val="24"/>
          <w:highlight w:val="none"/>
        </w:rPr>
        <w:t>损失</w:t>
      </w:r>
      <w:r>
        <w:rPr>
          <w:rFonts w:hint="eastAsia" w:ascii="楷体_GB2312" w:hAnsi="楷体" w:eastAsia="楷体_GB2312"/>
          <w:sz w:val="24"/>
          <w:highlight w:val="none"/>
          <w:lang w:val="en-US" w:eastAsia="zh-CN"/>
        </w:rPr>
        <w:t>的风险</w:t>
      </w:r>
      <w:r>
        <w:rPr>
          <w:rFonts w:hint="eastAsia" w:ascii="楷体_GB2312" w:hAnsi="楷体" w:eastAsia="楷体_GB2312"/>
          <w:sz w:val="24"/>
          <w:highlight w:val="none"/>
        </w:rPr>
        <w:t>。</w:t>
      </w:r>
    </w:p>
    <w:p>
      <w:pPr>
        <w:ind w:firstLine="361" w:firstLineChars="150"/>
        <w:rPr>
          <w:rFonts w:ascii="楷体_GB2312" w:hAnsi="楷体" w:eastAsia="楷体_GB2312"/>
          <w:sz w:val="24"/>
          <w:highlight w:val="none"/>
        </w:rPr>
      </w:pPr>
      <w:r>
        <w:rPr>
          <w:rFonts w:hint="eastAsia" w:ascii="楷体_GB2312" w:hAnsi="楷体" w:eastAsia="楷体_GB2312"/>
          <w:b/>
          <w:bCs/>
          <w:sz w:val="24"/>
          <w:highlight w:val="none"/>
        </w:rPr>
        <w:t>（二）市场风险</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产品投资收益来源于</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理财产品对应投资组合的运作和回报，因国家政策、经济周期、利率、汇率等因素可能发生变化，导致投资品种的市场价格发生波动，由此可能</w:t>
      </w:r>
      <w:r>
        <w:rPr>
          <w:rFonts w:hint="eastAsia" w:ascii="楷体_GB2312" w:hAnsi="楷体" w:eastAsia="楷体_GB2312"/>
          <w:sz w:val="24"/>
          <w:highlight w:val="none"/>
          <w:lang w:val="en-US" w:eastAsia="zh-CN"/>
        </w:rPr>
        <w:t>影响</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产品的收益</w:t>
      </w:r>
      <w:r>
        <w:rPr>
          <w:rFonts w:hint="eastAsia" w:ascii="楷体_GB2312" w:hAnsi="楷体" w:eastAsia="楷体_GB2312"/>
          <w:sz w:val="24"/>
          <w:highlight w:val="none"/>
          <w:lang w:val="en-US" w:eastAsia="zh-CN"/>
        </w:rPr>
        <w:t>水平</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则</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可能面临本金和收益</w:t>
      </w:r>
      <w:r>
        <w:rPr>
          <w:rFonts w:hint="eastAsia" w:ascii="楷体_GB2312" w:hAnsi="楷体" w:eastAsia="楷体_GB2312"/>
          <w:sz w:val="24"/>
          <w:highlight w:val="none"/>
        </w:rPr>
        <w:t>遭受</w:t>
      </w:r>
      <w:r>
        <w:rPr>
          <w:rFonts w:hint="eastAsia" w:ascii="楷体_GB2312" w:hAnsi="楷体" w:eastAsia="楷体_GB2312"/>
          <w:sz w:val="24"/>
          <w:highlight w:val="none"/>
          <w:lang w:val="en-US" w:eastAsia="zh-CN"/>
        </w:rPr>
        <w:t>部分甚至全部</w:t>
      </w:r>
      <w:r>
        <w:rPr>
          <w:rFonts w:hint="eastAsia" w:ascii="楷体_GB2312" w:hAnsi="楷体" w:eastAsia="楷体_GB2312"/>
          <w:sz w:val="24"/>
          <w:highlight w:val="none"/>
        </w:rPr>
        <w:t>损失</w:t>
      </w:r>
      <w:r>
        <w:rPr>
          <w:rFonts w:hint="eastAsia" w:ascii="楷体_GB2312" w:hAnsi="楷体" w:eastAsia="楷体_GB2312"/>
          <w:sz w:val="24"/>
          <w:highlight w:val="none"/>
          <w:lang w:val="en-US" w:eastAsia="zh-CN"/>
        </w:rPr>
        <w:t>的风险</w:t>
      </w:r>
      <w:r>
        <w:rPr>
          <w:rFonts w:hint="eastAsia" w:ascii="楷体_GB2312" w:hAnsi="楷体" w:eastAsia="楷体_GB2312"/>
          <w:sz w:val="24"/>
          <w:highlight w:val="none"/>
        </w:rPr>
        <w:t>。</w:t>
      </w:r>
    </w:p>
    <w:p>
      <w:pPr>
        <w:pStyle w:val="31"/>
        <w:ind w:firstLine="361" w:firstLineChars="150"/>
        <w:rPr>
          <w:rFonts w:hint="eastAsia" w:ascii="楷体_GB2312" w:hAnsi="楷体" w:eastAsia="楷体_GB2312"/>
          <w:b/>
          <w:bCs/>
          <w:highlight w:val="none"/>
        </w:rPr>
      </w:pPr>
      <w:r>
        <w:rPr>
          <w:rFonts w:hint="eastAsia" w:ascii="楷体_GB2312" w:hAnsi="楷体" w:eastAsia="楷体_GB2312"/>
          <w:b/>
          <w:bCs/>
          <w:highlight w:val="none"/>
        </w:rPr>
        <w:t>（三）流动性风险：</w:t>
      </w:r>
      <w:r>
        <w:rPr>
          <w:rFonts w:hint="eastAsia" w:ascii="楷体_GB2312" w:hAnsi="楷体" w:eastAsia="楷体_GB2312"/>
          <w:highlight w:val="none"/>
        </w:rPr>
        <w:t>流动性风险是指理财产品无法通过变现资产等途径以合理成本及时获得充足资金，用于满足该理财产品的投资者赎回需求、履行其他支付义务的风险。</w:t>
      </w:r>
    </w:p>
    <w:p>
      <w:pPr>
        <w:pStyle w:val="31"/>
        <w:spacing w:beforeLines="0" w:afterLines="0"/>
        <w:ind w:firstLine="480" w:firstLineChars="200"/>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lang w:val="en-US" w:eastAsia="zh-CN"/>
        </w:rPr>
        <w:t>1.</w:t>
      </w:r>
      <w:r>
        <w:rPr>
          <w:rFonts w:hint="eastAsia" w:ascii="楷体_GB2312" w:hAnsi="楷体" w:eastAsia="楷体_GB2312" w:cs="Times New Roman"/>
          <w:color w:val="auto"/>
          <w:kern w:val="2"/>
          <w:highlight w:val="none"/>
        </w:rPr>
        <w:t>拟投资市场、行业及资产的流动性风险</w:t>
      </w:r>
    </w:p>
    <w:p>
      <w:pPr>
        <w:pStyle w:val="31"/>
        <w:spacing w:beforeLines="0" w:afterLines="0"/>
        <w:ind w:firstLine="480" w:firstLineChars="200"/>
        <w:rPr>
          <w:rFonts w:hint="eastAsia" w:ascii="楷体_GB2312" w:hAnsi="楷体" w:eastAsia="楷体_GB2312" w:cs="Times New Roman"/>
          <w:color w:val="auto"/>
          <w:kern w:val="2"/>
          <w:highlight w:val="none"/>
          <w:lang w:val="en-US" w:eastAsia="zh-CN"/>
        </w:rPr>
      </w:pPr>
      <w:r>
        <w:rPr>
          <w:rFonts w:hint="eastAsia" w:ascii="楷体_GB2312" w:hAnsi="楷体" w:eastAsia="楷体_GB2312" w:cs="Times New Roman"/>
          <w:color w:val="auto"/>
          <w:kern w:val="2"/>
          <w:highlight w:val="none"/>
        </w:rPr>
        <w:t>本</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产品的投资范围</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投资策略、投资限制等因素</w:t>
      </w:r>
      <w:r>
        <w:rPr>
          <w:rFonts w:hint="eastAsia" w:ascii="楷体_GB2312" w:hAnsi="楷体" w:eastAsia="楷体_GB2312" w:cs="Times New Roman"/>
          <w:color w:val="auto"/>
          <w:kern w:val="2"/>
          <w:highlight w:val="none"/>
        </w:rPr>
        <w:t>具体请参见</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产品说明书</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rPr>
        <w:t>“四、产品的投资运作”部分。</w:t>
      </w:r>
      <w:r>
        <w:rPr>
          <w:rFonts w:hint="eastAsia" w:ascii="楷体_GB2312" w:hAnsi="楷体" w:eastAsia="楷体_GB2312" w:cs="Times New Roman"/>
          <w:color w:val="auto"/>
          <w:kern w:val="2"/>
          <w:highlight w:val="none"/>
          <w:lang w:val="en-US" w:eastAsia="zh-CN"/>
        </w:rPr>
        <w:t>经综合评估，在正常市场环境下</w:t>
      </w:r>
      <w:r>
        <w:rPr>
          <w:rFonts w:hint="eastAsia" w:ascii="楷体_GB2312" w:hAnsi="楷体" w:eastAsia="楷体_GB2312" w:cs="Times New Roman"/>
          <w:color w:val="auto"/>
          <w:kern w:val="2"/>
          <w:highlight w:val="none"/>
        </w:rPr>
        <w:t>本</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w:t>
      </w:r>
      <w:r>
        <w:rPr>
          <w:rFonts w:hint="eastAsia" w:ascii="楷体_GB2312" w:hAnsi="楷体" w:eastAsia="楷体_GB2312" w:cs="Times New Roman"/>
          <w:color w:val="auto"/>
          <w:kern w:val="2"/>
          <w:highlight w:val="none"/>
          <w:lang w:val="en-US" w:eastAsia="zh-CN"/>
        </w:rPr>
        <w:t>的整体流动性风险可控</w:t>
      </w:r>
      <w:r>
        <w:rPr>
          <w:rFonts w:hint="eastAsia" w:ascii="楷体_GB2312" w:hAnsi="楷体" w:eastAsia="楷体_GB2312" w:cs="Times New Roman"/>
          <w:color w:val="auto"/>
          <w:kern w:val="2"/>
          <w:highlight w:val="none"/>
        </w:rPr>
        <w:t>，</w:t>
      </w:r>
      <w:r>
        <w:rPr>
          <w:rFonts w:hint="eastAsia" w:ascii="楷体_GB2312" w:hAnsi="楷体" w:eastAsia="楷体_GB2312" w:cs="Times New Roman"/>
          <w:color w:val="auto"/>
          <w:kern w:val="2"/>
          <w:highlight w:val="none"/>
          <w:lang w:val="en-US" w:eastAsia="zh-CN"/>
        </w:rPr>
        <w:t>但不排除因证券市场波动、上市公司股票停牌、市场交易量不足等情形导致流动性风险。</w:t>
      </w:r>
    </w:p>
    <w:p>
      <w:pPr>
        <w:pStyle w:val="31"/>
        <w:numPr>
          <w:ilvl w:val="0"/>
          <w:numId w:val="1"/>
        </w:numPr>
        <w:spacing w:beforeLines="0" w:afterLines="0"/>
        <w:ind w:firstLine="480" w:firstLineChars="200"/>
        <w:rPr>
          <w:rFonts w:hint="eastAsia" w:ascii="楷体_GB2312" w:hAnsi="楷体" w:eastAsia="楷体_GB2312"/>
          <w:b w:val="0"/>
          <w:bCs w:val="0"/>
          <w:highlight w:val="none"/>
          <w:lang w:val="en-US" w:eastAsia="zh-CN"/>
        </w:rPr>
      </w:pPr>
      <w:r>
        <w:rPr>
          <w:rFonts w:hint="eastAsia" w:ascii="楷体_GB2312" w:hAnsi="楷体" w:eastAsia="楷体_GB2312"/>
          <w:b w:val="0"/>
          <w:bCs w:val="0"/>
          <w:highlight w:val="none"/>
          <w:lang w:val="en-US" w:eastAsia="zh-CN"/>
        </w:rPr>
        <w:t>流动性风险应对措施及对投资者的潜在影响</w:t>
      </w:r>
    </w:p>
    <w:p>
      <w:pPr>
        <w:pStyle w:val="31"/>
        <w:numPr>
          <w:ilvl w:val="0"/>
          <w:numId w:val="0"/>
        </w:numPr>
        <w:spacing w:beforeLines="0" w:afterLines="0"/>
        <w:ind w:firstLine="480" w:firstLineChars="200"/>
        <w:rPr>
          <w:rFonts w:hint="eastAsia" w:ascii="楷体_GB2312" w:hAnsi="楷体" w:eastAsia="楷体_GB2312"/>
          <w:b w:val="0"/>
          <w:bCs w:val="0"/>
          <w:highlight w:val="none"/>
          <w:lang w:val="en-US" w:eastAsia="zh-CN"/>
        </w:rPr>
      </w:pPr>
      <w:r>
        <w:rPr>
          <w:rFonts w:hint="eastAsia" w:ascii="楷体_GB2312" w:hAnsi="楷体" w:eastAsia="楷体_GB2312" w:cs="Times New Roman"/>
          <w:color w:val="auto"/>
          <w:kern w:val="2"/>
          <w:highlight w:val="none"/>
        </w:rPr>
        <w:t>若本</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产品出现流动性风险，</w:t>
      </w:r>
      <w:r>
        <w:rPr>
          <w:rFonts w:hint="eastAsia" w:ascii="楷体_GB2312" w:hAnsi="楷体" w:eastAsia="楷体_GB2312"/>
          <w:b w:val="0"/>
          <w:bCs w:val="0"/>
          <w:highlight w:val="none"/>
          <w:lang w:val="en-US" w:eastAsia="zh-CN"/>
        </w:rPr>
        <w:t>为保护本理财产品投资者利益，产品管理人可以依照法律法规及本理财产品销售文件的约定，综合运用理财产品流动性风险应对措施，包括但不限于：</w:t>
      </w:r>
    </w:p>
    <w:p>
      <w:pPr>
        <w:pStyle w:val="31"/>
        <w:numPr>
          <w:ilvl w:val="0"/>
          <w:numId w:val="0"/>
        </w:numPr>
        <w:spacing w:beforeLines="0" w:afterLines="0"/>
        <w:ind w:firstLine="480" w:firstLineChars="200"/>
        <w:rPr>
          <w:rFonts w:hint="eastAsia" w:ascii="楷体_GB2312" w:hAnsi="仿宋" w:eastAsia="楷体_GB2312"/>
          <w:bCs/>
          <w:highlight w:val="none"/>
        </w:rPr>
      </w:pPr>
      <w:r>
        <w:rPr>
          <w:rFonts w:hint="eastAsia" w:ascii="楷体_GB2312" w:hAnsi="仿宋" w:eastAsia="楷体_GB2312"/>
          <w:bCs/>
          <w:highlight w:val="none"/>
          <w:lang w:eastAsia="zh-CN"/>
        </w:rPr>
        <w:t>（</w:t>
      </w:r>
      <w:r>
        <w:rPr>
          <w:rFonts w:hint="eastAsia" w:ascii="楷体_GB2312" w:hAnsi="仿宋" w:eastAsia="楷体_GB2312"/>
          <w:bCs/>
          <w:highlight w:val="none"/>
          <w:lang w:val="en-US" w:eastAsia="zh-CN"/>
        </w:rPr>
        <w:t>1）</w:t>
      </w:r>
      <w:r>
        <w:rPr>
          <w:rFonts w:hint="eastAsia" w:ascii="楷体_GB2312" w:hAnsi="仿宋" w:eastAsia="楷体_GB2312"/>
          <w:bCs/>
          <w:highlight w:val="none"/>
        </w:rPr>
        <w:t>设定单一投资者</w:t>
      </w:r>
      <w:r>
        <w:rPr>
          <w:rFonts w:hint="eastAsia" w:ascii="楷体_GB2312" w:hAnsi="仿宋" w:eastAsia="楷体_GB2312"/>
          <w:bCs/>
          <w:highlight w:val="none"/>
          <w:lang w:val="en-US" w:eastAsia="zh-CN"/>
        </w:rPr>
        <w:t>持有金额</w:t>
      </w:r>
      <w:r>
        <w:rPr>
          <w:rFonts w:hint="eastAsia" w:ascii="楷体_GB2312" w:hAnsi="仿宋" w:eastAsia="楷体_GB2312"/>
          <w:bCs/>
          <w:highlight w:val="none"/>
        </w:rPr>
        <w:t>上限</w:t>
      </w:r>
    </w:p>
    <w:p>
      <w:pPr>
        <w:pStyle w:val="31"/>
        <w:numPr>
          <w:ilvl w:val="0"/>
          <w:numId w:val="0"/>
        </w:numPr>
        <w:spacing w:beforeLines="0" w:afterLines="0"/>
        <w:ind w:firstLine="480" w:firstLineChars="200"/>
        <w:rPr>
          <w:rFonts w:hint="eastAsia" w:ascii="楷体_GB2312" w:hAnsi="仿宋" w:eastAsia="楷体_GB2312"/>
          <w:bCs/>
          <w:highlight w:val="none"/>
          <w:lang w:val="en-US" w:eastAsia="zh-CN"/>
        </w:rPr>
      </w:pPr>
      <w:r>
        <w:rPr>
          <w:rFonts w:hint="eastAsia" w:ascii="楷体_GB2312" w:hAnsi="楷体" w:eastAsia="楷体_GB2312"/>
          <w:b w:val="0"/>
          <w:bCs w:val="0"/>
          <w:highlight w:val="none"/>
          <w:lang w:val="en-US" w:eastAsia="zh-CN"/>
        </w:rPr>
        <w:t>本理财产品的产品管理人可根据实际业务情况</w:t>
      </w:r>
      <w:r>
        <w:rPr>
          <w:rFonts w:hint="eastAsia" w:ascii="楷体_GB2312" w:hAnsi="仿宋" w:eastAsia="楷体_GB2312"/>
          <w:bCs/>
          <w:highlight w:val="none"/>
        </w:rPr>
        <w:t>设定单一投资者</w:t>
      </w:r>
      <w:r>
        <w:rPr>
          <w:rFonts w:hint="eastAsia" w:ascii="楷体_GB2312" w:hAnsi="仿宋" w:eastAsia="楷体_GB2312"/>
          <w:bCs/>
          <w:highlight w:val="none"/>
          <w:lang w:val="en-US" w:eastAsia="zh-CN"/>
        </w:rPr>
        <w:t>持有金额</w:t>
      </w:r>
      <w:r>
        <w:rPr>
          <w:rFonts w:hint="eastAsia" w:ascii="楷体_GB2312" w:hAnsi="仿宋" w:eastAsia="楷体_GB2312"/>
          <w:bCs/>
          <w:highlight w:val="none"/>
        </w:rPr>
        <w:t>上限</w:t>
      </w:r>
      <w:r>
        <w:rPr>
          <w:rFonts w:hint="eastAsia" w:ascii="楷体_GB2312" w:hAnsi="仿宋" w:eastAsia="楷体_GB2312"/>
          <w:bCs/>
          <w:highlight w:val="none"/>
          <w:lang w:eastAsia="zh-CN"/>
        </w:rPr>
        <w:t>，</w:t>
      </w:r>
      <w:r>
        <w:rPr>
          <w:rFonts w:hint="eastAsia" w:ascii="楷体_GB2312" w:hAnsi="仿宋" w:eastAsia="楷体_GB2312"/>
          <w:bCs/>
          <w:highlight w:val="none"/>
          <w:lang w:val="en-US" w:eastAsia="zh-CN"/>
        </w:rPr>
        <w:t>对于超出</w:t>
      </w:r>
      <w:r>
        <w:rPr>
          <w:rFonts w:hint="eastAsia" w:ascii="楷体_GB2312" w:hAnsi="仿宋" w:eastAsia="楷体_GB2312"/>
          <w:bCs/>
          <w:highlight w:val="none"/>
        </w:rPr>
        <w:t>单一投资者</w:t>
      </w:r>
      <w:r>
        <w:rPr>
          <w:rFonts w:hint="eastAsia" w:ascii="楷体_GB2312" w:hAnsi="仿宋" w:eastAsia="楷体_GB2312"/>
          <w:bCs/>
          <w:highlight w:val="none"/>
          <w:lang w:val="en-US" w:eastAsia="zh-CN"/>
        </w:rPr>
        <w:t>持有金额</w:t>
      </w:r>
      <w:r>
        <w:rPr>
          <w:rFonts w:hint="eastAsia" w:ascii="楷体_GB2312" w:hAnsi="仿宋" w:eastAsia="楷体_GB2312"/>
          <w:bCs/>
          <w:highlight w:val="none"/>
        </w:rPr>
        <w:t>上限</w:t>
      </w:r>
      <w:r>
        <w:rPr>
          <w:rFonts w:hint="eastAsia" w:ascii="楷体_GB2312" w:hAnsi="仿宋" w:eastAsia="楷体_GB2312"/>
          <w:bCs/>
          <w:highlight w:val="none"/>
          <w:lang w:val="en-US" w:eastAsia="zh-CN"/>
        </w:rPr>
        <w:t>的申请，投资者可能面临全部或部分认购/</w:t>
      </w:r>
      <w:r>
        <w:rPr>
          <w:rFonts w:hint="eastAsia" w:ascii="楷体_GB2312" w:hAnsi="仿宋" w:eastAsia="楷体_GB2312"/>
          <w:bCs/>
          <w:highlight w:val="none"/>
        </w:rPr>
        <w:t>申购</w:t>
      </w:r>
      <w:r>
        <w:rPr>
          <w:rFonts w:hint="eastAsia" w:ascii="楷体_GB2312" w:hAnsi="仿宋" w:eastAsia="楷体_GB2312"/>
          <w:bCs/>
          <w:highlight w:val="none"/>
          <w:lang w:val="en-US" w:eastAsia="zh-CN"/>
        </w:rPr>
        <w:t>申请被拒绝的风险。</w:t>
      </w:r>
    </w:p>
    <w:p>
      <w:pPr>
        <w:pStyle w:val="31"/>
        <w:spacing w:beforeLines="0" w:afterLines="0"/>
        <w:ind w:firstLine="480" w:firstLineChars="200"/>
        <w:rPr>
          <w:rFonts w:hint="eastAsia" w:ascii="楷体_GB2312" w:hAnsi="楷体" w:eastAsia="楷体_GB2312"/>
          <w:highlight w:val="none"/>
          <w:lang w:eastAsia="zh-CN"/>
        </w:rPr>
      </w:pPr>
      <w:r>
        <w:rPr>
          <w:rFonts w:hint="eastAsia" w:ascii="楷体_GB2312" w:hAnsi="楷体" w:eastAsia="楷体_GB2312"/>
          <w:highlight w:val="none"/>
          <w:lang w:eastAsia="zh-CN"/>
        </w:rPr>
        <w:t>（</w:t>
      </w:r>
      <w:r>
        <w:rPr>
          <w:rFonts w:hint="eastAsia" w:ascii="楷体_GB2312" w:hAnsi="楷体" w:eastAsia="楷体_GB2312"/>
          <w:highlight w:val="none"/>
          <w:lang w:val="en-US" w:eastAsia="zh-CN"/>
        </w:rPr>
        <w:t>2）</w:t>
      </w:r>
      <w:r>
        <w:rPr>
          <w:rFonts w:hint="eastAsia" w:ascii="楷体_GB2312" w:hAnsi="楷体" w:eastAsia="楷体_GB2312"/>
          <w:highlight w:val="none"/>
        </w:rPr>
        <w:t>巨额赎回情形下的流动性风险应对措施</w:t>
      </w:r>
    </w:p>
    <w:p>
      <w:pPr>
        <w:pStyle w:val="31"/>
        <w:numPr>
          <w:ilvl w:val="0"/>
          <w:numId w:val="0"/>
        </w:numPr>
        <w:spacing w:beforeLines="0" w:afterLines="0"/>
        <w:ind w:firstLine="480" w:firstLineChars="200"/>
        <w:rPr>
          <w:rFonts w:hint="eastAsia" w:ascii="楷体_GB2312" w:hAnsi="仿宋" w:eastAsia="楷体_GB2312"/>
          <w:bCs/>
          <w:highlight w:val="none"/>
          <w:lang w:val="en-US" w:eastAsia="zh-CN"/>
        </w:rPr>
      </w:pPr>
      <w:r>
        <w:rPr>
          <w:rFonts w:hint="eastAsia" w:ascii="楷体_GB2312" w:hAnsi="楷体" w:eastAsia="楷体_GB2312" w:cs="Times New Roman"/>
          <w:color w:val="auto"/>
          <w:kern w:val="2"/>
          <w:highlight w:val="none"/>
        </w:rPr>
        <w:t>本</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w:t>
      </w:r>
      <w:r>
        <w:rPr>
          <w:rFonts w:hint="eastAsia" w:ascii="楷体_GB2312" w:hAnsi="楷体" w:eastAsia="楷体_GB2312"/>
          <w:highlight w:val="none"/>
        </w:rPr>
        <w:t>在</w:t>
      </w:r>
      <w:r>
        <w:rPr>
          <w:rFonts w:hint="eastAsia" w:ascii="楷体_GB2312" w:hAnsi="楷体" w:eastAsia="楷体_GB2312"/>
          <w:highlight w:val="none"/>
          <w:lang w:eastAsia="zh-CN"/>
        </w:rPr>
        <w:t>开放日</w:t>
      </w:r>
      <w:r>
        <w:rPr>
          <w:rFonts w:hint="eastAsia" w:ascii="楷体_GB2312" w:hAnsi="楷体" w:eastAsia="楷体_GB2312"/>
          <w:highlight w:val="none"/>
        </w:rPr>
        <w:t>发生</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产品说明书</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rPr>
        <w:t>“</w:t>
      </w:r>
      <w:r>
        <w:rPr>
          <w:rFonts w:hint="eastAsia" w:ascii="楷体_GB2312" w:hAnsi="楷体" w:eastAsia="楷体_GB2312"/>
          <w:highlight w:val="none"/>
        </w:rPr>
        <w:t>六、产品的申购和赎回</w:t>
      </w:r>
      <w:r>
        <w:rPr>
          <w:rFonts w:hint="eastAsia" w:ascii="楷体_GB2312" w:hAnsi="楷体" w:eastAsia="楷体_GB2312" w:cs="Times New Roman"/>
          <w:color w:val="auto"/>
          <w:kern w:val="2"/>
          <w:highlight w:val="none"/>
        </w:rPr>
        <w:t>”</w:t>
      </w:r>
      <w:r>
        <w:rPr>
          <w:rFonts w:hint="eastAsia" w:ascii="楷体_GB2312" w:hAnsi="楷体" w:eastAsia="楷体_GB2312" w:cs="Times New Roman"/>
          <w:color w:val="auto"/>
          <w:kern w:val="2"/>
          <w:highlight w:val="none"/>
          <w:lang w:val="en-US" w:eastAsia="zh-CN"/>
        </w:rPr>
        <w:t>中“</w:t>
      </w:r>
      <w:r>
        <w:rPr>
          <w:rFonts w:hint="eastAsia" w:ascii="楷体_GB2312" w:hAnsi="楷体" w:eastAsia="楷体_GB2312" w:cs="Times New Roman"/>
          <w:color w:val="auto"/>
          <w:kern w:val="2"/>
          <w:highlight w:val="none"/>
        </w:rPr>
        <w:t>（四）巨额赎回</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条款约定的</w:t>
      </w:r>
      <w:r>
        <w:rPr>
          <w:rFonts w:hint="eastAsia" w:ascii="楷体_GB2312" w:hAnsi="楷体" w:eastAsia="楷体_GB2312"/>
          <w:highlight w:val="none"/>
        </w:rPr>
        <w:t>情形</w:t>
      </w:r>
      <w:r>
        <w:rPr>
          <w:rFonts w:hint="eastAsia" w:ascii="楷体_GB2312" w:hAnsi="楷体" w:eastAsia="楷体_GB2312"/>
          <w:highlight w:val="none"/>
          <w:lang w:val="en-US" w:eastAsia="zh-CN"/>
        </w:rPr>
        <w:t>时</w:t>
      </w:r>
      <w:r>
        <w:rPr>
          <w:rFonts w:hint="eastAsia" w:ascii="楷体_GB2312" w:hAnsi="楷体" w:eastAsia="楷体_GB2312"/>
          <w:highlight w:val="none"/>
        </w:rPr>
        <w:t>，为应对巨额赎回情形下可能发生的流动性风险，</w:t>
      </w:r>
      <w:r>
        <w:rPr>
          <w:rFonts w:hint="eastAsia" w:ascii="楷体_GB2312" w:hAnsi="楷体" w:eastAsia="楷体_GB2312"/>
          <w:highlight w:val="none"/>
          <w:lang w:eastAsia="zh-CN"/>
        </w:rPr>
        <w:t>产品管理人</w:t>
      </w:r>
      <w:r>
        <w:rPr>
          <w:rFonts w:hint="eastAsia" w:ascii="楷体_GB2312" w:hAnsi="楷体" w:eastAsia="楷体_GB2312"/>
          <w:highlight w:val="none"/>
        </w:rPr>
        <w:t>有权根据</w:t>
      </w:r>
      <w:r>
        <w:rPr>
          <w:rFonts w:hint="eastAsia" w:ascii="楷体_GB2312" w:hAnsi="楷体" w:eastAsia="楷体_GB2312"/>
          <w:highlight w:val="none"/>
          <w:lang w:val="en-US" w:eastAsia="zh-CN"/>
        </w:rPr>
        <w:t>本理财</w:t>
      </w:r>
      <w:r>
        <w:rPr>
          <w:rFonts w:hint="eastAsia" w:ascii="楷体_GB2312" w:hAnsi="楷体" w:eastAsia="楷体_GB2312"/>
          <w:highlight w:val="none"/>
        </w:rPr>
        <w:t>产品当时的投资运作情况决定采取全额赎回</w:t>
      </w:r>
      <w:r>
        <w:rPr>
          <w:rFonts w:hint="eastAsia" w:ascii="楷体_GB2312" w:hAnsi="楷体" w:eastAsia="楷体_GB2312"/>
          <w:highlight w:val="none"/>
          <w:lang w:eastAsia="zh-CN"/>
        </w:rPr>
        <w:t>、</w:t>
      </w:r>
      <w:r>
        <w:rPr>
          <w:rFonts w:hint="eastAsia" w:ascii="楷体_GB2312" w:hAnsi="楷体" w:eastAsia="楷体_GB2312"/>
          <w:highlight w:val="none"/>
        </w:rPr>
        <w:t>部分赎回</w:t>
      </w:r>
      <w:r>
        <w:rPr>
          <w:rFonts w:hint="eastAsia" w:ascii="楷体_GB2312" w:hAnsi="楷体" w:eastAsia="楷体_GB2312"/>
          <w:highlight w:val="none"/>
          <w:lang w:val="en-US" w:eastAsia="zh-CN"/>
        </w:rPr>
        <w:t>或</w:t>
      </w:r>
      <w:r>
        <w:rPr>
          <w:rFonts w:hint="eastAsia" w:ascii="楷体_GB2312" w:hAnsi="楷体" w:eastAsia="楷体_GB2312"/>
          <w:highlight w:val="none"/>
        </w:rPr>
        <w:t>延缓支付赎回款项等措施。</w:t>
      </w:r>
      <w:r>
        <w:rPr>
          <w:rFonts w:hint="eastAsia" w:ascii="楷体_GB2312" w:hAnsi="楷体" w:eastAsia="楷体_GB2312" w:cs="Times New Roman"/>
          <w:color w:val="auto"/>
          <w:kern w:val="2"/>
          <w:highlight w:val="none"/>
        </w:rPr>
        <w:t>投资者将面临不能及时赎回</w:t>
      </w:r>
      <w:r>
        <w:rPr>
          <w:rFonts w:hint="eastAsia" w:ascii="楷体_GB2312" w:hAnsi="楷体" w:eastAsia="楷体_GB2312" w:cs="Times New Roman"/>
          <w:color w:val="auto"/>
          <w:kern w:val="2"/>
          <w:highlight w:val="none"/>
          <w:lang w:eastAsia="zh-CN"/>
        </w:rPr>
        <w:t>本</w:t>
      </w:r>
      <w:r>
        <w:rPr>
          <w:rFonts w:hint="eastAsia" w:ascii="楷体_GB2312" w:hAnsi="楷体" w:eastAsia="楷体_GB2312" w:cs="Times New Roman"/>
          <w:color w:val="auto"/>
          <w:kern w:val="2"/>
          <w:highlight w:val="none"/>
        </w:rPr>
        <w:t>理财产品或赎回款项延缓支付的风险。</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仿宋" w:eastAsia="楷体_GB2312"/>
          <w:bCs/>
          <w:highlight w:val="none"/>
          <w:lang w:val="en-US" w:eastAsia="zh-CN"/>
        </w:rPr>
        <w:t>（3）拒绝或暂停申购</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楷体" w:eastAsia="楷体_GB2312"/>
          <w:highlight w:val="none"/>
          <w:lang w:val="en-US" w:eastAsia="zh-CN"/>
        </w:rPr>
        <w:t>发生</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产品说明书</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rPr>
        <w:t>“</w:t>
      </w:r>
      <w:r>
        <w:rPr>
          <w:rFonts w:hint="eastAsia" w:ascii="楷体_GB2312" w:hAnsi="楷体" w:eastAsia="楷体_GB2312"/>
          <w:highlight w:val="none"/>
        </w:rPr>
        <w:t>六、产品的申购和赎回</w:t>
      </w:r>
      <w:r>
        <w:rPr>
          <w:rFonts w:hint="eastAsia" w:ascii="楷体_GB2312" w:hAnsi="楷体" w:eastAsia="楷体_GB2312" w:cs="Times New Roman"/>
          <w:color w:val="auto"/>
          <w:kern w:val="2"/>
          <w:highlight w:val="none"/>
        </w:rPr>
        <w:t>”</w:t>
      </w:r>
      <w:r>
        <w:rPr>
          <w:rFonts w:hint="eastAsia" w:ascii="楷体_GB2312" w:hAnsi="楷体" w:eastAsia="楷体_GB2312" w:cs="Times New Roman"/>
          <w:color w:val="auto"/>
          <w:kern w:val="2"/>
          <w:highlight w:val="none"/>
          <w:lang w:val="en-US" w:eastAsia="zh-CN"/>
        </w:rPr>
        <w:t>中“</w:t>
      </w:r>
      <w:r>
        <w:rPr>
          <w:rFonts w:hint="eastAsia" w:ascii="楷体_GB2312" w:hAnsi="楷体" w:eastAsia="楷体_GB2312" w:cs="Times New Roman"/>
          <w:color w:val="auto"/>
          <w:kern w:val="2"/>
          <w:highlight w:val="none"/>
        </w:rPr>
        <w:t>（五）</w:t>
      </w:r>
      <w:r>
        <w:rPr>
          <w:rFonts w:hint="eastAsia" w:ascii="楷体_GB2312" w:hAnsi="宋体" w:eastAsia="楷体_GB2312"/>
          <w:color w:val="000000"/>
          <w:sz w:val="24"/>
          <w:highlight w:val="none"/>
          <w:lang w:val="en-US" w:eastAsia="zh-CN"/>
        </w:rPr>
        <w:t>拒绝或</w:t>
      </w:r>
      <w:r>
        <w:rPr>
          <w:rFonts w:hint="eastAsia" w:ascii="楷体_GB2312" w:hAnsi="宋体" w:eastAsia="楷体_GB2312"/>
          <w:color w:val="000000"/>
          <w:sz w:val="24"/>
          <w:highlight w:val="none"/>
        </w:rPr>
        <w:t>暂停申购</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条款约定的</w:t>
      </w:r>
      <w:r>
        <w:rPr>
          <w:rFonts w:hint="eastAsia" w:ascii="楷体_GB2312" w:hAnsi="楷体" w:eastAsia="楷体_GB2312"/>
          <w:highlight w:val="none"/>
        </w:rPr>
        <w:t>情形</w:t>
      </w:r>
      <w:r>
        <w:rPr>
          <w:rFonts w:hint="eastAsia" w:ascii="楷体_GB2312" w:hAnsi="楷体" w:eastAsia="楷体_GB2312"/>
          <w:highlight w:val="none"/>
          <w:lang w:val="en-US" w:eastAsia="zh-CN"/>
        </w:rPr>
        <w:t>时，</w:t>
      </w:r>
      <w:r>
        <w:rPr>
          <w:rFonts w:hint="eastAsia" w:ascii="楷体_GB2312" w:hAnsi="楷体" w:eastAsia="楷体_GB2312"/>
          <w:b w:val="0"/>
          <w:bCs w:val="0"/>
          <w:highlight w:val="none"/>
          <w:lang w:val="en-US" w:eastAsia="zh-CN"/>
        </w:rPr>
        <w:t>本理财产品的</w:t>
      </w:r>
      <w:r>
        <w:rPr>
          <w:rFonts w:hint="eastAsia" w:ascii="楷体_GB2312" w:hAnsi="楷体" w:eastAsia="楷体_GB2312"/>
          <w:highlight w:val="none"/>
          <w:lang w:val="en-US" w:eastAsia="zh-CN"/>
        </w:rPr>
        <w:t>产品管理人有权选择拒绝接受或暂停接受投资者的申购申请，届时投资者</w:t>
      </w:r>
      <w:r>
        <w:rPr>
          <w:rFonts w:hint="eastAsia" w:ascii="楷体_GB2312" w:hAnsi="仿宋" w:eastAsia="楷体_GB2312"/>
          <w:bCs/>
          <w:highlight w:val="none"/>
          <w:lang w:val="en-US" w:eastAsia="zh-CN"/>
        </w:rPr>
        <w:t>将面临全部或部分</w:t>
      </w:r>
      <w:r>
        <w:rPr>
          <w:rFonts w:hint="eastAsia" w:ascii="楷体_GB2312" w:hAnsi="仿宋" w:eastAsia="楷体_GB2312"/>
          <w:bCs/>
          <w:highlight w:val="none"/>
        </w:rPr>
        <w:t>申购</w:t>
      </w:r>
      <w:r>
        <w:rPr>
          <w:rFonts w:hint="eastAsia" w:ascii="楷体_GB2312" w:hAnsi="仿宋" w:eastAsia="楷体_GB2312"/>
          <w:bCs/>
          <w:highlight w:val="none"/>
          <w:lang w:val="en-US" w:eastAsia="zh-CN"/>
        </w:rPr>
        <w:t>申请被拒绝的风险。</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仿宋" w:eastAsia="楷体_GB2312"/>
          <w:bCs/>
          <w:highlight w:val="none"/>
          <w:lang w:val="en-US" w:eastAsia="zh-CN"/>
        </w:rPr>
        <w:t>（4）拒绝或</w:t>
      </w:r>
      <w:r>
        <w:rPr>
          <w:rFonts w:hint="eastAsia" w:ascii="楷体_GB2312" w:hAnsi="仿宋" w:eastAsia="楷体_GB2312"/>
          <w:bCs/>
          <w:highlight w:val="none"/>
        </w:rPr>
        <w:t>暂停赎回</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楷体" w:eastAsia="楷体_GB2312"/>
          <w:highlight w:val="none"/>
          <w:lang w:val="en-US" w:eastAsia="zh-CN"/>
        </w:rPr>
        <w:t>发生</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产品说明书</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rPr>
        <w:t>“</w:t>
      </w:r>
      <w:r>
        <w:rPr>
          <w:rFonts w:hint="eastAsia" w:ascii="楷体_GB2312" w:hAnsi="楷体" w:eastAsia="楷体_GB2312"/>
          <w:highlight w:val="none"/>
        </w:rPr>
        <w:t>六、产品的申购和赎回</w:t>
      </w:r>
      <w:r>
        <w:rPr>
          <w:rFonts w:hint="eastAsia" w:ascii="楷体_GB2312" w:hAnsi="楷体" w:eastAsia="楷体_GB2312" w:cs="Times New Roman"/>
          <w:color w:val="auto"/>
          <w:kern w:val="2"/>
          <w:highlight w:val="none"/>
        </w:rPr>
        <w:t>”</w:t>
      </w:r>
      <w:r>
        <w:rPr>
          <w:rFonts w:hint="eastAsia" w:ascii="楷体_GB2312" w:hAnsi="楷体" w:eastAsia="楷体_GB2312" w:cs="Times New Roman"/>
          <w:color w:val="auto"/>
          <w:kern w:val="2"/>
          <w:highlight w:val="none"/>
          <w:lang w:val="en-US" w:eastAsia="zh-CN"/>
        </w:rPr>
        <w:t>中“</w:t>
      </w:r>
      <w:r>
        <w:rPr>
          <w:rFonts w:hint="eastAsia" w:ascii="楷体_GB2312" w:hAnsi="楷体" w:eastAsia="楷体_GB2312" w:cs="Times New Roman"/>
          <w:color w:val="auto"/>
          <w:kern w:val="2"/>
          <w:highlight w:val="none"/>
        </w:rPr>
        <w:t>（六）拒绝或暂停赎回</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条款约定的</w:t>
      </w:r>
      <w:r>
        <w:rPr>
          <w:rFonts w:hint="eastAsia" w:ascii="楷体_GB2312" w:hAnsi="楷体" w:eastAsia="楷体_GB2312"/>
          <w:highlight w:val="none"/>
        </w:rPr>
        <w:t>情形</w:t>
      </w:r>
      <w:r>
        <w:rPr>
          <w:rFonts w:hint="eastAsia" w:ascii="楷体_GB2312" w:hAnsi="楷体" w:eastAsia="楷体_GB2312"/>
          <w:highlight w:val="none"/>
          <w:lang w:val="en-US" w:eastAsia="zh-CN"/>
        </w:rPr>
        <w:t>时，</w:t>
      </w:r>
      <w:r>
        <w:rPr>
          <w:rFonts w:hint="eastAsia" w:ascii="楷体_GB2312" w:hAnsi="楷体" w:eastAsia="楷体_GB2312"/>
          <w:b w:val="0"/>
          <w:bCs w:val="0"/>
          <w:highlight w:val="none"/>
          <w:lang w:val="en-US" w:eastAsia="zh-CN"/>
        </w:rPr>
        <w:t>本理财产品的</w:t>
      </w:r>
      <w:r>
        <w:rPr>
          <w:rFonts w:hint="eastAsia" w:ascii="楷体_GB2312" w:hAnsi="楷体" w:eastAsia="楷体_GB2312"/>
          <w:highlight w:val="none"/>
          <w:lang w:val="en-US" w:eastAsia="zh-CN"/>
        </w:rPr>
        <w:t>产品管理人有权选择拒绝接受或暂停接受投资者的赎回申请</w:t>
      </w:r>
      <w:r>
        <w:rPr>
          <w:rFonts w:hint="eastAsia" w:ascii="楷体_GB2312" w:hAnsi="楷体" w:eastAsia="楷体_GB2312"/>
          <w:highlight w:val="none"/>
        </w:rPr>
        <w:t>，</w:t>
      </w:r>
      <w:r>
        <w:rPr>
          <w:rFonts w:hint="eastAsia" w:ascii="楷体_GB2312" w:hAnsi="楷体" w:eastAsia="楷体_GB2312"/>
          <w:highlight w:val="none"/>
          <w:lang w:val="en-US" w:eastAsia="zh-CN"/>
        </w:rPr>
        <w:t>届时</w:t>
      </w:r>
      <w:r>
        <w:rPr>
          <w:rFonts w:hint="eastAsia" w:ascii="楷体_GB2312" w:hAnsi="楷体" w:eastAsia="楷体_GB2312"/>
          <w:highlight w:val="none"/>
        </w:rPr>
        <w:t>投资者将无法赎回其持有的</w:t>
      </w:r>
      <w:r>
        <w:rPr>
          <w:rFonts w:hint="eastAsia" w:ascii="楷体_GB2312" w:hAnsi="楷体" w:eastAsia="楷体_GB2312"/>
          <w:highlight w:val="none"/>
          <w:lang w:eastAsia="zh-CN"/>
        </w:rPr>
        <w:t>本</w:t>
      </w:r>
      <w:r>
        <w:rPr>
          <w:rFonts w:hint="eastAsia" w:ascii="楷体_GB2312" w:hAnsi="楷体" w:eastAsia="楷体_GB2312"/>
          <w:highlight w:val="none"/>
          <w:lang w:val="en-US" w:eastAsia="zh-CN"/>
        </w:rPr>
        <w:t>理财</w:t>
      </w:r>
      <w:r>
        <w:rPr>
          <w:rFonts w:hint="eastAsia" w:ascii="楷体_GB2312" w:hAnsi="楷体" w:eastAsia="楷体_GB2312"/>
          <w:highlight w:val="none"/>
        </w:rPr>
        <w:t>产品份额，并且投资者未能赎回的</w:t>
      </w:r>
      <w:r>
        <w:rPr>
          <w:rFonts w:hint="eastAsia" w:ascii="楷体_GB2312" w:hAnsi="楷体" w:eastAsia="楷体_GB2312"/>
          <w:highlight w:val="none"/>
          <w:lang w:eastAsia="zh-CN"/>
        </w:rPr>
        <w:t>本</w:t>
      </w:r>
      <w:r>
        <w:rPr>
          <w:rFonts w:hint="eastAsia" w:ascii="楷体_GB2312" w:hAnsi="楷体" w:eastAsia="楷体_GB2312"/>
          <w:highlight w:val="none"/>
          <w:lang w:val="en-US" w:eastAsia="zh-CN"/>
        </w:rPr>
        <w:t>理财</w:t>
      </w:r>
      <w:r>
        <w:rPr>
          <w:rFonts w:hint="eastAsia" w:ascii="楷体_GB2312" w:hAnsi="仿宋" w:eastAsia="楷体_GB2312"/>
          <w:bCs/>
          <w:highlight w:val="none"/>
          <w:lang w:val="en-US" w:eastAsia="zh-CN"/>
        </w:rPr>
        <w:t>产品份额还将面临净值波动的风险。</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仿宋" w:eastAsia="楷体_GB2312"/>
          <w:bCs/>
          <w:highlight w:val="none"/>
          <w:lang w:val="en-US" w:eastAsia="zh-CN"/>
        </w:rPr>
        <w:t>（5）延期办理赎回申请</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仿宋" w:eastAsia="楷体_GB2312"/>
          <w:bCs/>
          <w:highlight w:val="none"/>
          <w:lang w:val="en-US" w:eastAsia="zh-CN"/>
        </w:rPr>
        <w:t>发生《理财产品说明书》“六、产品的申购和赎回”中“（七）延期办理赎回申请”条款约定的情形时，本理财产品的产品管理人有权选择延期办理赎回申请，届时投资者将无法及时赎回其持有的本理财产品份额，并且投资者未能及时赎回的本理财产品份额还将面临净值波动的风险。</w:t>
      </w:r>
    </w:p>
    <w:p>
      <w:pPr>
        <w:pStyle w:val="31"/>
        <w:spacing w:beforeLines="0" w:afterLines="0"/>
        <w:ind w:firstLine="480" w:firstLineChars="200"/>
        <w:rPr>
          <w:rFonts w:hint="eastAsia" w:ascii="楷体_GB2312" w:hAnsi="仿宋" w:eastAsia="楷体_GB2312"/>
          <w:bCs/>
          <w:highlight w:val="none"/>
          <w:lang w:val="en-US" w:eastAsia="zh-CN"/>
        </w:rPr>
      </w:pPr>
      <w:r>
        <w:rPr>
          <w:rFonts w:hint="eastAsia" w:ascii="楷体_GB2312" w:hAnsi="仿宋" w:eastAsia="楷体_GB2312"/>
          <w:bCs/>
          <w:highlight w:val="none"/>
          <w:lang w:val="en-US" w:eastAsia="zh-CN"/>
        </w:rPr>
        <w:t>（</w:t>
      </w:r>
      <w:r>
        <w:rPr>
          <w:rFonts w:hint="default" w:ascii="楷体_GB2312" w:hAnsi="仿宋" w:eastAsia="楷体_GB2312"/>
          <w:bCs/>
          <w:highlight w:val="none"/>
          <w:lang w:val="en-US" w:eastAsia="zh-CN"/>
        </w:rPr>
        <w:t>6</w:t>
      </w:r>
      <w:r>
        <w:rPr>
          <w:rFonts w:hint="eastAsia" w:ascii="楷体_GB2312" w:hAnsi="仿宋" w:eastAsia="楷体_GB2312"/>
          <w:bCs/>
          <w:highlight w:val="none"/>
          <w:lang w:val="en-US" w:eastAsia="zh-CN"/>
        </w:rPr>
        <w:t>）延缓支付赎回款项</w:t>
      </w:r>
    </w:p>
    <w:p>
      <w:pPr>
        <w:pStyle w:val="31"/>
        <w:spacing w:beforeLines="0" w:afterLines="0"/>
        <w:ind w:firstLine="480" w:firstLineChars="200"/>
        <w:rPr>
          <w:rFonts w:hint="eastAsia" w:ascii="楷体_GB2312" w:hAnsi="楷体" w:eastAsia="楷体_GB2312"/>
          <w:highlight w:val="none"/>
        </w:rPr>
      </w:pPr>
      <w:r>
        <w:rPr>
          <w:rFonts w:hint="eastAsia" w:ascii="楷体_GB2312" w:hAnsi="楷体" w:eastAsia="楷体_GB2312"/>
          <w:highlight w:val="none"/>
          <w:lang w:val="en-US" w:eastAsia="zh-CN"/>
        </w:rPr>
        <w:t>发生</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理财</w:t>
      </w:r>
      <w:r>
        <w:rPr>
          <w:rFonts w:hint="eastAsia" w:ascii="楷体_GB2312" w:hAnsi="楷体" w:eastAsia="楷体_GB2312" w:cs="Times New Roman"/>
          <w:color w:val="auto"/>
          <w:kern w:val="2"/>
          <w:highlight w:val="none"/>
        </w:rPr>
        <w:t>产品说明书</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rPr>
        <w:t>“</w:t>
      </w:r>
      <w:r>
        <w:rPr>
          <w:rFonts w:hint="eastAsia" w:ascii="楷体_GB2312" w:hAnsi="楷体" w:eastAsia="楷体_GB2312"/>
          <w:highlight w:val="none"/>
        </w:rPr>
        <w:t>六、产品的申购和赎回</w:t>
      </w:r>
      <w:r>
        <w:rPr>
          <w:rFonts w:hint="eastAsia" w:ascii="楷体_GB2312" w:hAnsi="楷体" w:eastAsia="楷体_GB2312" w:cs="Times New Roman"/>
          <w:color w:val="auto"/>
          <w:kern w:val="2"/>
          <w:highlight w:val="none"/>
        </w:rPr>
        <w:t>”</w:t>
      </w:r>
      <w:r>
        <w:rPr>
          <w:rFonts w:hint="eastAsia" w:ascii="楷体_GB2312" w:hAnsi="楷体" w:eastAsia="楷体_GB2312" w:cs="Times New Roman"/>
          <w:color w:val="auto"/>
          <w:kern w:val="2"/>
          <w:highlight w:val="none"/>
          <w:lang w:val="en-US" w:eastAsia="zh-CN"/>
        </w:rPr>
        <w:t>中“</w:t>
      </w:r>
      <w:r>
        <w:rPr>
          <w:rFonts w:hint="eastAsia" w:ascii="楷体_GB2312" w:hAnsi="楷体" w:eastAsia="楷体_GB2312" w:cs="Times New Roman"/>
          <w:color w:val="auto"/>
          <w:kern w:val="2"/>
          <w:highlight w:val="none"/>
        </w:rPr>
        <w:t>（</w:t>
      </w:r>
      <w:r>
        <w:rPr>
          <w:rFonts w:hint="eastAsia" w:ascii="楷体_GB2312" w:hAnsi="楷体" w:eastAsia="楷体_GB2312" w:cs="Times New Roman"/>
          <w:color w:val="auto"/>
          <w:kern w:val="2"/>
          <w:highlight w:val="none"/>
          <w:lang w:val="en-US" w:eastAsia="zh-CN"/>
        </w:rPr>
        <w:t>八</w:t>
      </w:r>
      <w:r>
        <w:rPr>
          <w:rFonts w:hint="eastAsia" w:ascii="楷体_GB2312" w:hAnsi="楷体" w:eastAsia="楷体_GB2312" w:cs="Times New Roman"/>
          <w:color w:val="auto"/>
          <w:kern w:val="2"/>
          <w:highlight w:val="none"/>
        </w:rPr>
        <w:t>）延缓支付赎回款项</w:t>
      </w:r>
      <w:r>
        <w:rPr>
          <w:rFonts w:hint="eastAsia" w:ascii="楷体_GB2312" w:hAnsi="楷体" w:eastAsia="楷体_GB2312" w:cs="Times New Roman"/>
          <w:color w:val="auto"/>
          <w:kern w:val="2"/>
          <w:highlight w:val="none"/>
          <w:lang w:eastAsia="zh-CN"/>
        </w:rPr>
        <w:t>”</w:t>
      </w:r>
      <w:r>
        <w:rPr>
          <w:rFonts w:hint="eastAsia" w:ascii="楷体_GB2312" w:hAnsi="楷体" w:eastAsia="楷体_GB2312" w:cs="Times New Roman"/>
          <w:color w:val="auto"/>
          <w:kern w:val="2"/>
          <w:highlight w:val="none"/>
          <w:lang w:val="en-US" w:eastAsia="zh-CN"/>
        </w:rPr>
        <w:t>条款约定的</w:t>
      </w:r>
      <w:r>
        <w:rPr>
          <w:rFonts w:hint="eastAsia" w:ascii="楷体_GB2312" w:hAnsi="楷体" w:eastAsia="楷体_GB2312"/>
          <w:highlight w:val="none"/>
        </w:rPr>
        <w:t>情形</w:t>
      </w:r>
      <w:r>
        <w:rPr>
          <w:rFonts w:hint="eastAsia" w:ascii="楷体_GB2312" w:hAnsi="楷体" w:eastAsia="楷体_GB2312"/>
          <w:highlight w:val="none"/>
          <w:lang w:val="en-US" w:eastAsia="zh-CN"/>
        </w:rPr>
        <w:t>时，</w:t>
      </w:r>
      <w:r>
        <w:rPr>
          <w:rFonts w:hint="eastAsia" w:ascii="楷体_GB2312" w:hAnsi="楷体" w:eastAsia="楷体_GB2312"/>
          <w:b w:val="0"/>
          <w:bCs w:val="0"/>
          <w:highlight w:val="none"/>
          <w:lang w:val="en-US" w:eastAsia="zh-CN"/>
        </w:rPr>
        <w:t>本理财产品的</w:t>
      </w:r>
      <w:r>
        <w:rPr>
          <w:rFonts w:hint="eastAsia" w:ascii="楷体_GB2312" w:hAnsi="楷体" w:eastAsia="楷体_GB2312"/>
          <w:highlight w:val="none"/>
          <w:lang w:val="en-US" w:eastAsia="zh-CN"/>
        </w:rPr>
        <w:t>产品管理人有权</w:t>
      </w:r>
      <w:r>
        <w:rPr>
          <w:rFonts w:hint="eastAsia" w:ascii="楷体_GB2312" w:hAnsi="楷体" w:eastAsia="楷体_GB2312"/>
          <w:highlight w:val="none"/>
        </w:rPr>
        <w:t>采用延缓支付赎回款项的流动性风险应对措施</w:t>
      </w:r>
      <w:r>
        <w:rPr>
          <w:rFonts w:hint="eastAsia" w:ascii="楷体_GB2312" w:hAnsi="楷体" w:eastAsia="楷体_GB2312"/>
          <w:highlight w:val="none"/>
          <w:lang w:eastAsia="zh-CN"/>
        </w:rPr>
        <w:t>，</w:t>
      </w:r>
      <w:r>
        <w:rPr>
          <w:rFonts w:hint="eastAsia" w:ascii="楷体_GB2312" w:hAnsi="楷体" w:eastAsia="楷体_GB2312"/>
          <w:highlight w:val="none"/>
          <w:lang w:val="en-US" w:eastAsia="zh-CN"/>
        </w:rPr>
        <w:t>届时</w:t>
      </w:r>
      <w:r>
        <w:rPr>
          <w:rFonts w:hint="eastAsia" w:ascii="楷体_GB2312" w:hAnsi="楷体" w:eastAsia="楷体_GB2312"/>
          <w:highlight w:val="none"/>
        </w:rPr>
        <w:t>投资</w:t>
      </w:r>
      <w:r>
        <w:rPr>
          <w:rFonts w:hint="eastAsia" w:ascii="楷体_GB2312" w:hAnsi="楷体" w:eastAsia="楷体_GB2312"/>
          <w:highlight w:val="none"/>
          <w:lang w:val="en-US" w:eastAsia="zh-CN"/>
        </w:rPr>
        <w:t>者将面临延迟</w:t>
      </w:r>
      <w:r>
        <w:rPr>
          <w:rFonts w:hint="eastAsia" w:ascii="楷体_GB2312" w:hAnsi="楷体" w:eastAsia="楷体_GB2312"/>
          <w:highlight w:val="none"/>
        </w:rPr>
        <w:t>接收赎回款项</w:t>
      </w:r>
      <w:r>
        <w:rPr>
          <w:rFonts w:hint="eastAsia" w:ascii="楷体_GB2312" w:hAnsi="楷体" w:eastAsia="楷体_GB2312"/>
          <w:highlight w:val="none"/>
          <w:lang w:val="en-US" w:eastAsia="zh-CN"/>
        </w:rPr>
        <w:t>的风险</w:t>
      </w:r>
      <w:r>
        <w:rPr>
          <w:rFonts w:hint="eastAsia" w:ascii="楷体_GB2312" w:hAnsi="楷体" w:eastAsia="楷体_GB2312"/>
          <w:highlight w:val="none"/>
        </w:rPr>
        <w:t>。</w:t>
      </w:r>
    </w:p>
    <w:p>
      <w:pPr>
        <w:pStyle w:val="31"/>
        <w:spacing w:beforeLines="0" w:afterLines="0"/>
        <w:ind w:firstLine="480" w:firstLineChars="200"/>
        <w:rPr>
          <w:rFonts w:hint="eastAsia" w:ascii="楷体_GB2312" w:hAnsi="楷体" w:eastAsia="楷体_GB2312" w:cs="Times New Roman"/>
          <w:color w:val="auto"/>
          <w:kern w:val="2"/>
          <w:highlight w:val="none"/>
        </w:rPr>
      </w:pPr>
      <w:r>
        <w:rPr>
          <w:rFonts w:hint="eastAsia" w:ascii="楷体_GB2312" w:hAnsi="楷体" w:eastAsia="楷体_GB2312"/>
          <w:highlight w:val="none"/>
          <w:lang w:val="en-US" w:eastAsia="zh-CN"/>
        </w:rPr>
        <w:t>除上述</w:t>
      </w:r>
      <w:r>
        <w:rPr>
          <w:rFonts w:hint="eastAsia" w:ascii="楷体_GB2312" w:hAnsi="楷体" w:eastAsia="楷体_GB2312"/>
          <w:highlight w:val="none"/>
        </w:rPr>
        <w:t>流动性风险应对措施</w:t>
      </w:r>
      <w:r>
        <w:rPr>
          <w:rFonts w:hint="eastAsia" w:ascii="楷体_GB2312" w:hAnsi="楷体" w:eastAsia="楷体_GB2312"/>
          <w:highlight w:val="none"/>
          <w:lang w:val="en-US" w:eastAsia="zh-CN"/>
        </w:rPr>
        <w:t>外，本理财产品的产品管理人还可根据实际业务情况，采取收取短期赎回费、暂停理财产品估值等</w:t>
      </w:r>
      <w:r>
        <w:rPr>
          <w:rFonts w:hint="eastAsia" w:ascii="楷体_GB2312" w:hAnsi="楷体" w:eastAsia="楷体_GB2312"/>
          <w:sz w:val="24"/>
          <w:highlight w:val="none"/>
        </w:rPr>
        <w:t>国家金融监督管理总局</w:t>
      </w:r>
      <w:r>
        <w:rPr>
          <w:rFonts w:hint="eastAsia" w:ascii="楷体_GB2312" w:hAnsi="楷体" w:eastAsia="楷体_GB2312"/>
          <w:sz w:val="24"/>
          <w:highlight w:val="none"/>
          <w:lang w:val="en-US" w:eastAsia="zh-CN"/>
        </w:rPr>
        <w:t>规定的其他措施。</w:t>
      </w:r>
    </w:p>
    <w:p>
      <w:pPr>
        <w:pStyle w:val="31"/>
        <w:numPr>
          <w:ilvl w:val="0"/>
          <w:numId w:val="1"/>
        </w:numPr>
        <w:ind w:firstLine="482" w:firstLineChars="200"/>
        <w:rPr>
          <w:rFonts w:hint="eastAsia" w:ascii="楷体_GB2312" w:hAnsi="楷体" w:eastAsia="楷体_GB2312" w:cs="Times New Roman"/>
          <w:b/>
          <w:bCs/>
          <w:color w:val="auto"/>
          <w:kern w:val="2"/>
          <w:highlight w:val="none"/>
          <w:lang w:val="en-US" w:eastAsia="zh-CN"/>
        </w:rPr>
      </w:pPr>
      <w:r>
        <w:rPr>
          <w:rFonts w:hint="eastAsia" w:ascii="楷体_GB2312" w:hAnsi="楷体" w:eastAsia="楷体_GB2312" w:cs="Times New Roman"/>
          <w:b/>
          <w:bCs/>
          <w:color w:val="auto"/>
          <w:kern w:val="2"/>
          <w:highlight w:val="none"/>
          <w:lang w:val="en-US" w:eastAsia="zh-CN"/>
        </w:rPr>
        <w:t>因投资者流动性需求与本理财产品的认/申购、赎回安排不相符而产生的风险。</w:t>
      </w:r>
    </w:p>
    <w:p>
      <w:pPr>
        <w:pStyle w:val="31"/>
        <w:spacing w:beforeLines="0" w:afterLines="0"/>
        <w:ind w:firstLine="482" w:firstLineChars="200"/>
        <w:rPr>
          <w:rFonts w:ascii="楷体_GB2312" w:hAnsi="楷体" w:eastAsia="楷体_GB2312"/>
          <w:b/>
          <w:bCs/>
          <w:highlight w:val="none"/>
        </w:rPr>
      </w:pPr>
      <w:r>
        <w:rPr>
          <w:rFonts w:hint="eastAsia" w:ascii="楷体_GB2312" w:hAnsi="楷体" w:eastAsia="楷体_GB2312" w:cs="Times New Roman"/>
          <w:b/>
          <w:bCs/>
          <w:color w:val="auto"/>
          <w:kern w:val="2"/>
          <w:highlight w:val="none"/>
          <w:lang w:val="en-US" w:eastAsia="zh-CN"/>
        </w:rPr>
        <w:t>本理财产品为开放式产品，除本理财产品销售文件另有约定外，投资者只能在理财产品开放日的交易时间内进行申购、赎回，具体请参见《理财产品说明书》“三、产品概况和基本要素”部分。上述安排可能影响投资者的资金流动性安排，如果投资者在非开放日产生流动性需求，则可能面临本理财产品不能随时变现、持有期与资金需求日不匹配的风险。投资者应当根据自身投资目标、投资期限等情况审慎作出投资决策。</w:t>
      </w:r>
    </w:p>
    <w:p>
      <w:pPr>
        <w:ind w:firstLine="361" w:firstLineChars="150"/>
        <w:rPr>
          <w:rFonts w:ascii="楷体_GB2312" w:hAnsi="楷体" w:eastAsia="楷体_GB2312"/>
          <w:sz w:val="24"/>
          <w:highlight w:val="none"/>
        </w:rPr>
      </w:pPr>
      <w:r>
        <w:rPr>
          <w:rFonts w:hint="eastAsia" w:ascii="楷体_GB2312" w:hAnsi="楷体" w:eastAsia="楷体_GB2312"/>
          <w:b/>
          <w:bCs/>
          <w:sz w:val="24"/>
          <w:highlight w:val="none"/>
        </w:rPr>
        <w:t>（四）管理风险：</w:t>
      </w:r>
      <w:r>
        <w:rPr>
          <w:rFonts w:hint="eastAsia" w:ascii="楷体_GB2312" w:hAnsi="楷体" w:eastAsia="楷体_GB2312"/>
          <w:sz w:val="24"/>
          <w:highlight w:val="none"/>
        </w:rPr>
        <w:t>由于本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CN"/>
        </w:rPr>
        <w:t>产品的产品管理人</w:t>
      </w:r>
      <w:r>
        <w:rPr>
          <w:rFonts w:hint="eastAsia" w:ascii="楷体_GB2312" w:hAnsi="楷体" w:eastAsia="楷体_GB2312"/>
          <w:sz w:val="24"/>
          <w:highlight w:val="none"/>
        </w:rPr>
        <w:t>、所投资的信托计划</w:t>
      </w:r>
      <w:r>
        <w:rPr>
          <w:rFonts w:ascii="楷体_GB2312" w:hAnsi="楷体" w:eastAsia="楷体_GB2312"/>
          <w:sz w:val="24"/>
          <w:highlight w:val="none"/>
        </w:rPr>
        <w:t>/</w:t>
      </w:r>
      <w:r>
        <w:rPr>
          <w:rFonts w:hint="eastAsia" w:ascii="楷体_GB2312" w:hAnsi="楷体" w:eastAsia="楷体_GB2312"/>
          <w:sz w:val="24"/>
          <w:highlight w:val="none"/>
        </w:rPr>
        <w:t>资管计划的受托人</w:t>
      </w:r>
      <w:r>
        <w:rPr>
          <w:rFonts w:ascii="楷体_GB2312" w:hAnsi="楷体" w:eastAsia="楷体_GB2312"/>
          <w:sz w:val="24"/>
          <w:highlight w:val="none"/>
        </w:rPr>
        <w:t>/</w:t>
      </w:r>
      <w:r>
        <w:rPr>
          <w:rFonts w:hint="eastAsia" w:ascii="楷体_GB2312" w:hAnsi="楷体" w:eastAsia="楷体_GB2312"/>
          <w:sz w:val="24"/>
          <w:highlight w:val="none"/>
        </w:rPr>
        <w:t>资产</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（若有）、投资顾问（若有）等，受经验、技能等因素的限制，会影响其对信息的获取和对经济形势、金融市场价格走势的判断</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如</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w:t>
      </w:r>
      <w:r>
        <w:rPr>
          <w:rFonts w:hint="eastAsia" w:ascii="楷体_GB2312" w:hAnsi="楷体" w:eastAsia="楷体_GB2312"/>
          <w:sz w:val="24"/>
          <w:highlight w:val="none"/>
        </w:rPr>
        <w:t>受托人</w:t>
      </w:r>
      <w:r>
        <w:rPr>
          <w:rFonts w:ascii="楷体_GB2312" w:hAnsi="楷体" w:eastAsia="楷体_GB2312"/>
          <w:sz w:val="24"/>
          <w:highlight w:val="none"/>
        </w:rPr>
        <w:t>/</w:t>
      </w:r>
      <w:r>
        <w:rPr>
          <w:rFonts w:hint="eastAsia" w:ascii="楷体_GB2312" w:hAnsi="楷体" w:eastAsia="楷体_GB2312"/>
          <w:sz w:val="24"/>
          <w:highlight w:val="none"/>
        </w:rPr>
        <w:t>资产</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（若有）、投资顾问（若有）等判断有误、获取信息不全或对投资工具使用不当等，可能会对本理财产品的运作和管理造成一定影响，</w:t>
      </w:r>
      <w:r>
        <w:rPr>
          <w:rFonts w:hint="eastAsia" w:ascii="楷体_GB2312" w:hAnsi="楷体" w:eastAsia="楷体_GB2312"/>
          <w:sz w:val="24"/>
          <w:highlight w:val="none"/>
          <w:lang w:val="en-US" w:eastAsia="zh-CN"/>
        </w:rPr>
        <w:t>则</w:t>
      </w:r>
      <w:r>
        <w:rPr>
          <w:rFonts w:hint="eastAsia" w:ascii="楷体_GB2312" w:hAnsi="楷体" w:eastAsia="楷体_GB2312"/>
          <w:sz w:val="24"/>
          <w:highlight w:val="none"/>
        </w:rPr>
        <w:t>投资者可能面临本金和收益遭受部分甚至全部损失的风险</w:t>
      </w:r>
      <w:r>
        <w:rPr>
          <w:rFonts w:hint="eastAsia" w:ascii="楷体_GB2312" w:hAnsi="楷体" w:eastAsia="楷体_GB2312"/>
          <w:sz w:val="24"/>
          <w:highlight w:val="none"/>
          <w:lang w:eastAsia="zh-CN"/>
        </w:rPr>
        <w:t>。</w:t>
      </w:r>
    </w:p>
    <w:p>
      <w:pPr>
        <w:ind w:firstLine="361" w:firstLineChars="150"/>
        <w:rPr>
          <w:rFonts w:ascii="楷体_GB2312" w:hAnsi="楷体" w:eastAsia="楷体_GB2312"/>
          <w:sz w:val="24"/>
          <w:highlight w:val="none"/>
        </w:rPr>
      </w:pPr>
      <w:r>
        <w:rPr>
          <w:rFonts w:hint="eastAsia" w:ascii="楷体_GB2312" w:hAnsi="楷体" w:eastAsia="楷体_GB2312"/>
          <w:b/>
          <w:bCs/>
          <w:sz w:val="24"/>
          <w:highlight w:val="none"/>
        </w:rPr>
        <w:t>（五）操作风险：</w:t>
      </w:r>
      <w:r>
        <w:rPr>
          <w:rFonts w:hint="eastAsia" w:ascii="楷体_GB2312" w:hAnsi="楷体" w:eastAsia="楷体_GB2312"/>
          <w:sz w:val="24"/>
          <w:highlight w:val="none"/>
        </w:rPr>
        <w:t>如本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CN"/>
        </w:rPr>
        <w:t>产品的产品管理人</w:t>
      </w:r>
      <w:r>
        <w:rPr>
          <w:rFonts w:hint="eastAsia" w:ascii="楷体_GB2312" w:hAnsi="楷体" w:eastAsia="楷体_GB2312"/>
          <w:sz w:val="24"/>
          <w:highlight w:val="none"/>
        </w:rPr>
        <w:t>由于内部作业、人员管理、系统操作及事务处理不当或失误等，</w:t>
      </w:r>
      <w:r>
        <w:rPr>
          <w:rFonts w:hint="eastAsia" w:ascii="楷体_GB2312" w:hAnsi="楷体" w:eastAsia="楷体_GB2312"/>
          <w:b w:val="0"/>
          <w:bCs w:val="0"/>
          <w:sz w:val="24"/>
          <w:highlight w:val="none"/>
        </w:rPr>
        <w:t>则投资者可能面临本金和收益遭受部分甚至全部损失的风险。</w:t>
      </w:r>
    </w:p>
    <w:p>
      <w:pPr>
        <w:ind w:firstLine="361" w:firstLineChars="150"/>
        <w:rPr>
          <w:rFonts w:ascii="楷体_GB2312" w:hAnsi="华文中宋" w:eastAsia="楷体_GB2312"/>
          <w:bCs/>
          <w:sz w:val="24"/>
          <w:highlight w:val="none"/>
        </w:rPr>
      </w:pPr>
      <w:r>
        <w:rPr>
          <w:rFonts w:hint="eastAsia" w:ascii="楷体_GB2312" w:hAnsi="楷体" w:eastAsia="楷体_GB2312"/>
          <w:b/>
          <w:bCs/>
          <w:sz w:val="24"/>
          <w:highlight w:val="none"/>
        </w:rPr>
        <w:t>（六）</w:t>
      </w:r>
      <w:r>
        <w:rPr>
          <w:rFonts w:hint="eastAsia" w:ascii="楷体_GB2312" w:hAnsi="楷体" w:eastAsia="楷体_GB2312"/>
          <w:b/>
          <w:bCs/>
          <w:sz w:val="24"/>
          <w:highlight w:val="none"/>
          <w:lang w:val="en-US" w:eastAsia="zh-CN"/>
        </w:rPr>
        <w:t>法律和</w:t>
      </w:r>
      <w:r>
        <w:rPr>
          <w:rFonts w:hint="eastAsia" w:ascii="楷体_GB2312" w:hAnsi="楷体" w:eastAsia="楷体_GB2312"/>
          <w:b/>
          <w:bCs/>
          <w:sz w:val="24"/>
          <w:highlight w:val="none"/>
        </w:rPr>
        <w:t>政策风险：</w:t>
      </w:r>
      <w:r>
        <w:rPr>
          <w:rFonts w:hint="eastAsia" w:ascii="楷体_GB2312" w:hAnsi="华文中宋" w:eastAsia="楷体_GB2312"/>
          <w:bCs/>
          <w:sz w:val="24"/>
          <w:highlight w:val="none"/>
        </w:rPr>
        <w:t>本</w:t>
      </w:r>
      <w:r>
        <w:rPr>
          <w:rFonts w:hint="eastAsia" w:ascii="楷体_GB2312" w:hAnsi="楷体" w:eastAsia="楷体_GB2312"/>
          <w:sz w:val="24"/>
          <w:highlight w:val="none"/>
          <w:lang w:val="en-US" w:eastAsia="zh-CN"/>
        </w:rPr>
        <w:t>理财</w:t>
      </w:r>
      <w:r>
        <w:rPr>
          <w:rFonts w:hint="eastAsia" w:ascii="楷体_GB2312" w:hAnsi="华文中宋" w:eastAsia="楷体_GB2312"/>
          <w:bCs/>
          <w:sz w:val="24"/>
          <w:highlight w:val="none"/>
        </w:rPr>
        <w:t>产品是针对当前的相关法律法规、监管要求和政策设计的，如国家宏观政策以及相关法律法规、监管要求发生变化，将影响</w:t>
      </w:r>
      <w:r>
        <w:rPr>
          <w:rFonts w:hint="eastAsia" w:ascii="楷体_GB2312" w:hAnsi="华文中宋" w:eastAsia="楷体_GB2312"/>
          <w:bCs/>
          <w:sz w:val="24"/>
          <w:highlight w:val="none"/>
          <w:lang w:eastAsia="zh-CN"/>
        </w:rPr>
        <w:t>本理财产品</w:t>
      </w:r>
      <w:r>
        <w:rPr>
          <w:rFonts w:hint="eastAsia" w:ascii="楷体_GB2312" w:hAnsi="华文中宋" w:eastAsia="楷体_GB2312"/>
          <w:bCs/>
          <w:sz w:val="24"/>
          <w:highlight w:val="none"/>
        </w:rPr>
        <w:t>发行、投资、兑付等工作的正常进行，进而可能造成</w:t>
      </w:r>
      <w:r>
        <w:rPr>
          <w:rFonts w:hint="eastAsia" w:ascii="楷体_GB2312" w:hAnsi="华文中宋" w:eastAsia="楷体_GB2312"/>
          <w:bCs/>
          <w:sz w:val="24"/>
          <w:highlight w:val="none"/>
          <w:lang w:eastAsia="zh-CN"/>
        </w:rPr>
        <w:t>本理财产品</w:t>
      </w:r>
      <w:r>
        <w:rPr>
          <w:rFonts w:hint="eastAsia" w:ascii="楷体_GB2312" w:hAnsi="华文中宋" w:eastAsia="楷体_GB2312"/>
          <w:bCs/>
          <w:sz w:val="24"/>
          <w:highlight w:val="none"/>
        </w:rPr>
        <w:t>的收益降低</w:t>
      </w:r>
      <w:r>
        <w:rPr>
          <w:rFonts w:hint="eastAsia" w:ascii="楷体_GB2312" w:hAnsi="华文中宋" w:eastAsia="楷体_GB2312"/>
          <w:bCs/>
          <w:sz w:val="24"/>
          <w:highlight w:val="none"/>
          <w:lang w:eastAsia="zh-CN"/>
        </w:rPr>
        <w:t>或</w:t>
      </w:r>
      <w:r>
        <w:rPr>
          <w:rFonts w:hint="eastAsia" w:ascii="楷体_GB2312" w:hAnsi="楷体" w:eastAsia="楷体_GB2312"/>
          <w:bCs/>
          <w:sz w:val="24"/>
          <w:highlight w:val="none"/>
        </w:rPr>
        <w:t>本金损失</w:t>
      </w:r>
      <w:r>
        <w:rPr>
          <w:rFonts w:hint="eastAsia" w:ascii="楷体_GB2312" w:hAnsi="楷体" w:eastAsia="楷体_GB2312"/>
          <w:bCs/>
          <w:sz w:val="24"/>
          <w:highlight w:val="none"/>
          <w:lang w:eastAsia="zh-CN"/>
        </w:rPr>
        <w:t>，</w:t>
      </w:r>
      <w:r>
        <w:rPr>
          <w:rFonts w:hint="eastAsia" w:ascii="楷体_GB2312" w:hAnsi="楷体" w:eastAsia="楷体_GB2312"/>
          <w:b w:val="0"/>
          <w:bCs w:val="0"/>
          <w:sz w:val="24"/>
          <w:highlight w:val="none"/>
        </w:rPr>
        <w:t>则投资者可能面临本金和收益遭受部分甚至全部损失的风险。</w:t>
      </w:r>
    </w:p>
    <w:p>
      <w:pPr>
        <w:ind w:firstLine="361" w:firstLineChars="150"/>
        <w:rPr>
          <w:rFonts w:ascii="楷体_GB2312" w:hAnsi="华文中宋" w:eastAsia="楷体_GB2312"/>
          <w:bCs/>
          <w:sz w:val="24"/>
          <w:highlight w:val="none"/>
        </w:rPr>
      </w:pPr>
      <w:r>
        <w:rPr>
          <w:rFonts w:hint="eastAsia" w:ascii="楷体_GB2312" w:hAnsi="楷体" w:eastAsia="楷体_GB2312"/>
          <w:b/>
          <w:bCs/>
          <w:sz w:val="24"/>
          <w:highlight w:val="none"/>
        </w:rPr>
        <w:t>（七）提前终止及再投资风险：</w:t>
      </w:r>
      <w:r>
        <w:rPr>
          <w:rFonts w:hint="eastAsia" w:ascii="楷体_GB2312" w:hAnsi="楷体" w:eastAsia="楷体_GB2312"/>
          <w:sz w:val="24"/>
          <w:highlight w:val="none"/>
        </w:rPr>
        <w:t>在</w:t>
      </w:r>
      <w:r>
        <w:rPr>
          <w:rFonts w:hint="eastAsia" w:ascii="楷体_GB2312" w:hAnsi="楷体" w:eastAsia="楷体_GB2312"/>
          <w:sz w:val="24"/>
          <w:highlight w:val="none"/>
          <w:lang w:val="en-US" w:eastAsia="zh-CN"/>
        </w:rPr>
        <w:t>本</w:t>
      </w:r>
      <w:r>
        <w:rPr>
          <w:rFonts w:hint="eastAsia" w:ascii="楷体_GB2312" w:hAnsi="楷体" w:eastAsia="楷体_GB2312"/>
          <w:bCs/>
          <w:sz w:val="24"/>
          <w:highlight w:val="none"/>
        </w:rPr>
        <w:t>理财产品存续期限</w:t>
      </w:r>
      <w:r>
        <w:rPr>
          <w:rFonts w:hint="eastAsia" w:ascii="楷体_GB2312" w:hAnsi="楷体" w:eastAsia="楷体_GB2312"/>
          <w:sz w:val="24"/>
          <w:highlight w:val="none"/>
        </w:rPr>
        <w:t>内，为保护投资者利益，</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可根据</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理财产品说明书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约定的情况提前终止本理财产品。</w:t>
      </w:r>
      <w:r>
        <w:rPr>
          <w:rFonts w:hint="eastAsia" w:ascii="楷体_GB2312" w:hAnsi="楷体" w:eastAsia="楷体_GB2312"/>
          <w:bCs/>
          <w:sz w:val="24"/>
          <w:highlight w:val="none"/>
        </w:rPr>
        <w:t>一旦本</w:t>
      </w:r>
      <w:r>
        <w:rPr>
          <w:rFonts w:hint="eastAsia" w:ascii="楷体_GB2312" w:hAnsi="楷体" w:eastAsia="楷体_GB2312"/>
          <w:bCs/>
          <w:sz w:val="24"/>
          <w:highlight w:val="none"/>
          <w:lang w:val="en-US" w:eastAsia="zh-CN"/>
        </w:rPr>
        <w:t>理财</w:t>
      </w:r>
      <w:r>
        <w:rPr>
          <w:rFonts w:hint="eastAsia" w:ascii="楷体_GB2312" w:hAnsi="楷体" w:eastAsia="楷体_GB2312"/>
          <w:bCs/>
          <w:sz w:val="24"/>
          <w:highlight w:val="none"/>
        </w:rPr>
        <w:t>产品被提前终止，则本</w:t>
      </w:r>
      <w:r>
        <w:rPr>
          <w:rFonts w:hint="eastAsia" w:ascii="楷体_GB2312" w:hAnsi="楷体" w:eastAsia="楷体_GB2312"/>
          <w:sz w:val="24"/>
          <w:highlight w:val="none"/>
        </w:rPr>
        <w:t>理财</w:t>
      </w:r>
      <w:r>
        <w:rPr>
          <w:rFonts w:hint="eastAsia" w:ascii="楷体_GB2312" w:hAnsi="楷体" w:eastAsia="楷体_GB2312"/>
          <w:bCs/>
          <w:sz w:val="24"/>
          <w:highlight w:val="none"/>
        </w:rPr>
        <w:t>产品的实际理财天数可能小于预</w:t>
      </w:r>
      <w:r>
        <w:rPr>
          <w:rFonts w:hint="eastAsia" w:ascii="楷体_GB2312" w:hAnsi="楷体" w:eastAsia="楷体_GB2312"/>
          <w:bCs/>
          <w:sz w:val="24"/>
          <w:highlight w:val="none"/>
          <w:lang w:eastAsia="zh-CN"/>
        </w:rPr>
        <w:t>计</w:t>
      </w:r>
      <w:r>
        <w:rPr>
          <w:rFonts w:hint="eastAsia" w:ascii="楷体_GB2312" w:hAnsi="楷体" w:eastAsia="楷体_GB2312"/>
          <w:bCs/>
          <w:sz w:val="24"/>
          <w:highlight w:val="none"/>
        </w:rPr>
        <w:t>的理财天数，投资者无法实现期初预期的全部收益，并且</w:t>
      </w:r>
      <w:r>
        <w:rPr>
          <w:rFonts w:hint="eastAsia" w:ascii="楷体_GB2312" w:hAnsi="楷体" w:eastAsia="楷体_GB2312"/>
          <w:bCs/>
          <w:sz w:val="24"/>
          <w:highlight w:val="none"/>
          <w:lang w:eastAsia="zh-CN"/>
        </w:rPr>
        <w:t>投资者</w:t>
      </w:r>
      <w:r>
        <w:rPr>
          <w:rFonts w:hint="eastAsia" w:ascii="楷体_GB2312" w:hAnsi="楷体" w:eastAsia="楷体_GB2312"/>
          <w:bCs/>
          <w:sz w:val="24"/>
          <w:highlight w:val="none"/>
        </w:rPr>
        <w:t>届时可能面临较差的再投资环境和机会</w:t>
      </w:r>
      <w:r>
        <w:rPr>
          <w:rFonts w:hint="eastAsia" w:ascii="楷体_GB2312" w:hAnsi="楷体" w:eastAsia="楷体_GB2312"/>
          <w:bCs/>
          <w:sz w:val="24"/>
          <w:highlight w:val="none"/>
          <w:lang w:eastAsia="zh-CN"/>
        </w:rPr>
        <w:t>的风险</w:t>
      </w:r>
      <w:r>
        <w:rPr>
          <w:rFonts w:hint="eastAsia" w:ascii="楷体_GB2312" w:hAnsi="楷体" w:eastAsia="楷体_GB2312"/>
          <w:bCs/>
          <w:sz w:val="24"/>
          <w:highlight w:val="none"/>
        </w:rPr>
        <w:t>。</w:t>
      </w:r>
    </w:p>
    <w:p>
      <w:pPr>
        <w:ind w:firstLine="361" w:firstLineChars="150"/>
        <w:rPr>
          <w:rFonts w:ascii="楷体_GB2312" w:hAnsi="华文中宋" w:eastAsia="楷体_GB2312"/>
          <w:bCs/>
          <w:sz w:val="24"/>
          <w:highlight w:val="none"/>
        </w:rPr>
      </w:pPr>
      <w:r>
        <w:rPr>
          <w:rFonts w:hint="eastAsia" w:ascii="楷体_GB2312" w:hAnsi="楷体" w:eastAsia="楷体_GB2312"/>
          <w:b/>
          <w:bCs/>
          <w:sz w:val="24"/>
          <w:highlight w:val="none"/>
        </w:rPr>
        <w:t>（八）兑付延期风险：</w:t>
      </w:r>
      <w:r>
        <w:rPr>
          <w:rFonts w:hint="eastAsia" w:ascii="楷体_GB2312" w:hAnsi="楷体" w:eastAsia="楷体_GB2312"/>
          <w:sz w:val="24"/>
          <w:highlight w:val="none"/>
        </w:rPr>
        <w:t>因市场成交量不足、资产限制赎回、暂停交易、缺乏意愿交易对手等原因，</w:t>
      </w:r>
      <w:r>
        <w:rPr>
          <w:rFonts w:hint="eastAsia" w:ascii="楷体_GB2312" w:hAnsi="楷体" w:eastAsia="楷体_GB2312"/>
          <w:sz w:val="24"/>
          <w:highlight w:val="none"/>
          <w:lang w:val="en-US" w:eastAsia="zh-CN"/>
        </w:rPr>
        <w:t>产品管理人</w:t>
      </w:r>
      <w:r>
        <w:rPr>
          <w:rFonts w:hint="eastAsia" w:ascii="楷体_GB2312" w:hAnsi="楷体" w:eastAsia="楷体_GB2312"/>
          <w:sz w:val="24"/>
          <w:highlight w:val="none"/>
        </w:rPr>
        <w:t>未能及时完成资产变现而导致</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理财产品不能及时变现</w:t>
      </w:r>
      <w:r>
        <w:rPr>
          <w:rFonts w:hint="eastAsia" w:ascii="楷体_GB2312" w:hAnsi="楷体" w:eastAsia="楷体_GB2312"/>
          <w:sz w:val="24"/>
          <w:highlight w:val="none"/>
          <w:lang w:eastAsia="zh-CN"/>
        </w:rPr>
        <w:t>或产品管理人</w:t>
      </w:r>
      <w:r>
        <w:rPr>
          <w:rFonts w:hint="eastAsia" w:ascii="楷体_GB2312" w:hAnsi="楷体" w:eastAsia="楷体_GB2312"/>
          <w:sz w:val="24"/>
          <w:highlight w:val="none"/>
        </w:rPr>
        <w:t>不能按时支付清算分配金额，</w:t>
      </w:r>
      <w:r>
        <w:rPr>
          <w:rFonts w:hint="eastAsia" w:ascii="楷体_GB2312" w:hAnsi="楷体" w:eastAsia="楷体_GB2312"/>
          <w:sz w:val="24"/>
          <w:highlight w:val="none"/>
          <w:lang w:eastAsia="zh-CN"/>
        </w:rPr>
        <w:t>从而致使</w:t>
      </w:r>
      <w:r>
        <w:rPr>
          <w:rFonts w:hint="eastAsia" w:ascii="楷体_GB2312" w:hAnsi="楷体" w:eastAsia="楷体_GB2312"/>
          <w:sz w:val="24"/>
          <w:highlight w:val="none"/>
        </w:rPr>
        <w:t>投资者</w:t>
      </w:r>
      <w:r>
        <w:rPr>
          <w:rFonts w:hint="eastAsia" w:ascii="楷体_GB2312" w:hAnsi="楷体" w:eastAsia="楷体_GB2312"/>
          <w:sz w:val="24"/>
          <w:highlight w:val="none"/>
          <w:lang w:eastAsia="zh-CN"/>
        </w:rPr>
        <w:t>可能</w:t>
      </w:r>
      <w:r>
        <w:rPr>
          <w:rFonts w:hint="eastAsia" w:ascii="楷体_GB2312" w:hAnsi="楷体" w:eastAsia="楷体_GB2312"/>
          <w:sz w:val="24"/>
          <w:highlight w:val="none"/>
        </w:rPr>
        <w:t>面临产品期限延期</w:t>
      </w:r>
      <w:r>
        <w:rPr>
          <w:rFonts w:hint="eastAsia" w:ascii="楷体_GB2312" w:hAnsi="楷体" w:eastAsia="楷体_GB2312"/>
          <w:sz w:val="24"/>
          <w:highlight w:val="none"/>
          <w:lang w:eastAsia="zh-CN"/>
        </w:rPr>
        <w:t>、产品</w:t>
      </w:r>
      <w:r>
        <w:rPr>
          <w:rFonts w:hint="eastAsia" w:ascii="楷体_GB2312" w:hAnsi="楷体" w:eastAsia="楷体_GB2312"/>
          <w:sz w:val="24"/>
          <w:highlight w:val="none"/>
        </w:rPr>
        <w:t>延缓支付</w:t>
      </w:r>
      <w:r>
        <w:rPr>
          <w:rFonts w:ascii="楷体_GB2312" w:hAnsi="楷体" w:eastAsia="楷体_GB2312"/>
          <w:sz w:val="24"/>
          <w:highlight w:val="none"/>
        </w:rPr>
        <w:t>/</w:t>
      </w:r>
      <w:r>
        <w:rPr>
          <w:rFonts w:hint="eastAsia" w:ascii="楷体_GB2312" w:hAnsi="楷体" w:eastAsia="楷体_GB2312"/>
          <w:sz w:val="24"/>
          <w:highlight w:val="none"/>
        </w:rPr>
        <w:t>延迟兑付</w:t>
      </w:r>
      <w:r>
        <w:rPr>
          <w:rFonts w:hint="eastAsia" w:ascii="楷体_GB2312" w:hAnsi="楷体" w:eastAsia="楷体_GB2312"/>
          <w:sz w:val="24"/>
          <w:highlight w:val="none"/>
          <w:lang w:eastAsia="zh-CN"/>
        </w:rPr>
        <w:t>、产品兑付方案调整</w:t>
      </w:r>
      <w:r>
        <w:rPr>
          <w:rFonts w:hint="eastAsia" w:ascii="楷体_GB2312" w:hAnsi="楷体" w:eastAsia="楷体_GB2312"/>
          <w:sz w:val="24"/>
          <w:highlight w:val="none"/>
        </w:rPr>
        <w:t>等风险，</w:t>
      </w:r>
      <w:r>
        <w:rPr>
          <w:rFonts w:hint="eastAsia" w:ascii="楷体_GB2312" w:hAnsi="楷体" w:eastAsia="楷体_GB2312"/>
          <w:sz w:val="24"/>
          <w:highlight w:val="none"/>
          <w:lang w:eastAsia="zh-CN"/>
        </w:rPr>
        <w:t>投资者</w:t>
      </w:r>
      <w:r>
        <w:rPr>
          <w:rFonts w:hint="eastAsia" w:ascii="楷体_GB2312" w:hAnsi="楷体" w:eastAsia="楷体_GB2312"/>
          <w:sz w:val="24"/>
          <w:highlight w:val="none"/>
        </w:rPr>
        <w:t>由此可能</w:t>
      </w:r>
      <w:r>
        <w:rPr>
          <w:rFonts w:hint="eastAsia" w:ascii="楷体_GB2312" w:hAnsi="楷体" w:eastAsia="楷体_GB2312"/>
          <w:sz w:val="24"/>
          <w:highlight w:val="none"/>
          <w:lang w:eastAsia="zh-CN"/>
        </w:rPr>
        <w:t>面临</w:t>
      </w:r>
      <w:r>
        <w:rPr>
          <w:rFonts w:hint="eastAsia" w:ascii="楷体_GB2312" w:hAnsi="楷体" w:eastAsia="楷体_GB2312"/>
          <w:sz w:val="24"/>
          <w:highlight w:val="none"/>
        </w:rPr>
        <w:t>本金</w:t>
      </w:r>
      <w:r>
        <w:rPr>
          <w:rFonts w:hint="eastAsia" w:ascii="楷体_GB2312" w:hAnsi="楷体" w:eastAsia="楷体_GB2312"/>
          <w:sz w:val="24"/>
          <w:highlight w:val="none"/>
          <w:lang w:eastAsia="zh-CN"/>
        </w:rPr>
        <w:t>和</w:t>
      </w:r>
      <w:r>
        <w:rPr>
          <w:rFonts w:hint="eastAsia" w:ascii="楷体_GB2312" w:hAnsi="楷体" w:eastAsia="楷体_GB2312"/>
          <w:sz w:val="24"/>
          <w:highlight w:val="none"/>
        </w:rPr>
        <w:t>收益遭受</w:t>
      </w:r>
      <w:r>
        <w:rPr>
          <w:rFonts w:hint="eastAsia" w:ascii="楷体_GB2312" w:hAnsi="楷体" w:eastAsia="楷体_GB2312"/>
          <w:b w:val="0"/>
          <w:bCs w:val="0"/>
          <w:sz w:val="24"/>
          <w:highlight w:val="none"/>
        </w:rPr>
        <w:t>部分甚至全部损失的风险。</w:t>
      </w:r>
    </w:p>
    <w:p>
      <w:pPr>
        <w:ind w:firstLine="361" w:firstLineChars="150"/>
        <w:rPr>
          <w:rFonts w:ascii="楷体_GB2312" w:hAnsi="楷体" w:eastAsia="楷体_GB2312"/>
          <w:sz w:val="24"/>
          <w:highlight w:val="none"/>
        </w:rPr>
      </w:pPr>
      <w:r>
        <w:rPr>
          <w:rFonts w:hint="eastAsia" w:ascii="楷体_GB2312" w:hAnsi="楷体" w:eastAsia="楷体_GB2312"/>
          <w:b/>
          <w:bCs/>
          <w:sz w:val="24"/>
          <w:highlight w:val="none"/>
        </w:rPr>
        <w:t>（九）</w:t>
      </w:r>
      <w:r>
        <w:rPr>
          <w:rFonts w:ascii="楷体_GB2312" w:hAnsi="楷体" w:eastAsia="楷体_GB2312"/>
          <w:b/>
          <w:bCs/>
          <w:sz w:val="24"/>
          <w:highlight w:val="none"/>
        </w:rPr>
        <w:t>代销风险：</w:t>
      </w:r>
      <w:r>
        <w:rPr>
          <w:rFonts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产品通过代销渠道销售，投资者购买</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理财产品的资金由代销机构从投资者清算账户扣收并划付</w:t>
      </w:r>
      <w:r>
        <w:rPr>
          <w:rFonts w:hint="eastAsia" w:ascii="楷体_GB2312" w:hAnsi="楷体" w:eastAsia="楷体_GB2312"/>
          <w:sz w:val="24"/>
          <w:highlight w:val="none"/>
          <w:lang w:eastAsia="zh-CN"/>
        </w:rPr>
        <w:t>产品管理人</w:t>
      </w:r>
      <w:r>
        <w:rPr>
          <w:rFonts w:ascii="楷体_GB2312" w:hAnsi="楷体" w:eastAsia="楷体_GB2312"/>
          <w:sz w:val="24"/>
          <w:highlight w:val="none"/>
        </w:rPr>
        <w:t>，投资者赎回及</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理财产品到期/终止时理财本金及收益相应款项由</w:t>
      </w:r>
      <w:r>
        <w:rPr>
          <w:rFonts w:hint="eastAsia" w:ascii="楷体_GB2312" w:hAnsi="楷体" w:eastAsia="楷体_GB2312"/>
          <w:sz w:val="24"/>
          <w:highlight w:val="none"/>
          <w:lang w:eastAsia="zh-CN"/>
        </w:rPr>
        <w:t>产品管理人</w:t>
      </w:r>
      <w:r>
        <w:rPr>
          <w:rFonts w:ascii="楷体_GB2312" w:hAnsi="楷体" w:eastAsia="楷体_GB2312"/>
          <w:sz w:val="24"/>
          <w:highlight w:val="none"/>
        </w:rPr>
        <w:t>按</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约定划付至代销机构清算账户，并由代销机构向投资者支付投资者应得理财本金及收益。</w:t>
      </w:r>
      <w:r>
        <w:rPr>
          <w:rFonts w:ascii="楷体_GB2312" w:hAnsi="楷体" w:eastAsia="楷体_GB2312"/>
          <w:b/>
          <w:bCs/>
          <w:sz w:val="24"/>
          <w:highlight w:val="none"/>
        </w:rPr>
        <w:t>如因代销机构未及时足额划付资金，或代销机构清算账户内资金被依法冻结或扣划、账户处于被挂失、冻结、注销或其他非正常状态等原因而导致交易失败，由代销机构与投资者依法协商解决，</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对此不承担责任。</w:t>
      </w:r>
    </w:p>
    <w:p>
      <w:pPr>
        <w:ind w:firstLine="361" w:firstLineChars="150"/>
        <w:rPr>
          <w:rFonts w:ascii="楷体_GB2312" w:hAnsi="楷体" w:eastAsia="楷体_GB2312"/>
          <w:b/>
          <w:bCs/>
          <w:sz w:val="24"/>
          <w:highlight w:val="none"/>
        </w:rPr>
      </w:pPr>
      <w:r>
        <w:rPr>
          <w:rFonts w:hint="eastAsia" w:ascii="楷体_GB2312" w:hAnsi="楷体" w:eastAsia="楷体_GB2312"/>
          <w:b/>
          <w:bCs/>
          <w:sz w:val="24"/>
          <w:highlight w:val="none"/>
        </w:rPr>
        <w:t>（十）信息传递风险：</w:t>
      </w:r>
      <w:r>
        <w:rPr>
          <w:rFonts w:hint="eastAsia" w:ascii="楷体_GB2312" w:hAnsi="楷体" w:eastAsia="楷体_GB2312"/>
          <w:sz w:val="24"/>
          <w:highlight w:val="none"/>
        </w:rPr>
        <w:t>投资者需要通过</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理财产品销售文件所载明的公告方式及时查询本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产品的相关信息公告。如</w:t>
      </w:r>
      <w:r>
        <w:rPr>
          <w:rFonts w:hint="eastAsia" w:ascii="楷体_GB2312" w:hAnsi="楷体" w:eastAsia="楷体_GB2312"/>
          <w:sz w:val="24"/>
          <w:highlight w:val="none"/>
          <w:lang w:val="en-US" w:eastAsia="zh-CN"/>
        </w:rPr>
        <w:t>因</w:t>
      </w:r>
      <w:r>
        <w:rPr>
          <w:rFonts w:hint="eastAsia" w:ascii="楷体_GB2312" w:hAnsi="楷体" w:eastAsia="楷体_GB2312"/>
          <w:sz w:val="24"/>
          <w:highlight w:val="none"/>
        </w:rPr>
        <w:t>投资者联系信息有误、投资者未及时查询，或由于通讯故障、系统故障以及其他不可抗力</w:t>
      </w:r>
      <w:r>
        <w:rPr>
          <w:rFonts w:hint="eastAsia" w:ascii="楷体_GB2312" w:hAnsi="楷体" w:eastAsia="楷体_GB2312"/>
          <w:sz w:val="24"/>
          <w:highlight w:val="none"/>
          <w:lang w:eastAsia="zh-CN"/>
        </w:rPr>
        <w:t>及</w:t>
      </w:r>
      <w:r>
        <w:rPr>
          <w:rFonts w:ascii="楷体_GB2312" w:hAnsi="楷体" w:eastAsia="楷体_GB2312"/>
          <w:sz w:val="24"/>
          <w:highlight w:val="none"/>
        </w:rPr>
        <w:t>/</w:t>
      </w:r>
      <w:r>
        <w:rPr>
          <w:rFonts w:hint="eastAsia" w:ascii="楷体_GB2312" w:hAnsi="楷体" w:eastAsia="楷体_GB2312"/>
          <w:sz w:val="24"/>
          <w:highlight w:val="none"/>
          <w:lang w:eastAsia="zh-CN"/>
        </w:rPr>
        <w:t>或意外事件</w:t>
      </w:r>
      <w:r>
        <w:rPr>
          <w:rFonts w:hint="eastAsia" w:ascii="楷体_GB2312" w:hAnsi="楷体" w:eastAsia="楷体_GB2312"/>
          <w:sz w:val="24"/>
          <w:highlight w:val="none"/>
        </w:rPr>
        <w:t>等因素的影响使得投资者无法及时了解本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产品信息，</w:t>
      </w:r>
      <w:r>
        <w:rPr>
          <w:rFonts w:hint="eastAsia" w:ascii="楷体_GB2312" w:hAnsi="楷体" w:eastAsia="楷体_GB2312"/>
          <w:sz w:val="24"/>
          <w:highlight w:val="none"/>
          <w:lang w:eastAsia="zh-CN"/>
        </w:rPr>
        <w:t>进而影响投资者的投资决策，</w:t>
      </w:r>
      <w:r>
        <w:rPr>
          <w:rFonts w:hint="eastAsia" w:ascii="楷体_GB2312" w:hAnsi="楷体" w:eastAsia="楷体_GB2312"/>
          <w:b/>
          <w:bCs/>
          <w:sz w:val="24"/>
          <w:highlight w:val="none"/>
        </w:rPr>
        <w:t>因此而产生的责任和风险由投资者自行承担；</w:t>
      </w:r>
      <w:r>
        <w:rPr>
          <w:rFonts w:hint="eastAsia" w:ascii="楷体_GB2312" w:hAnsi="楷体" w:eastAsia="楷体_GB2312"/>
          <w:sz w:val="24"/>
          <w:highlight w:val="none"/>
        </w:rPr>
        <w:t>另外，投资者预留在</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的有效联系方式</w:t>
      </w:r>
      <w:r>
        <w:rPr>
          <w:rFonts w:hint="eastAsia" w:ascii="楷体_GB2312" w:hAnsi="楷体" w:eastAsia="楷体_GB2312"/>
          <w:sz w:val="24"/>
          <w:highlight w:val="none"/>
          <w:lang w:val="en-US" w:eastAsia="zh-CN"/>
        </w:rPr>
        <w:t>发生</w:t>
      </w:r>
      <w:r>
        <w:rPr>
          <w:rFonts w:hint="eastAsia" w:ascii="楷体_GB2312" w:hAnsi="楷体" w:eastAsia="楷体_GB2312"/>
          <w:sz w:val="24"/>
          <w:highlight w:val="none"/>
        </w:rPr>
        <w:t>变更的，应及时通知本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CN"/>
        </w:rPr>
        <w:t>产品的产品管理人</w:t>
      </w:r>
      <w:r>
        <w:rPr>
          <w:rFonts w:hint="eastAsia" w:ascii="楷体_GB2312" w:hAnsi="楷体" w:eastAsia="楷体_GB2312"/>
          <w:sz w:val="24"/>
          <w:highlight w:val="none"/>
        </w:rPr>
        <w:t>；如投资者未能及时告知，可能会由此影响投资者的投资决策</w:t>
      </w:r>
      <w:r>
        <w:rPr>
          <w:rFonts w:hint="eastAsia" w:ascii="楷体_GB2312" w:hAnsi="楷体" w:eastAsia="楷体_GB2312"/>
          <w:b w:val="0"/>
          <w:bCs w:val="0"/>
          <w:sz w:val="24"/>
          <w:highlight w:val="none"/>
        </w:rPr>
        <w:t>，</w:t>
      </w:r>
      <w:r>
        <w:rPr>
          <w:rFonts w:hint="eastAsia" w:ascii="楷体_GB2312" w:hAnsi="楷体" w:eastAsia="楷体_GB2312"/>
          <w:b/>
          <w:bCs/>
          <w:sz w:val="24"/>
          <w:highlight w:val="none"/>
        </w:rPr>
        <w:t>因此产生的责任和风险由投资者自行承担。</w:t>
      </w:r>
    </w:p>
    <w:p>
      <w:pPr>
        <w:ind w:firstLine="361" w:firstLineChars="150"/>
        <w:rPr>
          <w:rFonts w:ascii="楷体_GB2312" w:hAnsi="楷体" w:eastAsia="楷体_GB2312"/>
          <w:b/>
          <w:bCs/>
          <w:sz w:val="24"/>
          <w:highlight w:val="none"/>
        </w:rPr>
      </w:pPr>
      <w:r>
        <w:rPr>
          <w:rFonts w:hint="eastAsia" w:ascii="楷体_GB2312" w:hAnsi="楷体" w:eastAsia="楷体_GB2312"/>
          <w:b/>
          <w:bCs/>
          <w:sz w:val="24"/>
          <w:highlight w:val="none"/>
        </w:rPr>
        <w:t>（十一）不可抗力及</w:t>
      </w:r>
      <w:r>
        <w:rPr>
          <w:rFonts w:ascii="楷体_GB2312" w:hAnsi="楷体" w:eastAsia="楷体_GB2312"/>
          <w:b/>
          <w:bCs/>
          <w:sz w:val="24"/>
          <w:highlight w:val="none"/>
        </w:rPr>
        <w:t>/</w:t>
      </w:r>
      <w:r>
        <w:rPr>
          <w:rFonts w:hint="eastAsia" w:ascii="楷体_GB2312" w:hAnsi="楷体" w:eastAsia="楷体_GB2312"/>
          <w:b/>
          <w:bCs/>
          <w:sz w:val="24"/>
          <w:highlight w:val="none"/>
          <w:lang w:eastAsia="zh-CN"/>
        </w:rPr>
        <w:t>或</w:t>
      </w:r>
      <w:r>
        <w:rPr>
          <w:rFonts w:hint="eastAsia" w:ascii="楷体_GB2312" w:hAnsi="楷体" w:eastAsia="楷体_GB2312"/>
          <w:b/>
          <w:bCs/>
          <w:sz w:val="24"/>
          <w:highlight w:val="none"/>
        </w:rPr>
        <w:t>意外事件风险：</w:t>
      </w:r>
      <w:r>
        <w:rPr>
          <w:rFonts w:hint="eastAsia" w:ascii="楷体_GB2312" w:hAnsi="楷体" w:eastAsia="楷体_GB2312"/>
          <w:sz w:val="24"/>
          <w:highlight w:val="none"/>
        </w:rPr>
        <w:t>由于不可抗力及</w:t>
      </w:r>
      <w:r>
        <w:rPr>
          <w:rFonts w:ascii="楷体_GB2312" w:hAnsi="楷体" w:eastAsia="楷体_GB2312"/>
          <w:sz w:val="24"/>
          <w:highlight w:val="none"/>
        </w:rPr>
        <w:t>/</w:t>
      </w:r>
      <w:r>
        <w:rPr>
          <w:rFonts w:hint="eastAsia" w:ascii="楷体_GB2312" w:hAnsi="楷体" w:eastAsia="楷体_GB2312"/>
          <w:sz w:val="24"/>
          <w:highlight w:val="none"/>
        </w:rPr>
        <w:t>或国家政策变化、</w:t>
      </w:r>
      <w:r>
        <w:rPr>
          <w:rFonts w:ascii="楷体_GB2312" w:hAnsi="楷体" w:eastAsia="楷体_GB2312"/>
          <w:sz w:val="24"/>
          <w:highlight w:val="none"/>
        </w:rPr>
        <w:t>IT</w:t>
      </w:r>
      <w:r>
        <w:rPr>
          <w:rFonts w:hint="eastAsia" w:ascii="楷体_GB2312" w:hAnsi="楷体" w:eastAsia="楷体_GB2312"/>
          <w:sz w:val="24"/>
          <w:highlight w:val="none"/>
        </w:rPr>
        <w:t>系统故障、通讯系统故障、电力系统故障、金融危机、投资市场停止交易等非</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所能控制的原因，可能对</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理财产品的产品成立、投资运作、资金划付、信息披露、公告通知</w:t>
      </w:r>
      <w:r>
        <w:rPr>
          <w:rFonts w:hint="eastAsia" w:ascii="楷体_GB2312" w:hAnsi="楷体" w:eastAsia="楷体_GB2312"/>
          <w:sz w:val="24"/>
          <w:highlight w:val="none"/>
          <w:lang w:eastAsia="zh-CN"/>
        </w:rPr>
        <w:t>等</w:t>
      </w:r>
      <w:r>
        <w:rPr>
          <w:rFonts w:hint="eastAsia" w:ascii="楷体_GB2312" w:hAnsi="楷体" w:eastAsia="楷体_GB2312"/>
          <w:sz w:val="24"/>
          <w:highlight w:val="none"/>
        </w:rPr>
        <w:t>造成影响，可能导致</w:t>
      </w:r>
      <w:r>
        <w:rPr>
          <w:rFonts w:hint="eastAsia" w:ascii="楷体_GB2312" w:hAnsi="楷体" w:eastAsia="楷体_GB2312"/>
          <w:sz w:val="24"/>
          <w:highlight w:val="none"/>
          <w:lang w:val="en-US" w:eastAsia="zh-CN"/>
        </w:rPr>
        <w:t>本理财</w:t>
      </w:r>
      <w:r>
        <w:rPr>
          <w:rFonts w:hint="eastAsia" w:ascii="楷体_GB2312" w:hAnsi="楷体" w:eastAsia="楷体_GB2312"/>
          <w:sz w:val="24"/>
          <w:highlight w:val="none"/>
        </w:rPr>
        <w:t>产品收益降低乃至</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理财产品本金遭受损失。</w:t>
      </w:r>
      <w:r>
        <w:rPr>
          <w:rFonts w:hint="eastAsia" w:ascii="楷体_GB2312" w:hAnsi="楷体" w:eastAsia="楷体_GB2312"/>
          <w:b/>
          <w:bCs/>
          <w:sz w:val="24"/>
          <w:highlight w:val="none"/>
        </w:rPr>
        <w:t>对于由不可抗力及</w:t>
      </w:r>
      <w:r>
        <w:rPr>
          <w:rFonts w:ascii="楷体_GB2312" w:hAnsi="楷体" w:eastAsia="楷体_GB2312"/>
          <w:b/>
          <w:bCs/>
          <w:sz w:val="24"/>
          <w:highlight w:val="none"/>
        </w:rPr>
        <w:t>/</w:t>
      </w:r>
      <w:r>
        <w:rPr>
          <w:rFonts w:hint="eastAsia" w:ascii="楷体_GB2312" w:hAnsi="楷体" w:eastAsia="楷体_GB2312"/>
          <w:b/>
          <w:bCs/>
          <w:sz w:val="24"/>
          <w:highlight w:val="none"/>
          <w:lang w:eastAsia="zh-CN"/>
        </w:rPr>
        <w:t>或</w:t>
      </w:r>
      <w:r>
        <w:rPr>
          <w:rFonts w:hint="eastAsia" w:ascii="楷体_GB2312" w:hAnsi="楷体" w:eastAsia="楷体_GB2312"/>
          <w:b/>
          <w:bCs/>
          <w:sz w:val="24"/>
          <w:highlight w:val="none"/>
        </w:rPr>
        <w:t>意外事件</w:t>
      </w:r>
      <w:r>
        <w:rPr>
          <w:rFonts w:hint="eastAsia" w:ascii="楷体_GB2312" w:hAnsi="楷体" w:eastAsia="楷体_GB2312"/>
          <w:b/>
          <w:bCs/>
          <w:sz w:val="24"/>
          <w:highlight w:val="none"/>
          <w:lang w:eastAsia="zh-CN"/>
        </w:rPr>
        <w:t>风险</w:t>
      </w:r>
      <w:r>
        <w:rPr>
          <w:rFonts w:hint="eastAsia" w:ascii="楷体_GB2312" w:hAnsi="楷体" w:eastAsia="楷体_GB2312"/>
          <w:b/>
          <w:bCs/>
          <w:sz w:val="24"/>
          <w:highlight w:val="none"/>
        </w:rPr>
        <w:t>导致的</w:t>
      </w:r>
      <w:r>
        <w:rPr>
          <w:rFonts w:hint="eastAsia" w:ascii="楷体_GB2312" w:hAnsi="楷体" w:eastAsia="楷体_GB2312"/>
          <w:b/>
          <w:bCs/>
          <w:sz w:val="24"/>
          <w:highlight w:val="none"/>
          <w:lang w:eastAsia="zh-CN"/>
        </w:rPr>
        <w:t>任何</w:t>
      </w:r>
      <w:r>
        <w:rPr>
          <w:rFonts w:hint="eastAsia" w:ascii="楷体_GB2312" w:hAnsi="楷体" w:eastAsia="楷体_GB2312"/>
          <w:b/>
          <w:bCs/>
          <w:sz w:val="24"/>
          <w:highlight w:val="none"/>
        </w:rPr>
        <w:t>损失</w:t>
      </w:r>
      <w:r>
        <w:rPr>
          <w:rFonts w:hint="eastAsia" w:ascii="楷体_GB2312" w:hAnsi="楷体" w:eastAsia="楷体_GB2312"/>
          <w:b/>
          <w:bCs/>
          <w:sz w:val="24"/>
          <w:highlight w:val="none"/>
          <w:lang w:eastAsia="zh-CN"/>
        </w:rPr>
        <w:t>和延迟兑付</w:t>
      </w:r>
      <w:r>
        <w:rPr>
          <w:rFonts w:hint="eastAsia" w:ascii="楷体_GB2312" w:hAnsi="楷体" w:eastAsia="楷体_GB2312"/>
          <w:b/>
          <w:bCs/>
          <w:sz w:val="24"/>
          <w:highlight w:val="none"/>
        </w:rPr>
        <w:t>，投资者须自行承担，</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对此不承担责任。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因不可抗力及</w:t>
      </w:r>
      <w:r>
        <w:rPr>
          <w:rFonts w:ascii="楷体_GB2312" w:hAnsi="楷体" w:eastAsia="楷体_GB2312"/>
          <w:sz w:val="24"/>
          <w:highlight w:val="none"/>
        </w:rPr>
        <w:t>/</w:t>
      </w:r>
      <w:r>
        <w:rPr>
          <w:rFonts w:hint="eastAsia" w:ascii="楷体_GB2312" w:hAnsi="楷体" w:eastAsia="楷体_GB2312"/>
          <w:sz w:val="24"/>
          <w:highlight w:val="none"/>
        </w:rPr>
        <w:t>或意外事件导致</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无法继续履行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有权提前解除</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理财产品销售文件，并将发生不可抗力及</w:t>
      </w:r>
      <w:r>
        <w:rPr>
          <w:rFonts w:ascii="楷体_GB2312" w:hAnsi="楷体" w:eastAsia="楷体_GB2312"/>
          <w:sz w:val="24"/>
          <w:highlight w:val="none"/>
        </w:rPr>
        <w:t>/</w:t>
      </w:r>
      <w:r>
        <w:rPr>
          <w:rFonts w:hint="eastAsia" w:ascii="楷体_GB2312" w:hAnsi="楷体" w:eastAsia="楷体_GB2312"/>
          <w:sz w:val="24"/>
          <w:highlight w:val="none"/>
        </w:rPr>
        <w:t>或意外事件后剩余的投资者应得理财本金及收益划付至代销机构清算账户，由代销机构划付至投资者清算账户。</w:t>
      </w:r>
    </w:p>
    <w:p>
      <w:pPr>
        <w:rPr>
          <w:rFonts w:ascii="楷体_GB2312" w:hAnsi="楷体" w:eastAsia="楷体_GB2312"/>
          <w:sz w:val="24"/>
          <w:highlight w:val="none"/>
        </w:rPr>
      </w:pPr>
      <w:r>
        <w:rPr>
          <w:rFonts w:hint="eastAsia" w:ascii="楷体_GB2312" w:hAnsi="楷体" w:eastAsia="楷体_GB2312"/>
          <w:sz w:val="24"/>
          <w:highlight w:val="none"/>
        </w:rPr>
        <w:t xml:space="preserve">    </w:t>
      </w: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rPr>
        <w:t>（十二）产</w:t>
      </w:r>
      <w:r>
        <w:rPr>
          <w:rFonts w:hint="eastAsia" w:ascii="楷体_GB2312" w:hAnsi="楷体" w:eastAsia="楷体_GB2312"/>
          <w:b/>
          <w:bCs/>
          <w:sz w:val="24"/>
          <w:highlight w:val="none"/>
        </w:rPr>
        <w:t>品不成立的风险：</w:t>
      </w:r>
      <w:r>
        <w:rPr>
          <w:rFonts w:hint="eastAsia" w:ascii="楷体_GB2312" w:hAnsi="楷体" w:eastAsia="楷体_GB2312"/>
          <w:sz w:val="24"/>
          <w:highlight w:val="none"/>
        </w:rPr>
        <w:t>发生下述任一情形，</w:t>
      </w:r>
      <w:r>
        <w:rPr>
          <w:rFonts w:hint="eastAsia" w:ascii="楷体_GB2312" w:hAnsi="楷体" w:eastAsia="楷体_GB2312"/>
          <w:sz w:val="24"/>
          <w:highlight w:val="none"/>
          <w:lang w:eastAsia="zh-CN"/>
        </w:rPr>
        <w:t>本理财产品的产品管理人</w:t>
      </w:r>
      <w:r>
        <w:rPr>
          <w:rFonts w:hint="eastAsia" w:ascii="楷体_GB2312" w:hAnsi="楷体" w:eastAsia="楷体_GB2312"/>
          <w:sz w:val="24"/>
          <w:highlight w:val="none"/>
        </w:rPr>
        <w:t>有权宣布本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产品不成立，投资者将承担本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产品不成立的风险：1.本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募集期结束时募集资金总额未达到必要的规模上限或/及下限；2.国家相关法律、法规、监管规定、政策或要求出现重大变更，或者金融市场情况出现重大变化导致本理财产品不能成立的。投资者可能面临本理财产品不成立</w:t>
      </w:r>
      <w:r>
        <w:rPr>
          <w:rFonts w:hint="eastAsia" w:ascii="楷体_GB2312" w:hAnsi="楷体" w:eastAsia="楷体_GB2312"/>
          <w:sz w:val="24"/>
          <w:highlight w:val="none"/>
          <w:lang w:eastAsia="zh-CN"/>
        </w:rPr>
        <w:t>从而</w:t>
      </w:r>
      <w:r>
        <w:rPr>
          <w:rFonts w:hint="eastAsia" w:ascii="楷体_GB2312" w:hAnsi="楷体" w:eastAsia="楷体_GB2312"/>
          <w:sz w:val="24"/>
          <w:highlight w:val="none"/>
        </w:rPr>
        <w:t>再投资的风险。</w:t>
      </w:r>
    </w:p>
    <w:p>
      <w:pPr>
        <w:ind w:firstLine="482" w:firstLineChars="200"/>
        <w:rPr>
          <w:rFonts w:hint="eastAsia" w:ascii="楷体_GB2312" w:hAnsi="楷体" w:eastAsia="楷体_GB2312"/>
          <w:sz w:val="24"/>
          <w:highlight w:val="none"/>
        </w:rPr>
      </w:pPr>
      <w:r>
        <w:rPr>
          <w:rFonts w:hint="eastAsia" w:ascii="楷体_GB2312" w:hAnsi="楷体" w:eastAsia="楷体_GB2312"/>
          <w:b/>
          <w:sz w:val="24"/>
          <w:highlight w:val="none"/>
        </w:rPr>
        <w:t>（十三）税务风险：</w:t>
      </w:r>
      <w:r>
        <w:rPr>
          <w:rFonts w:hint="eastAsia" w:ascii="楷体_GB2312" w:hAnsi="楷体" w:eastAsia="楷体_GB2312"/>
          <w:sz w:val="24"/>
          <w:highlight w:val="none"/>
        </w:rPr>
        <w:t>根据国家相关法律法规，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理财产品承担的增值税应税行为，由</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申报和缴纳增值税及附加税费。该等税款将直接从</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理财产品中扣付缴纳，本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产品将因为前述增值税等税负承担导致税费支出增加、理财产品净值或实际收益降低，从而降低投资者的收益水平。</w:t>
      </w:r>
    </w:p>
    <w:p>
      <w:pPr>
        <w:pStyle w:val="2"/>
        <w:ind w:left="0" w:leftChars="0" w:firstLine="482" w:firstLineChars="200"/>
        <w:rPr>
          <w:rFonts w:hint="eastAsia" w:eastAsia="楷体_GB2312"/>
          <w:lang w:eastAsia="zh-CN"/>
        </w:rPr>
      </w:pPr>
      <w:r>
        <w:rPr>
          <w:rFonts w:hint="eastAsia" w:ascii="楷体_GB2312" w:hAnsi="楷体" w:eastAsia="楷体_GB2312"/>
          <w:b/>
          <w:bCs/>
          <w:sz w:val="24"/>
          <w:highlight w:val="none"/>
          <w:lang w:eastAsia="zh-CN"/>
        </w:rPr>
        <w:t>（十四）未知价风险：</w:t>
      </w:r>
      <w:r>
        <w:rPr>
          <w:rFonts w:hint="eastAsia" w:ascii="楷体_GB2312" w:hAnsi="楷体" w:eastAsia="楷体_GB2312"/>
          <w:sz w:val="24"/>
          <w:highlight w:val="none"/>
          <w:lang w:eastAsia="zh-CN"/>
        </w:rPr>
        <w:t>净值型理财产品采用“金额申购、份额赎回”原则，即产品申购以金额申请，赎回以份额申请，申购与赎回以“未知价原则”受理申请。“未知价原则”，即本理财产品申购申请和赎回申请提交时，适用的产品单位净值都是未知的。</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★（十五）不同理财产品份额类别存在差异的风险：</w:t>
      </w:r>
      <w:r>
        <w:rPr>
          <w:rFonts w:hint="eastAsia" w:ascii="楷体_GB2312" w:hAnsi="楷体" w:eastAsia="楷体_GB2312"/>
          <w:sz w:val="24"/>
          <w:highlight w:val="none"/>
        </w:rPr>
        <w:t>产品管理人有权根据投资者购买理财产品的金额、渠道客群、代销机构等因素，对本理财产品份额设置不同的理财产品份额类别。不同类别的理财产品份额可能在产品销售名称、产品销售代码、代销机构、渠道客群、销售手续费率、认购/申购投资起点金额及递增金额、单笔最大购买金额、累计购买金额、最少赎回份额、最低持有份额及信息披露渠道等方面存在差异。</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（十六）修改理财产品销售文件的风险：</w:t>
      </w:r>
      <w:r>
        <w:rPr>
          <w:rFonts w:hint="eastAsia" w:ascii="楷体_GB2312" w:hAnsi="楷体" w:eastAsia="楷体_GB2312"/>
          <w:sz w:val="24"/>
          <w:highlight w:val="none"/>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（十七）拟投资市场和资产的风险：</w:t>
      </w:r>
      <w:r>
        <w:rPr>
          <w:rFonts w:hint="eastAsia" w:ascii="楷体_GB2312" w:hAnsi="楷体" w:eastAsia="楷体_GB2312"/>
          <w:sz w:val="24"/>
          <w:highlight w:val="none"/>
        </w:rPr>
        <w:t>本理财产品拟投资于</w:t>
      </w:r>
      <w:r>
        <w:rPr>
          <w:rFonts w:hint="eastAsia" w:ascii="楷体_GB2312" w:hAnsi="楷体" w:eastAsia="楷体_GB2312"/>
          <w:sz w:val="24"/>
          <w:highlight w:val="none"/>
          <w:lang w:val="en-US" w:eastAsia="zh-CN"/>
        </w:rPr>
        <w:t>境内外市场发行的</w:t>
      </w:r>
      <w:r>
        <w:rPr>
          <w:rFonts w:hint="eastAsia" w:ascii="楷体_GB2312" w:hAnsi="楷体" w:eastAsia="楷体_GB2312"/>
          <w:sz w:val="24"/>
          <w:highlight w:val="none"/>
        </w:rPr>
        <w:t>固定收益类资产</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权益类资产</w:t>
      </w:r>
      <w:r>
        <w:rPr>
          <w:rFonts w:hint="eastAsia" w:ascii="楷体_GB2312" w:hAnsi="宋体" w:eastAsia="楷体_GB2312"/>
          <w:color w:val="000000"/>
          <w:sz w:val="24"/>
          <w:lang w:eastAsia="zh-CN"/>
        </w:rPr>
        <w:t>和</w:t>
      </w:r>
      <w:r>
        <w:rPr>
          <w:rFonts w:hint="eastAsia" w:ascii="楷体_GB2312" w:hAnsi="宋体" w:eastAsia="楷体_GB2312"/>
          <w:color w:val="000000"/>
          <w:sz w:val="24"/>
        </w:rPr>
        <w:t>商品及金融衍生品类资产</w:t>
      </w:r>
      <w:r>
        <w:rPr>
          <w:rFonts w:hint="eastAsia" w:ascii="楷体_GB2312" w:hAnsi="楷体" w:eastAsia="楷体_GB2312"/>
          <w:sz w:val="24"/>
          <w:highlight w:val="none"/>
        </w:rPr>
        <w:t>，投资者可能面临的风险如下：</w:t>
      </w:r>
    </w:p>
    <w:p>
      <w:pPr>
        <w:ind w:firstLine="480" w:firstLineChars="200"/>
        <w:rPr>
          <w:rFonts w:hint="eastAsia" w:ascii="楷体_GB2312" w:hAnsi="楷体" w:eastAsia="楷体_GB2312"/>
          <w:sz w:val="24"/>
          <w:highlight w:val="none"/>
        </w:rPr>
      </w:pPr>
      <w:r>
        <w:rPr>
          <w:rFonts w:hint="eastAsia" w:ascii="楷体_GB2312" w:hAnsi="楷体" w:eastAsia="楷体_GB2312"/>
          <w:sz w:val="24"/>
          <w:highlight w:val="none"/>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ind w:firstLine="480" w:firstLineChars="200"/>
        <w:rPr>
          <w:rFonts w:hint="eastAsia" w:ascii="楷体_GB2312" w:hAnsi="楷体" w:eastAsia="楷体_GB2312"/>
          <w:sz w:val="24"/>
          <w:highlight w:val="none"/>
        </w:rPr>
      </w:pPr>
      <w:r>
        <w:rPr>
          <w:rFonts w:hint="eastAsia" w:ascii="楷体_GB2312" w:hAnsi="楷体" w:eastAsia="楷体_GB2312"/>
          <w:sz w:val="24"/>
          <w:highlight w:val="none"/>
        </w:rPr>
        <w:t>2.投资于债券的可能风险：（1）国家政策、经济周期、利率、汇率等因素可能发生的变化导致的市场风险；（2）债券发行人的经营状况、信用质量降低等可能发生的变化导致的信用风险。</w:t>
      </w:r>
    </w:p>
    <w:p>
      <w:pPr>
        <w:ind w:firstLine="480" w:firstLineChars="200"/>
        <w:rPr>
          <w:rFonts w:hint="eastAsia" w:ascii="楷体_GB2312" w:hAnsi="楷体" w:eastAsia="楷体_GB2312"/>
          <w:sz w:val="24"/>
          <w:highlight w:val="none"/>
        </w:rPr>
      </w:pPr>
      <w:r>
        <w:rPr>
          <w:rFonts w:hint="eastAsia" w:ascii="楷体_GB2312" w:hAnsi="楷体" w:eastAsia="楷体_GB2312"/>
          <w:sz w:val="24"/>
          <w:highlight w:val="none"/>
        </w:rPr>
        <w:t>3.投资于资产支持证券的可能风险：（1）资产支持证券项下的基础资产现金流可能未能及时完整取得导致的信用风险；（2）资产支持证券可能的市场成交量不足、缺乏意愿交易对手导致的流动性风险等。</w:t>
      </w:r>
    </w:p>
    <w:p>
      <w:pPr>
        <w:ind w:firstLine="480" w:firstLineChars="200"/>
        <w:rPr>
          <w:rFonts w:hint="eastAsia" w:ascii="楷体_GB2312" w:hAnsi="楷体" w:eastAsia="楷体_GB2312"/>
          <w:sz w:val="24"/>
          <w:highlight w:val="none"/>
        </w:rPr>
      </w:pPr>
      <w:r>
        <w:rPr>
          <w:rFonts w:hint="eastAsia" w:ascii="楷体_GB2312" w:hAnsi="楷体" w:eastAsia="楷体_GB2312"/>
          <w:sz w:val="24"/>
          <w:highlight w:val="none"/>
        </w:rPr>
        <w:t>4.投资于权益类资产的可能风险：（1）国家政策、经济周期、利率、汇率、股票发行人经营情况等因素可能发生的变化导致的市场风险；（2）本理财产品将投资于优先股，由于公司经营受多种因素影响，如果本理财产品所投资的公司经营不善，其股票价格可能下跌，或者能够用于分配的利润减少，进而导致本理财产品投资收益下降的风险；（3）上市公司优先股等可能的流通和转让限制导致的流动性风险等。</w:t>
      </w:r>
    </w:p>
    <w:p>
      <w:pPr>
        <w:ind w:firstLine="480" w:firstLineChars="200"/>
        <w:rPr>
          <w:rFonts w:hint="eastAsia"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投资于商品及金融衍生品类资产的可能风险：本理财产品的投资范围包括商品和金融衍生品类资产（包括但不限于国债期货、利率互换、股指期货、汇率远期、汇率掉期等衍生金融工具），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（十八）设置建仓期的风险：</w:t>
      </w:r>
      <w:r>
        <w:rPr>
          <w:rFonts w:hint="eastAsia" w:ascii="楷体_GB2312" w:hAnsi="楷体" w:eastAsia="楷体_GB2312"/>
          <w:sz w:val="24"/>
          <w:highlight w:val="none"/>
        </w:rPr>
        <w:t>本理财产品设立了建仓期机制，建仓期为自本理财产品成立日起的</w:t>
      </w:r>
      <w:r>
        <w:rPr>
          <w:rFonts w:hint="eastAsia" w:ascii="楷体_GB2312" w:hAnsi="楷体" w:eastAsia="楷体_GB2312"/>
          <w:color w:val="auto"/>
          <w:sz w:val="24"/>
          <w:highlight w:val="none"/>
          <w:lang w:val="en-US" w:eastAsia="zh-CN"/>
        </w:rPr>
        <w:t>5个交易日</w:t>
      </w:r>
      <w:r>
        <w:rPr>
          <w:rFonts w:hint="eastAsia" w:ascii="楷体_GB2312" w:hAnsi="楷体" w:eastAsia="楷体_GB2312"/>
          <w:sz w:val="24"/>
          <w:highlight w:val="none"/>
        </w:rPr>
        <w:t>。在前述建仓期内，本理财产品的投资比例可能无法满足本理财产品约定的投资比例限制，从而可能对本理财产品的投资收益产生相应影响。</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b w:val="0"/>
          <w:bCs w:val="0"/>
          <w:sz w:val="24"/>
          <w:highlight w:val="none"/>
          <w:lang w:val="en-US" w:eastAsia="zh-CN"/>
        </w:rPr>
        <w:t>固定收益类理财产品</w:t>
      </w:r>
      <w:r>
        <w:rPr>
          <w:rFonts w:hint="eastAsia" w:ascii="楷体_GB2312" w:hAnsi="楷体" w:eastAsia="楷体_GB2312"/>
          <w:b/>
          <w:bCs/>
          <w:sz w:val="24"/>
          <w:highlight w:val="none"/>
          <w:lang w:eastAsia="zh-Hans"/>
        </w:rPr>
        <w:t>（</w:t>
      </w:r>
      <w:r>
        <w:rPr>
          <w:rFonts w:ascii="楷体_GB2312" w:hAnsi="楷体" w:eastAsia="楷体_GB2312"/>
          <w:b/>
          <w:bCs/>
          <w:sz w:val="24"/>
          <w:highlight w:val="none"/>
        </w:rPr>
        <w:t>固定收益类</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产品为根据监管要求进行的</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产品分类，并不意味着</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lang w:eastAsia="zh-Hans"/>
        </w:rPr>
        <w:t>对</w:t>
      </w:r>
      <w:r>
        <w:rPr>
          <w:rFonts w:hint="eastAsia" w:ascii="楷体_GB2312" w:hAnsi="楷体" w:eastAsia="楷体_GB2312"/>
          <w:b/>
          <w:bCs/>
          <w:sz w:val="24"/>
          <w:highlight w:val="none"/>
          <w:lang w:eastAsia="zh-CN"/>
        </w:rPr>
        <w:t>本理财产品</w:t>
      </w:r>
      <w:r>
        <w:rPr>
          <w:rFonts w:hint="eastAsia" w:ascii="楷体_GB2312" w:hAnsi="楷体" w:eastAsia="楷体_GB2312"/>
          <w:b/>
          <w:bCs/>
          <w:sz w:val="24"/>
          <w:highlight w:val="none"/>
          <w:lang w:eastAsia="zh-Hans"/>
        </w:rPr>
        <w:t>的任何收益承诺或者保证）</w:t>
      </w:r>
      <w:r>
        <w:rPr>
          <w:rFonts w:hint="eastAsia" w:ascii="楷体_GB2312" w:hAnsi="楷体" w:eastAsia="楷体_GB2312"/>
          <w:b/>
          <w:bCs/>
          <w:sz w:val="24"/>
          <w:highlight w:val="none"/>
          <w:lang w:eastAsia="zh-CN"/>
        </w:rPr>
        <w:t>、</w:t>
      </w:r>
      <w:r>
        <w:rPr>
          <w:rFonts w:hint="eastAsia" w:ascii="楷体_GB2312" w:hAnsi="楷体" w:eastAsia="楷体_GB2312"/>
          <w:b w:val="0"/>
          <w:bCs w:val="0"/>
          <w:sz w:val="24"/>
          <w:highlight w:val="none"/>
          <w:lang w:val="en-US" w:eastAsia="zh-CN"/>
        </w:rPr>
        <w:t>非保本浮动收益型理财产品。</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lang w:val="en-US" w:eastAsia="zh-CN"/>
        </w:rPr>
        <w:t>存续</w:t>
      </w:r>
      <w:r>
        <w:rPr>
          <w:rFonts w:ascii="楷体_GB2312" w:hAnsi="楷体" w:eastAsia="楷体_GB2312"/>
          <w:b w:val="0"/>
          <w:bCs w:val="0"/>
          <w:sz w:val="24"/>
          <w:highlight w:val="none"/>
        </w:rPr>
        <w:t>期限为</w:t>
      </w:r>
      <w:r>
        <w:rPr>
          <w:rFonts w:hint="eastAsia" w:ascii="楷体_GB2312" w:hAnsi="楷体" w:eastAsia="楷体_GB2312"/>
          <w:b w:val="0"/>
          <w:bCs w:val="0"/>
          <w:sz w:val="24"/>
          <w:highlight w:val="none"/>
        </w:rPr>
        <w:t>无固定</w:t>
      </w:r>
      <w:r>
        <w:rPr>
          <w:rFonts w:ascii="楷体_GB2312" w:hAnsi="楷体" w:eastAsia="楷体_GB2312"/>
          <w:b w:val="0"/>
          <w:bCs w:val="0"/>
          <w:sz w:val="24"/>
          <w:highlight w:val="none"/>
        </w:rPr>
        <w:t>期限(受提前终止等</w:t>
      </w:r>
      <w:r>
        <w:rPr>
          <w:rFonts w:hint="eastAsia" w:ascii="楷体_GB2312" w:hAnsi="楷体" w:eastAsia="楷体_GB2312"/>
          <w:b w:val="0"/>
          <w:bCs w:val="0"/>
          <w:sz w:val="24"/>
          <w:highlight w:val="none"/>
          <w:lang w:val="en-US" w:eastAsia="zh-CN"/>
        </w:rPr>
        <w:t>本</w:t>
      </w:r>
      <w:r>
        <w:rPr>
          <w:rFonts w:ascii="楷体_GB2312" w:hAnsi="楷体" w:eastAsia="楷体_GB2312"/>
          <w:b w:val="0"/>
          <w:bCs w:val="0"/>
          <w:sz w:val="24"/>
          <w:highlight w:val="none"/>
        </w:rPr>
        <w:t>理财</w:t>
      </w:r>
      <w:r>
        <w:rPr>
          <w:rFonts w:hint="eastAsia" w:ascii="楷体_GB2312" w:hAnsi="楷体" w:eastAsia="楷体_GB2312"/>
          <w:b w:val="0"/>
          <w:bCs w:val="0"/>
          <w:sz w:val="24"/>
          <w:highlight w:val="none"/>
          <w:lang w:val="en-US" w:eastAsia="zh-CN"/>
        </w:rPr>
        <w:t>产品销售文件</w:t>
      </w:r>
      <w:r>
        <w:rPr>
          <w:rFonts w:ascii="楷体_GB2312" w:hAnsi="楷体" w:eastAsia="楷体_GB2312"/>
          <w:b w:val="0"/>
          <w:bCs w:val="0"/>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w:t>
      </w:r>
      <w:r>
        <w:rPr>
          <w:rFonts w:hint="eastAsia" w:ascii="楷体_GB2312" w:eastAsia="楷体_GB2312"/>
          <w:color w:val="000000"/>
          <w:sz w:val="24"/>
          <w:lang w:val="en-US" w:eastAsia="zh-CN"/>
        </w:rPr>
        <w:t>2</w:t>
      </w:r>
      <w:r>
        <w:rPr>
          <w:rFonts w:hint="eastAsia" w:ascii="楷体_GB2312" w:eastAsia="楷体_GB2312"/>
          <w:color w:val="000000"/>
          <w:sz w:val="24"/>
        </w:rPr>
        <w:t>）</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w:t>
      </w:r>
      <w:r>
        <w:rPr>
          <w:rFonts w:hint="eastAsia" w:ascii="楷体_GB2312" w:hAnsi="楷体" w:eastAsia="楷体_GB2312" w:cs="Times New Roman"/>
          <w:sz w:val="24"/>
          <w:highlight w:val="none"/>
        </w:rPr>
        <w:t>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2"/>
        </w:numPr>
        <w:ind w:firstLine="480" w:firstLineChars="20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pStyle w:val="2"/>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ind w:firstLine="0" w:firstLineChars="0"/>
        <w:rPr>
          <w:rFonts w:hint="eastAsia" w:ascii="楷体_GB2312" w:hAnsi="楷体" w:eastAsia="楷体_GB2312"/>
          <w:sz w:val="24"/>
        </w:rPr>
      </w:pPr>
    </w:p>
    <w:p>
      <w:pPr>
        <w:jc w:val="center"/>
        <w:rPr>
          <w:rFonts w:hint="eastAsia" w:ascii="黑体" w:hAnsi="黑体" w:eastAsia="黑体"/>
          <w:sz w:val="30"/>
          <w:szCs w:val="30"/>
        </w:rPr>
      </w:pPr>
    </w:p>
    <w:p>
      <w:pPr>
        <w:jc w:val="center"/>
        <w:rPr>
          <w:rFonts w:hint="eastAsia" w:ascii="黑体" w:hAnsi="黑体" w:eastAsia="黑体"/>
          <w:sz w:val="30"/>
          <w:szCs w:val="30"/>
        </w:rPr>
      </w:pPr>
    </w:p>
    <w:p>
      <w:pPr>
        <w:jc w:val="center"/>
        <w:rPr>
          <w:rFonts w:hint="eastAsia" w:ascii="黑体" w:hAnsi="黑体" w:eastAsia="黑体"/>
          <w:sz w:val="30"/>
          <w:szCs w:val="30"/>
        </w:rPr>
      </w:pPr>
    </w:p>
    <w:p>
      <w:pPr>
        <w:jc w:val="center"/>
        <w:rPr>
          <w:rFonts w:hint="eastAsia" w:ascii="黑体" w:hAnsi="黑体" w:eastAsia="黑体"/>
          <w:sz w:val="30"/>
          <w:szCs w:val="30"/>
        </w:rPr>
      </w:pPr>
    </w:p>
    <w:p>
      <w:pPr>
        <w:jc w:val="center"/>
        <w:rPr>
          <w:rFonts w:hint="eastAsia" w:ascii="黑体" w:hAnsi="黑体" w:eastAsia="黑体"/>
          <w:sz w:val="30"/>
          <w:szCs w:val="30"/>
        </w:rPr>
      </w:pPr>
    </w:p>
    <w:p>
      <w:pPr>
        <w:jc w:val="center"/>
        <w:rPr>
          <w:rFonts w:ascii="黑体" w:hAnsi="黑体" w:eastAsia="黑体"/>
          <w:sz w:val="30"/>
          <w:szCs w:val="30"/>
        </w:rPr>
      </w:pPr>
      <w:r>
        <w:rPr>
          <w:rFonts w:hint="eastAsia" w:ascii="黑体" w:hAnsi="黑体" w:eastAsia="黑体"/>
          <w:sz w:val="30"/>
          <w:szCs w:val="30"/>
        </w:rPr>
        <w:t>投资者风险确认函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pStyle w:val="2"/>
        <w:rPr>
          <w:highlight w:val="none"/>
        </w:rPr>
      </w:pPr>
    </w:p>
    <w:p>
      <w:pPr>
        <w:ind w:firstLine="480" w:firstLineChars="200"/>
        <w:rPr>
          <w:rFonts w:hint="default" w:ascii="楷体_GB2312" w:hAnsi="楷体" w:eastAsia="楷体_GB2312" w:cs="Times New Roman"/>
          <w:color w:val="auto"/>
          <w:sz w:val="24"/>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2"/>
        <w:rPr>
          <w:rFonts w:hint="eastAsia" w:ascii="Times New Roman" w:hAnsi="Times New Roman" w:eastAsia="宋体" w:cs="Times New Roman"/>
          <w:kern w:val="0"/>
          <w:highlight w:val="none"/>
        </w:rPr>
      </w:pPr>
    </w:p>
    <w:p>
      <w:pPr>
        <w:pStyle w:val="31"/>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31"/>
        <w:pBdr>
          <w:bottom w:val="none" w:color="auto" w:sz="0" w:space="0"/>
        </w:pBdr>
        <w:rPr>
          <w:rFonts w:ascii="楷体_GB2312" w:hAnsi="楷体" w:eastAsia="楷体_GB2312" w:cs="Times New Roman"/>
          <w:color w:val="auto"/>
          <w:kern w:val="2"/>
          <w:highlight w:val="none"/>
        </w:rPr>
      </w:pPr>
    </w:p>
    <w:p>
      <w:pPr>
        <w:pStyle w:val="31"/>
        <w:pBdr>
          <w:top w:val="single" w:color="auto" w:sz="4" w:space="0"/>
          <w:bottom w:val="single" w:color="auto" w:sz="4" w:space="0"/>
        </w:pBdr>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rPr>
          <w:rFonts w:hint="eastAsia" w:ascii="楷体_GB2312" w:hAnsi="楷体" w:eastAsia="楷体_GB2312" w:cs="Times New Roman"/>
          <w:color w:val="auto"/>
          <w:kern w:val="2"/>
          <w:highlight w:val="none"/>
        </w:rPr>
      </w:pPr>
    </w:p>
    <w:p>
      <w:pPr>
        <w:pStyle w:val="3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31"/>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hint="eastAsia" w:ascii="楷体_GB2312" w:hAnsi="楷体" w:eastAsia="楷体_GB2312" w:cs="Times New Roman"/>
          <w:color w:val="auto"/>
          <w:kern w:val="2"/>
          <w:highlight w:val="none"/>
        </w:rPr>
      </w:pPr>
    </w:p>
    <w:p>
      <w:pPr>
        <w:pStyle w:val="3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31"/>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31"/>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pPr>
        <w:pStyle w:val="31"/>
        <w:ind w:right="480"/>
        <w:rPr>
          <w:rFonts w:ascii="楷体_GB2312" w:hAnsi="楷体" w:eastAsia="楷体_GB231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楷体">
    <w:panose1 w:val="02010609060101010101"/>
    <w:charset w:val="86"/>
    <w:family w:val="swiss"/>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swiss"/>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41</w:t>
            </w:r>
            <w:r>
              <w:rPr>
                <w:b/>
                <w:sz w:val="24"/>
                <w:szCs w:val="24"/>
              </w:rPr>
              <w:fldChar w:fldCharType="end"/>
            </w:r>
          </w:p>
        </w:sdtContent>
      </w:sdt>
    </w:sdtContent>
  </w:sdt>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9"/>
      </w:rPr>
    </w:pPr>
    <w:r>
      <w:fldChar w:fldCharType="begin"/>
    </w:r>
    <w:r>
      <w:rPr>
        <w:rStyle w:val="19"/>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sz w:val="24"/>
        <w:szCs w:val="32"/>
      </w:rPr>
      <w:t>北银理财·京华远见</w:t>
    </w:r>
    <w:r>
      <w:rPr>
        <w:rFonts w:hint="eastAsia" w:ascii="黑体" w:hAnsi="黑体" w:eastAsia="黑体"/>
        <w:b/>
        <w:sz w:val="24"/>
        <w:szCs w:val="32"/>
        <w:lang w:val="en-US" w:eastAsia="zh-CN"/>
      </w:rPr>
      <w:t>春系列诚享</w:t>
    </w:r>
    <w:r>
      <w:rPr>
        <w:rFonts w:hint="eastAsia" w:ascii="黑体" w:hAnsi="黑体" w:eastAsia="黑体"/>
        <w:b/>
        <w:sz w:val="24"/>
        <w:szCs w:val="32"/>
      </w:rPr>
      <w:t>持有期</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8D4F9"/>
    <w:multiLevelType w:val="singleLevel"/>
    <w:tmpl w:val="FCF8D4F9"/>
    <w:lvl w:ilvl="0" w:tentative="0">
      <w:start w:val="6"/>
      <w:numFmt w:val="chineseCounting"/>
      <w:suff w:val="nothing"/>
      <w:lvlText w:val="（%1）"/>
      <w:lvlJc w:val="left"/>
      <w:rPr>
        <w:rFonts w:hint="eastAsia"/>
      </w:rPr>
    </w:lvl>
  </w:abstractNum>
  <w:abstractNum w:abstractNumId="1">
    <w:nsid w:val="6530CAE5"/>
    <w:multiLevelType w:val="singleLevel"/>
    <w:tmpl w:val="6530CAE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65"/>
    <w:rsid w:val="0001130F"/>
    <w:rsid w:val="00023027"/>
    <w:rsid w:val="00023624"/>
    <w:rsid w:val="00023E25"/>
    <w:rsid w:val="00031959"/>
    <w:rsid w:val="0004142F"/>
    <w:rsid w:val="00042AB1"/>
    <w:rsid w:val="00073152"/>
    <w:rsid w:val="00075959"/>
    <w:rsid w:val="000927EA"/>
    <w:rsid w:val="000A6512"/>
    <w:rsid w:val="000B06F2"/>
    <w:rsid w:val="000B4AAB"/>
    <w:rsid w:val="000B4F4A"/>
    <w:rsid w:val="000E1184"/>
    <w:rsid w:val="000F1B5E"/>
    <w:rsid w:val="0010341C"/>
    <w:rsid w:val="00114FA2"/>
    <w:rsid w:val="00127573"/>
    <w:rsid w:val="00133A37"/>
    <w:rsid w:val="0013433A"/>
    <w:rsid w:val="00135BA4"/>
    <w:rsid w:val="00136EE0"/>
    <w:rsid w:val="00140605"/>
    <w:rsid w:val="0014653B"/>
    <w:rsid w:val="0016438C"/>
    <w:rsid w:val="001A19A8"/>
    <w:rsid w:val="001A1AF2"/>
    <w:rsid w:val="001A4AA4"/>
    <w:rsid w:val="001D2398"/>
    <w:rsid w:val="001D298D"/>
    <w:rsid w:val="001D6E08"/>
    <w:rsid w:val="001E4E0A"/>
    <w:rsid w:val="002108E2"/>
    <w:rsid w:val="0021550A"/>
    <w:rsid w:val="00216360"/>
    <w:rsid w:val="00235432"/>
    <w:rsid w:val="0023619B"/>
    <w:rsid w:val="00240AB8"/>
    <w:rsid w:val="00251C33"/>
    <w:rsid w:val="00265479"/>
    <w:rsid w:val="002A495F"/>
    <w:rsid w:val="002B4144"/>
    <w:rsid w:val="002B4FF6"/>
    <w:rsid w:val="002C6A5C"/>
    <w:rsid w:val="002D1A2E"/>
    <w:rsid w:val="002D5B8E"/>
    <w:rsid w:val="002F3E26"/>
    <w:rsid w:val="00300B76"/>
    <w:rsid w:val="00301B4C"/>
    <w:rsid w:val="00304018"/>
    <w:rsid w:val="00306DF0"/>
    <w:rsid w:val="00311054"/>
    <w:rsid w:val="00312DEE"/>
    <w:rsid w:val="00312FBA"/>
    <w:rsid w:val="0031305A"/>
    <w:rsid w:val="00314971"/>
    <w:rsid w:val="00316E6E"/>
    <w:rsid w:val="00346B0F"/>
    <w:rsid w:val="00354BD8"/>
    <w:rsid w:val="00365415"/>
    <w:rsid w:val="00367620"/>
    <w:rsid w:val="00370C09"/>
    <w:rsid w:val="00383602"/>
    <w:rsid w:val="00383738"/>
    <w:rsid w:val="0038646E"/>
    <w:rsid w:val="0039453C"/>
    <w:rsid w:val="00395CDA"/>
    <w:rsid w:val="003B62AA"/>
    <w:rsid w:val="003D08CE"/>
    <w:rsid w:val="003D5C4E"/>
    <w:rsid w:val="003E35AE"/>
    <w:rsid w:val="0040047D"/>
    <w:rsid w:val="00402C91"/>
    <w:rsid w:val="00407BFC"/>
    <w:rsid w:val="00413047"/>
    <w:rsid w:val="00417689"/>
    <w:rsid w:val="0041771D"/>
    <w:rsid w:val="00436F86"/>
    <w:rsid w:val="004568C0"/>
    <w:rsid w:val="00463041"/>
    <w:rsid w:val="004635B0"/>
    <w:rsid w:val="0047342B"/>
    <w:rsid w:val="0047354A"/>
    <w:rsid w:val="0047635F"/>
    <w:rsid w:val="00480F5E"/>
    <w:rsid w:val="004918CA"/>
    <w:rsid w:val="00491F21"/>
    <w:rsid w:val="00493993"/>
    <w:rsid w:val="004967C7"/>
    <w:rsid w:val="004A19BD"/>
    <w:rsid w:val="004A7006"/>
    <w:rsid w:val="004C3397"/>
    <w:rsid w:val="004D17AB"/>
    <w:rsid w:val="004E1624"/>
    <w:rsid w:val="004E4340"/>
    <w:rsid w:val="004F098A"/>
    <w:rsid w:val="004F1F50"/>
    <w:rsid w:val="005002F1"/>
    <w:rsid w:val="005132A5"/>
    <w:rsid w:val="00516B28"/>
    <w:rsid w:val="00517AD7"/>
    <w:rsid w:val="00520D2F"/>
    <w:rsid w:val="00530E7E"/>
    <w:rsid w:val="00537946"/>
    <w:rsid w:val="00546347"/>
    <w:rsid w:val="0056230B"/>
    <w:rsid w:val="00562769"/>
    <w:rsid w:val="005837A2"/>
    <w:rsid w:val="00583A81"/>
    <w:rsid w:val="005A2C68"/>
    <w:rsid w:val="005B2D06"/>
    <w:rsid w:val="005C004E"/>
    <w:rsid w:val="005C21F3"/>
    <w:rsid w:val="005C460A"/>
    <w:rsid w:val="005D4317"/>
    <w:rsid w:val="005D6C65"/>
    <w:rsid w:val="005E0942"/>
    <w:rsid w:val="005E25BF"/>
    <w:rsid w:val="005F24B4"/>
    <w:rsid w:val="005F586A"/>
    <w:rsid w:val="00613C69"/>
    <w:rsid w:val="006214FF"/>
    <w:rsid w:val="00642C17"/>
    <w:rsid w:val="00643A8B"/>
    <w:rsid w:val="0064575E"/>
    <w:rsid w:val="00651CC1"/>
    <w:rsid w:val="00660403"/>
    <w:rsid w:val="00661AF1"/>
    <w:rsid w:val="00662142"/>
    <w:rsid w:val="00666B61"/>
    <w:rsid w:val="006732E2"/>
    <w:rsid w:val="006772DB"/>
    <w:rsid w:val="006818F7"/>
    <w:rsid w:val="0068343D"/>
    <w:rsid w:val="006A29F2"/>
    <w:rsid w:val="006A6A7E"/>
    <w:rsid w:val="006B218B"/>
    <w:rsid w:val="006B5AA6"/>
    <w:rsid w:val="006B7B80"/>
    <w:rsid w:val="006D105A"/>
    <w:rsid w:val="006D5AAE"/>
    <w:rsid w:val="006D6E4E"/>
    <w:rsid w:val="006E4400"/>
    <w:rsid w:val="006F7466"/>
    <w:rsid w:val="007042CA"/>
    <w:rsid w:val="007076AB"/>
    <w:rsid w:val="00714088"/>
    <w:rsid w:val="007156F1"/>
    <w:rsid w:val="0072662A"/>
    <w:rsid w:val="00730D15"/>
    <w:rsid w:val="007326F9"/>
    <w:rsid w:val="00737904"/>
    <w:rsid w:val="00742805"/>
    <w:rsid w:val="007449E2"/>
    <w:rsid w:val="00751EF9"/>
    <w:rsid w:val="00764E4A"/>
    <w:rsid w:val="00771F9A"/>
    <w:rsid w:val="007758DF"/>
    <w:rsid w:val="00785E98"/>
    <w:rsid w:val="0079317D"/>
    <w:rsid w:val="007B1BB4"/>
    <w:rsid w:val="007C57DF"/>
    <w:rsid w:val="007D5C91"/>
    <w:rsid w:val="007E7F92"/>
    <w:rsid w:val="007F4838"/>
    <w:rsid w:val="008007B8"/>
    <w:rsid w:val="00804CF5"/>
    <w:rsid w:val="00817013"/>
    <w:rsid w:val="008304FE"/>
    <w:rsid w:val="0083501E"/>
    <w:rsid w:val="008407B3"/>
    <w:rsid w:val="00841AE4"/>
    <w:rsid w:val="0085183C"/>
    <w:rsid w:val="0086543F"/>
    <w:rsid w:val="00867416"/>
    <w:rsid w:val="0086797D"/>
    <w:rsid w:val="00886947"/>
    <w:rsid w:val="00886B4B"/>
    <w:rsid w:val="00887ECE"/>
    <w:rsid w:val="00890461"/>
    <w:rsid w:val="008A24E0"/>
    <w:rsid w:val="008A3465"/>
    <w:rsid w:val="008A402A"/>
    <w:rsid w:val="008A4FEB"/>
    <w:rsid w:val="008C345E"/>
    <w:rsid w:val="008D4619"/>
    <w:rsid w:val="008F4FFE"/>
    <w:rsid w:val="00904CBF"/>
    <w:rsid w:val="00905A53"/>
    <w:rsid w:val="00905C80"/>
    <w:rsid w:val="009210EF"/>
    <w:rsid w:val="00922C2C"/>
    <w:rsid w:val="00954C27"/>
    <w:rsid w:val="009655CF"/>
    <w:rsid w:val="00976980"/>
    <w:rsid w:val="00980936"/>
    <w:rsid w:val="009842AA"/>
    <w:rsid w:val="00992AA6"/>
    <w:rsid w:val="009963DD"/>
    <w:rsid w:val="009A0DE1"/>
    <w:rsid w:val="009C743C"/>
    <w:rsid w:val="00A038AD"/>
    <w:rsid w:val="00A135BD"/>
    <w:rsid w:val="00A13F5F"/>
    <w:rsid w:val="00A151D8"/>
    <w:rsid w:val="00A172CA"/>
    <w:rsid w:val="00A20990"/>
    <w:rsid w:val="00A2116A"/>
    <w:rsid w:val="00A241C7"/>
    <w:rsid w:val="00A367FB"/>
    <w:rsid w:val="00A373A1"/>
    <w:rsid w:val="00A4170F"/>
    <w:rsid w:val="00A459AA"/>
    <w:rsid w:val="00A46F50"/>
    <w:rsid w:val="00A51270"/>
    <w:rsid w:val="00A52DF4"/>
    <w:rsid w:val="00A54C05"/>
    <w:rsid w:val="00A72E56"/>
    <w:rsid w:val="00A91EE4"/>
    <w:rsid w:val="00A9221B"/>
    <w:rsid w:val="00A95A3E"/>
    <w:rsid w:val="00AA1629"/>
    <w:rsid w:val="00AA6C1B"/>
    <w:rsid w:val="00AB4F9B"/>
    <w:rsid w:val="00AC773E"/>
    <w:rsid w:val="00AD5617"/>
    <w:rsid w:val="00AD619A"/>
    <w:rsid w:val="00B0445A"/>
    <w:rsid w:val="00B04631"/>
    <w:rsid w:val="00B06084"/>
    <w:rsid w:val="00B35CAA"/>
    <w:rsid w:val="00B47D72"/>
    <w:rsid w:val="00B52BA3"/>
    <w:rsid w:val="00B535BC"/>
    <w:rsid w:val="00B6532C"/>
    <w:rsid w:val="00B76749"/>
    <w:rsid w:val="00B93B6A"/>
    <w:rsid w:val="00BA0A18"/>
    <w:rsid w:val="00BA6061"/>
    <w:rsid w:val="00BB0A85"/>
    <w:rsid w:val="00BB34B4"/>
    <w:rsid w:val="00BB6E39"/>
    <w:rsid w:val="00BB6F2B"/>
    <w:rsid w:val="00BC7957"/>
    <w:rsid w:val="00BF4171"/>
    <w:rsid w:val="00BF7A7C"/>
    <w:rsid w:val="00C02489"/>
    <w:rsid w:val="00C12C47"/>
    <w:rsid w:val="00C138D1"/>
    <w:rsid w:val="00C173B0"/>
    <w:rsid w:val="00C2692B"/>
    <w:rsid w:val="00C27F49"/>
    <w:rsid w:val="00C43892"/>
    <w:rsid w:val="00C448C8"/>
    <w:rsid w:val="00C451F7"/>
    <w:rsid w:val="00C52634"/>
    <w:rsid w:val="00C64B32"/>
    <w:rsid w:val="00C64F34"/>
    <w:rsid w:val="00C708A7"/>
    <w:rsid w:val="00C76286"/>
    <w:rsid w:val="00C7668C"/>
    <w:rsid w:val="00C816AD"/>
    <w:rsid w:val="00C96F19"/>
    <w:rsid w:val="00CB0B96"/>
    <w:rsid w:val="00CD1DD1"/>
    <w:rsid w:val="00CE0A91"/>
    <w:rsid w:val="00CF62F3"/>
    <w:rsid w:val="00CF6E3A"/>
    <w:rsid w:val="00CF7E1D"/>
    <w:rsid w:val="00D01A6B"/>
    <w:rsid w:val="00D171E4"/>
    <w:rsid w:val="00D26758"/>
    <w:rsid w:val="00D338B6"/>
    <w:rsid w:val="00D5110D"/>
    <w:rsid w:val="00D708E7"/>
    <w:rsid w:val="00D710D9"/>
    <w:rsid w:val="00D870C8"/>
    <w:rsid w:val="00DA0167"/>
    <w:rsid w:val="00DD33B7"/>
    <w:rsid w:val="00DD5596"/>
    <w:rsid w:val="00DE01E8"/>
    <w:rsid w:val="00DE2FA6"/>
    <w:rsid w:val="00DE6793"/>
    <w:rsid w:val="00DF2EB8"/>
    <w:rsid w:val="00DF7384"/>
    <w:rsid w:val="00E3462F"/>
    <w:rsid w:val="00E400F5"/>
    <w:rsid w:val="00E422E0"/>
    <w:rsid w:val="00E61B7C"/>
    <w:rsid w:val="00E64230"/>
    <w:rsid w:val="00E7504C"/>
    <w:rsid w:val="00E7566B"/>
    <w:rsid w:val="00E942AD"/>
    <w:rsid w:val="00E952E0"/>
    <w:rsid w:val="00E97BCC"/>
    <w:rsid w:val="00EA0FD4"/>
    <w:rsid w:val="00EA2AD4"/>
    <w:rsid w:val="00EB5E71"/>
    <w:rsid w:val="00EB7005"/>
    <w:rsid w:val="00EC055B"/>
    <w:rsid w:val="00ED2FC8"/>
    <w:rsid w:val="00EE18EB"/>
    <w:rsid w:val="00EE51C9"/>
    <w:rsid w:val="00EF6EAF"/>
    <w:rsid w:val="00F00CDC"/>
    <w:rsid w:val="00F05DCE"/>
    <w:rsid w:val="00F24F48"/>
    <w:rsid w:val="00F36736"/>
    <w:rsid w:val="00F37052"/>
    <w:rsid w:val="00F42817"/>
    <w:rsid w:val="00F43D36"/>
    <w:rsid w:val="00F4490E"/>
    <w:rsid w:val="00F47DEE"/>
    <w:rsid w:val="00F510F3"/>
    <w:rsid w:val="00F52590"/>
    <w:rsid w:val="00F82D20"/>
    <w:rsid w:val="00F92BA9"/>
    <w:rsid w:val="00FA2A28"/>
    <w:rsid w:val="00FA74DF"/>
    <w:rsid w:val="00FB0648"/>
    <w:rsid w:val="00FC114A"/>
    <w:rsid w:val="00FC1917"/>
    <w:rsid w:val="00FC2733"/>
    <w:rsid w:val="00FC36E0"/>
    <w:rsid w:val="00FC4E48"/>
    <w:rsid w:val="00FC796E"/>
    <w:rsid w:val="00FD02F6"/>
    <w:rsid w:val="00FD2F6B"/>
    <w:rsid w:val="00FD5F1B"/>
    <w:rsid w:val="00FD61D0"/>
    <w:rsid w:val="00FE1DB6"/>
    <w:rsid w:val="00FF1667"/>
    <w:rsid w:val="0106671B"/>
    <w:rsid w:val="01374E54"/>
    <w:rsid w:val="013B4944"/>
    <w:rsid w:val="01F66A58"/>
    <w:rsid w:val="021F2974"/>
    <w:rsid w:val="028D1981"/>
    <w:rsid w:val="0370113C"/>
    <w:rsid w:val="042D3AC1"/>
    <w:rsid w:val="044D11B2"/>
    <w:rsid w:val="04A80419"/>
    <w:rsid w:val="0504144A"/>
    <w:rsid w:val="05BF5990"/>
    <w:rsid w:val="05F01773"/>
    <w:rsid w:val="0714394A"/>
    <w:rsid w:val="07507D94"/>
    <w:rsid w:val="07832498"/>
    <w:rsid w:val="088F4C22"/>
    <w:rsid w:val="0A1C34D3"/>
    <w:rsid w:val="0A7C6626"/>
    <w:rsid w:val="0A7E5B69"/>
    <w:rsid w:val="0A8B01B5"/>
    <w:rsid w:val="0AE700DE"/>
    <w:rsid w:val="0B7B363D"/>
    <w:rsid w:val="0BD65D63"/>
    <w:rsid w:val="0C133D3E"/>
    <w:rsid w:val="0CDD0B3C"/>
    <w:rsid w:val="0E826D80"/>
    <w:rsid w:val="0FD74B35"/>
    <w:rsid w:val="11B521C9"/>
    <w:rsid w:val="126B4A74"/>
    <w:rsid w:val="12890F5D"/>
    <w:rsid w:val="129F7B9C"/>
    <w:rsid w:val="12F627A9"/>
    <w:rsid w:val="133F1E85"/>
    <w:rsid w:val="1380270E"/>
    <w:rsid w:val="1421301B"/>
    <w:rsid w:val="144058DE"/>
    <w:rsid w:val="14707AFE"/>
    <w:rsid w:val="1628152E"/>
    <w:rsid w:val="162B35F7"/>
    <w:rsid w:val="163E130D"/>
    <w:rsid w:val="16507D3B"/>
    <w:rsid w:val="179429FE"/>
    <w:rsid w:val="17E21276"/>
    <w:rsid w:val="197F6915"/>
    <w:rsid w:val="198F2EA3"/>
    <w:rsid w:val="19DA32F5"/>
    <w:rsid w:val="1AEC1938"/>
    <w:rsid w:val="1BC340CB"/>
    <w:rsid w:val="1BE40BE2"/>
    <w:rsid w:val="1D207C54"/>
    <w:rsid w:val="1D343F1A"/>
    <w:rsid w:val="1E254D87"/>
    <w:rsid w:val="1EFB696C"/>
    <w:rsid w:val="1F966CEF"/>
    <w:rsid w:val="2136164D"/>
    <w:rsid w:val="214B6046"/>
    <w:rsid w:val="21902C1B"/>
    <w:rsid w:val="21953B77"/>
    <w:rsid w:val="22562E4A"/>
    <w:rsid w:val="22EC1FB8"/>
    <w:rsid w:val="231C32E1"/>
    <w:rsid w:val="23A91789"/>
    <w:rsid w:val="24DC18C6"/>
    <w:rsid w:val="25BF65EA"/>
    <w:rsid w:val="262B1925"/>
    <w:rsid w:val="283D4410"/>
    <w:rsid w:val="286E581F"/>
    <w:rsid w:val="28A51477"/>
    <w:rsid w:val="28B362F0"/>
    <w:rsid w:val="28CB790F"/>
    <w:rsid w:val="29930B4A"/>
    <w:rsid w:val="29D9624E"/>
    <w:rsid w:val="2A560E0F"/>
    <w:rsid w:val="2A71773B"/>
    <w:rsid w:val="2A845844"/>
    <w:rsid w:val="2B751FAB"/>
    <w:rsid w:val="2BA77503"/>
    <w:rsid w:val="2C294243"/>
    <w:rsid w:val="2C3976D2"/>
    <w:rsid w:val="2C41491A"/>
    <w:rsid w:val="2C891B68"/>
    <w:rsid w:val="2D773D38"/>
    <w:rsid w:val="2DB6549B"/>
    <w:rsid w:val="2E20794F"/>
    <w:rsid w:val="2F261F74"/>
    <w:rsid w:val="2F581BE0"/>
    <w:rsid w:val="30700688"/>
    <w:rsid w:val="31200B1F"/>
    <w:rsid w:val="31207139"/>
    <w:rsid w:val="31935B34"/>
    <w:rsid w:val="319E75B6"/>
    <w:rsid w:val="31FA58B6"/>
    <w:rsid w:val="32374347"/>
    <w:rsid w:val="323C077E"/>
    <w:rsid w:val="35A20C08"/>
    <w:rsid w:val="35CF32C4"/>
    <w:rsid w:val="37CD5327"/>
    <w:rsid w:val="3826648A"/>
    <w:rsid w:val="385A298F"/>
    <w:rsid w:val="38830A0F"/>
    <w:rsid w:val="389C1598"/>
    <w:rsid w:val="391753D8"/>
    <w:rsid w:val="398163A9"/>
    <w:rsid w:val="3A422681"/>
    <w:rsid w:val="3A6E3B4F"/>
    <w:rsid w:val="3A8D500B"/>
    <w:rsid w:val="3B612EFA"/>
    <w:rsid w:val="3BA85FA7"/>
    <w:rsid w:val="3C177EDB"/>
    <w:rsid w:val="3C2C38C7"/>
    <w:rsid w:val="3D2B63EB"/>
    <w:rsid w:val="3F422B55"/>
    <w:rsid w:val="3F4C446F"/>
    <w:rsid w:val="3FA11997"/>
    <w:rsid w:val="40B04D17"/>
    <w:rsid w:val="413C17C4"/>
    <w:rsid w:val="41913EA6"/>
    <w:rsid w:val="41DF4411"/>
    <w:rsid w:val="41F0045C"/>
    <w:rsid w:val="429E457A"/>
    <w:rsid w:val="42C059E3"/>
    <w:rsid w:val="430147FA"/>
    <w:rsid w:val="43237373"/>
    <w:rsid w:val="437E77C4"/>
    <w:rsid w:val="43BC0231"/>
    <w:rsid w:val="43C129BA"/>
    <w:rsid w:val="44194F18"/>
    <w:rsid w:val="44697131"/>
    <w:rsid w:val="44E909A3"/>
    <w:rsid w:val="4547614C"/>
    <w:rsid w:val="4582210E"/>
    <w:rsid w:val="45DE540E"/>
    <w:rsid w:val="466D0103"/>
    <w:rsid w:val="46E32BCE"/>
    <w:rsid w:val="47FD5FDB"/>
    <w:rsid w:val="49875DCE"/>
    <w:rsid w:val="4995019C"/>
    <w:rsid w:val="4A492440"/>
    <w:rsid w:val="4B8A1C53"/>
    <w:rsid w:val="4C3E433E"/>
    <w:rsid w:val="4D0F2901"/>
    <w:rsid w:val="4E55337F"/>
    <w:rsid w:val="4F7A2A19"/>
    <w:rsid w:val="4F7E1BFB"/>
    <w:rsid w:val="508F641B"/>
    <w:rsid w:val="50A12E60"/>
    <w:rsid w:val="510D3370"/>
    <w:rsid w:val="51CC25D5"/>
    <w:rsid w:val="525955B1"/>
    <w:rsid w:val="53D00DBF"/>
    <w:rsid w:val="53F07DE5"/>
    <w:rsid w:val="54426194"/>
    <w:rsid w:val="54512311"/>
    <w:rsid w:val="548E38FF"/>
    <w:rsid w:val="54905820"/>
    <w:rsid w:val="54C066DC"/>
    <w:rsid w:val="552402DA"/>
    <w:rsid w:val="555820B5"/>
    <w:rsid w:val="578E488B"/>
    <w:rsid w:val="57C135B2"/>
    <w:rsid w:val="58191195"/>
    <w:rsid w:val="581A4CC0"/>
    <w:rsid w:val="596270B3"/>
    <w:rsid w:val="59757966"/>
    <w:rsid w:val="59CE6345"/>
    <w:rsid w:val="5A3B0686"/>
    <w:rsid w:val="5A9A22F9"/>
    <w:rsid w:val="5AC21DB2"/>
    <w:rsid w:val="5C183BCB"/>
    <w:rsid w:val="5C652FAE"/>
    <w:rsid w:val="5DA15318"/>
    <w:rsid w:val="5DD221CC"/>
    <w:rsid w:val="5F9174CB"/>
    <w:rsid w:val="60887E5E"/>
    <w:rsid w:val="60AB572B"/>
    <w:rsid w:val="60E742FD"/>
    <w:rsid w:val="61E50F12"/>
    <w:rsid w:val="630531DA"/>
    <w:rsid w:val="63661564"/>
    <w:rsid w:val="63EB5A74"/>
    <w:rsid w:val="644436E8"/>
    <w:rsid w:val="652C5971"/>
    <w:rsid w:val="65766292"/>
    <w:rsid w:val="65E35E14"/>
    <w:rsid w:val="6651210B"/>
    <w:rsid w:val="66915805"/>
    <w:rsid w:val="66D555F0"/>
    <w:rsid w:val="672E4672"/>
    <w:rsid w:val="682D7901"/>
    <w:rsid w:val="6836676F"/>
    <w:rsid w:val="687938F3"/>
    <w:rsid w:val="6890026C"/>
    <w:rsid w:val="695C7769"/>
    <w:rsid w:val="6A06258C"/>
    <w:rsid w:val="6A1A4CD8"/>
    <w:rsid w:val="6A57315D"/>
    <w:rsid w:val="6B200010"/>
    <w:rsid w:val="6B88487B"/>
    <w:rsid w:val="6C053863"/>
    <w:rsid w:val="6CC42F8F"/>
    <w:rsid w:val="6CE54404"/>
    <w:rsid w:val="6D1D442E"/>
    <w:rsid w:val="6D4818D6"/>
    <w:rsid w:val="6D596CF4"/>
    <w:rsid w:val="6DBD503F"/>
    <w:rsid w:val="6E5B561D"/>
    <w:rsid w:val="6E7A07CF"/>
    <w:rsid w:val="70AA6167"/>
    <w:rsid w:val="70E4702B"/>
    <w:rsid w:val="71596E67"/>
    <w:rsid w:val="717D724A"/>
    <w:rsid w:val="71970440"/>
    <w:rsid w:val="71C346B5"/>
    <w:rsid w:val="72441D02"/>
    <w:rsid w:val="724B6478"/>
    <w:rsid w:val="73AF6017"/>
    <w:rsid w:val="73E72C13"/>
    <w:rsid w:val="74E731ED"/>
    <w:rsid w:val="75024F92"/>
    <w:rsid w:val="753F0B17"/>
    <w:rsid w:val="758E5463"/>
    <w:rsid w:val="75EB4ED6"/>
    <w:rsid w:val="768C7E47"/>
    <w:rsid w:val="77003B40"/>
    <w:rsid w:val="77156C7D"/>
    <w:rsid w:val="771F4878"/>
    <w:rsid w:val="77D00302"/>
    <w:rsid w:val="77E66B14"/>
    <w:rsid w:val="78570879"/>
    <w:rsid w:val="793A670D"/>
    <w:rsid w:val="79BA78FA"/>
    <w:rsid w:val="79CE0279"/>
    <w:rsid w:val="7A0849C7"/>
    <w:rsid w:val="7A377612"/>
    <w:rsid w:val="7A3C6949"/>
    <w:rsid w:val="7B8E5C3C"/>
    <w:rsid w:val="7B9A5BD4"/>
    <w:rsid w:val="7BC60E22"/>
    <w:rsid w:val="7C1B3BD2"/>
    <w:rsid w:val="7C8A0DE0"/>
    <w:rsid w:val="7D96647C"/>
    <w:rsid w:val="7E08657F"/>
    <w:rsid w:val="7E726B1F"/>
    <w:rsid w:val="7F1C2108"/>
    <w:rsid w:val="7F327624"/>
    <w:rsid w:val="7F9346C0"/>
    <w:rsid w:val="7FA347F6"/>
    <w:rsid w:val="7FB12C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link w:val="26"/>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8">
    <w:name w:val="Document Map"/>
    <w:basedOn w:val="1"/>
    <w:link w:val="32"/>
    <w:qFormat/>
    <w:uiPriority w:val="0"/>
    <w:rPr>
      <w:rFonts w:ascii="宋体"/>
      <w:sz w:val="18"/>
      <w:szCs w:val="18"/>
    </w:rPr>
  </w:style>
  <w:style w:type="paragraph" w:styleId="9">
    <w:name w:val="annotation text"/>
    <w:basedOn w:val="1"/>
    <w:link w:val="33"/>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30"/>
    <w:unhideWhenUsed/>
    <w:qFormat/>
    <w:uiPriority w:val="0"/>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35"/>
    <w:qFormat/>
    <w:uiPriority w:val="0"/>
    <w:pPr>
      <w:spacing w:before="240" w:after="60"/>
      <w:jc w:val="center"/>
      <w:outlineLvl w:val="0"/>
    </w:pPr>
    <w:rPr>
      <w:rFonts w:ascii="Cambria" w:hAnsi="Cambria" w:eastAsia="楷体_GB2312"/>
      <w:b/>
      <w:bCs/>
      <w:kern w:val="0"/>
      <w:sz w:val="32"/>
      <w:szCs w:val="32"/>
    </w:rPr>
  </w:style>
  <w:style w:type="paragraph" w:styleId="15">
    <w:name w:val="annotation subject"/>
    <w:basedOn w:val="9"/>
    <w:next w:val="9"/>
    <w:link w:val="36"/>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Char"/>
    <w:basedOn w:val="17"/>
    <w:link w:val="6"/>
    <w:qFormat/>
    <w:uiPriority w:val="0"/>
    <w:rPr>
      <w:rFonts w:ascii="Times New Roman" w:hAnsi="Times New Roman" w:eastAsia="宋体" w:cs="Times New Roman"/>
      <w:b/>
      <w:bCs/>
      <w:kern w:val="44"/>
      <w:sz w:val="44"/>
      <w:szCs w:val="44"/>
    </w:rPr>
  </w:style>
  <w:style w:type="character" w:customStyle="1" w:styleId="23">
    <w:name w:val="标题 3 Char"/>
    <w:basedOn w:val="17"/>
    <w:link w:val="7"/>
    <w:qFormat/>
    <w:uiPriority w:val="0"/>
    <w:rPr>
      <w:rFonts w:ascii="Times New Roman" w:hAnsi="Times New Roman" w:eastAsia="宋体" w:cs="Times New Roman"/>
      <w:b/>
      <w:bCs/>
      <w:sz w:val="32"/>
      <w:szCs w:val="32"/>
    </w:rPr>
  </w:style>
  <w:style w:type="character" w:customStyle="1" w:styleId="24">
    <w:name w:val="页眉 Char"/>
    <w:basedOn w:val="17"/>
    <w:link w:val="13"/>
    <w:qFormat/>
    <w:uiPriority w:val="0"/>
    <w:rPr>
      <w:rFonts w:ascii="Times New Roman" w:hAnsi="Times New Roman" w:eastAsia="宋体" w:cs="Times New Roman"/>
      <w:sz w:val="18"/>
      <w:szCs w:val="18"/>
    </w:rPr>
  </w:style>
  <w:style w:type="character" w:customStyle="1" w:styleId="25">
    <w:name w:val="页脚 Char1"/>
    <w:basedOn w:val="17"/>
    <w:link w:val="12"/>
    <w:qFormat/>
    <w:uiPriority w:val="99"/>
    <w:rPr>
      <w:rFonts w:ascii="Times New Roman" w:hAnsi="Times New Roman" w:eastAsia="宋体" w:cs="Times New Roman"/>
      <w:sz w:val="18"/>
      <w:szCs w:val="18"/>
    </w:rPr>
  </w:style>
  <w:style w:type="character" w:customStyle="1" w:styleId="26">
    <w:name w:val="正文文本缩进 Char"/>
    <w:link w:val="3"/>
    <w:qFormat/>
    <w:uiPriority w:val="0"/>
    <w:rPr>
      <w:rFonts w:ascii="Times New Roman" w:hAnsi="Times New Roman" w:eastAsia="宋体" w:cs="Times New Roman"/>
      <w:szCs w:val="21"/>
    </w:rPr>
  </w:style>
  <w:style w:type="character" w:customStyle="1" w:styleId="27">
    <w:name w:val="正文文本缩进 字符"/>
    <w:basedOn w:val="17"/>
    <w:semiHidden/>
    <w:qFormat/>
    <w:uiPriority w:val="99"/>
    <w:rPr>
      <w:rFonts w:ascii="Times New Roman" w:hAnsi="Times New Roman" w:eastAsia="宋体" w:cs="Times New Roman"/>
      <w:szCs w:val="24"/>
    </w:rPr>
  </w:style>
  <w:style w:type="character" w:customStyle="1" w:styleId="28">
    <w:name w:val="页脚 Char"/>
    <w:qFormat/>
    <w:locked/>
    <w:uiPriority w:val="99"/>
    <w:rPr>
      <w:rFonts w:cs="Times New Roman"/>
      <w:sz w:val="18"/>
      <w:szCs w:val="18"/>
    </w:rPr>
  </w:style>
  <w:style w:type="paragraph" w:customStyle="1" w:styleId="29">
    <w:name w:val="特点"/>
    <w:basedOn w:val="1"/>
    <w:next w:val="3"/>
    <w:qFormat/>
    <w:uiPriority w:val="0"/>
    <w:pPr>
      <w:spacing w:line="300" w:lineRule="exact"/>
      <w:ind w:right="26" w:firstLine="435"/>
    </w:pPr>
    <w:rPr>
      <w:rFonts w:eastAsia="黑体"/>
      <w:sz w:val="18"/>
    </w:rPr>
  </w:style>
  <w:style w:type="character" w:customStyle="1" w:styleId="30">
    <w:name w:val="批注框文本 Char"/>
    <w:basedOn w:val="17"/>
    <w:link w:val="11"/>
    <w:semiHidden/>
    <w:qFormat/>
    <w:uiPriority w:val="99"/>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32">
    <w:name w:val="文档结构图 Char"/>
    <w:basedOn w:val="17"/>
    <w:link w:val="8"/>
    <w:qFormat/>
    <w:uiPriority w:val="0"/>
    <w:rPr>
      <w:rFonts w:ascii="宋体" w:hAnsi="Times New Roman" w:eastAsia="宋体" w:cs="Times New Roman"/>
      <w:sz w:val="18"/>
      <w:szCs w:val="18"/>
    </w:rPr>
  </w:style>
  <w:style w:type="character" w:customStyle="1" w:styleId="33">
    <w:name w:val="批注文字 Char"/>
    <w:basedOn w:val="17"/>
    <w:link w:val="9"/>
    <w:qFormat/>
    <w:uiPriority w:val="0"/>
    <w:rPr>
      <w:rFonts w:ascii="Times New Roman" w:hAnsi="Times New Roman" w:eastAsia="宋体" w:cs="Times New Roman"/>
      <w:szCs w:val="24"/>
    </w:rPr>
  </w:style>
  <w:style w:type="character" w:customStyle="1" w:styleId="34">
    <w:name w:val="页眉 Char1"/>
    <w:qFormat/>
    <w:locked/>
    <w:uiPriority w:val="99"/>
    <w:rPr>
      <w:rFonts w:cs="Times New Roman"/>
      <w:sz w:val="18"/>
      <w:szCs w:val="18"/>
    </w:rPr>
  </w:style>
  <w:style w:type="character" w:customStyle="1" w:styleId="35">
    <w:name w:val="标题 Char"/>
    <w:basedOn w:val="17"/>
    <w:link w:val="14"/>
    <w:qFormat/>
    <w:uiPriority w:val="0"/>
    <w:rPr>
      <w:rFonts w:ascii="Cambria" w:hAnsi="Cambria" w:eastAsia="楷体_GB2312" w:cs="Times New Roman"/>
      <w:b/>
      <w:bCs/>
      <w:kern w:val="0"/>
      <w:sz w:val="32"/>
      <w:szCs w:val="32"/>
    </w:rPr>
  </w:style>
  <w:style w:type="character" w:customStyle="1" w:styleId="36">
    <w:name w:val="批注主题 Char"/>
    <w:basedOn w:val="33"/>
    <w:link w:val="15"/>
    <w:qFormat/>
    <w:uiPriority w:val="0"/>
    <w:rPr>
      <w:rFonts w:ascii="Times New Roman" w:hAnsi="Times New Roman" w:eastAsia="宋体" w:cs="Times New Roman"/>
      <w:b/>
      <w:bCs/>
      <w:szCs w:val="24"/>
    </w:rPr>
  </w:style>
  <w:style w:type="paragraph" w:customStyle="1" w:styleId="37">
    <w:name w:val="列出段落1"/>
    <w:basedOn w:val="1"/>
    <w:qFormat/>
    <w:uiPriority w:val="0"/>
    <w:pPr>
      <w:ind w:firstLine="420" w:firstLineChars="200"/>
    </w:pPr>
    <w:rPr>
      <w:rFonts w:ascii="Calibri" w:hAnsi="Calibri"/>
      <w:szCs w:val="22"/>
    </w:rPr>
  </w:style>
  <w:style w:type="paragraph" w:customStyle="1" w:styleId="38">
    <w:name w:val="列出段落2"/>
    <w:basedOn w:val="1"/>
    <w:qFormat/>
    <w:uiPriority w:val="34"/>
    <w:pPr>
      <w:ind w:firstLine="420" w:firstLineChars="200"/>
    </w:pPr>
  </w:style>
  <w:style w:type="paragraph" w:customStyle="1" w:styleId="39">
    <w:name w:val="Char Char Char Char Char Char Char"/>
    <w:basedOn w:val="1"/>
    <w:qFormat/>
    <w:uiPriority w:val="0"/>
    <w:rPr>
      <w:rFonts w:ascii="Tahoma" w:hAnsi="Tahoma"/>
      <w:sz w:val="24"/>
      <w:szCs w:val="20"/>
    </w:rPr>
  </w:style>
  <w:style w:type="paragraph" w:customStyle="1" w:styleId="40">
    <w:name w:val="p0"/>
    <w:basedOn w:val="1"/>
    <w:qFormat/>
    <w:uiPriority w:val="0"/>
    <w:pPr>
      <w:widowControl/>
    </w:pPr>
    <w:rPr>
      <w:kern w:val="0"/>
      <w:szCs w:val="21"/>
    </w:rPr>
  </w:style>
  <w:style w:type="paragraph" w:customStyle="1" w:styleId="4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C92B-BD9C-428C-89DE-9A4A14445917}">
  <ds:schemaRefs/>
</ds:datastoreItem>
</file>

<file path=docProps/app.xml><?xml version="1.0" encoding="utf-8"?>
<Properties xmlns="http://schemas.openxmlformats.org/officeDocument/2006/extended-properties" xmlns:vt="http://schemas.openxmlformats.org/officeDocument/2006/docPropsVTypes">
  <Template>Normal</Template>
  <Pages>50</Pages>
  <Words>45927</Words>
  <Characters>46633</Characters>
  <Lines>267</Lines>
  <Paragraphs>75</Paragraphs>
  <TotalTime>1</TotalTime>
  <ScaleCrop>false</ScaleCrop>
  <LinksUpToDate>false</LinksUpToDate>
  <CharactersWithSpaces>46766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2023-08-16T08:00:00Z</dcterms:created>
  <dc:creator>Song Cangnan</dc:creator>
  <cp:lastModifiedBy>Administrator</cp:lastModifiedBy>
  <cp:lastPrinted>2022-12-23T14:07:00Z</cp:lastPrinted>
  <dcterms:modified xsi:type="dcterms:W3CDTF">2025-11-07T02:28:12Z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D41662C12E7845FF984A3324AE7B06E7</vt:lpwstr>
  </property>
</Properties>
</file>