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苏银理财恒源1年定开2013期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（2026年2月版）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苏银理财恒源1年定开2013期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苏银理财恒源1年定开2013期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Z7003121000083，</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A份额:苏银理财恒源1年定开2013期A/J210601SA301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B份额:苏银理财恒源1年定开2013期B/J02212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C份额:苏银理财恒源1年定开2013期C/J14015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D份额:苏银理财恒源1年定开2013期D/J03046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F份额:苏银理财恒源1年定开2013期F/J03047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G份额:苏银理财恒源1年定开2013期G/J03048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J份额:苏银理财恒源1年定开2013期J/J03049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R份额:苏银理财恒源1年定开2013期R/J14016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P份额:苏银理财恒源1年定开2013期P/J14017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O份额:苏银理财恒源1年定开2013期O（兰州银行开门红专属）/J14018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U份额:苏银理财恒源1年定开2013期U/J14019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Z份额:苏银理财恒源1年定开2013期Z/J14020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ZA份额:苏银理财恒源1年定开2013期ZA鑫福款（自动赎回）/J03050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ZF份额:苏银理财恒源1年定开2013期ZF（自动赎回）/J03051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ZF2份额:苏银理财恒源1年定开2013期ZF2（自动赎回）/J14386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ZN份额:苏银理财恒源1年定开2013期ZN（自动赎回）/J03743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ZC份额:苏银理财恒源1年定开2013期ZC鑫福优享（自动赎回）/J14021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ZK份额:苏银理财恒源1年定开2013期ZK鑫福尊享（自动赎回）/J14022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100000万元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:20</w:t>
            </w:r>
            <w:r>
              <w:rPr>
                <w:rFonts w:hint="eastAsia" w:ascii="楷体" w:hAnsi="楷体" w:eastAsia="楷体"/>
                <w:sz w:val="18"/>
                <w:szCs w:val="18"/>
                <w:highlight w:val="none"/>
              </w:rPr>
              <w:t>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R份额: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eastAsia="楷体"/>
                <w:lang w:val="en-US" w:eastAsia="zh-CN"/>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ZF2份额: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C</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K</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0</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12</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30</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1</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5</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1</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6</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lang w:eastAsia="zh-CN"/>
              </w:rPr>
              <w:t>年1</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lang w:eastAsia="zh-CN"/>
              </w:rPr>
              <w:t>月</w:t>
            </w:r>
            <w:r>
              <w:rPr>
                <w:rFonts w:hint="eastAsia" w:ascii="楷体" w:hAnsi="楷体" w:eastAsia="楷体" w:cs="宋体"/>
                <w:color w:val="auto"/>
                <w:spacing w:val="-2"/>
                <w:sz w:val="18"/>
                <w:szCs w:val="18"/>
                <w:lang w:val="en-US" w:eastAsia="zh-CN"/>
              </w:rPr>
              <w:t>30</w:t>
            </w:r>
            <w:r>
              <w:rPr>
                <w:rFonts w:hint="eastAsia" w:ascii="楷体" w:hAnsi="楷体" w:eastAsia="楷体" w:cs="宋体"/>
                <w:color w:val="auto"/>
                <w:spacing w:val="-2"/>
                <w:sz w:val="18"/>
                <w:szCs w:val="18"/>
                <w:lang w:eastAsia="zh-CN"/>
              </w:rPr>
              <w:t>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最新投资周期（2026年2月27日-2027年3月18日）开放申购与赎回时间为：</w:t>
            </w:r>
            <w:r>
              <w:rPr>
                <w:rFonts w:hint="eastAsia" w:ascii="楷体" w:hAnsi="楷体" w:eastAsia="楷体" w:cs="宋体"/>
                <w:b/>
                <w:bCs/>
                <w:spacing w:val="-2"/>
                <w:sz w:val="18"/>
                <w:szCs w:val="18"/>
                <w:highlight w:val="none"/>
                <w:lang w:val="en-US" w:eastAsia="zh-CN"/>
              </w:rPr>
              <w:t>2026年2月11日至2026年2月26日（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(其中ZA份额/ZF份额/ZF2份额/ZN份额/ZC份额/ZK份额由系统主动发起赎回申请，投资者无须发起赎回申请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2026年2月27日-2027年3月18日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b w:val="0"/>
                      <w:bCs w:val="0"/>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b w:val="0"/>
                      <w:bCs w:val="0"/>
                      <w:sz w:val="18"/>
                      <w:szCs w:val="18"/>
                      <w:lang w:val="en-US" w:eastAsia="zh-CN"/>
                    </w:rPr>
                    <w:t>2021年1月6日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b w:val="0"/>
                      <w:bCs w:val="0"/>
                      <w:sz w:val="18"/>
                      <w:szCs w:val="18"/>
                      <w:highlight w:val="none"/>
                      <w:lang w:eastAsia="zh-CN"/>
                    </w:rPr>
                    <w:t>2022年1月11日</w:t>
                  </w:r>
                </w:p>
              </w:tc>
              <w:tc>
                <w:tcPr>
                  <w:tcW w:w="2701" w:type="dxa"/>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jc w:val="center"/>
                    <w:textAlignment w:val="auto"/>
                    <w:rPr>
                      <w:rFonts w:hint="eastAsia" w:ascii="楷体" w:hAnsi="楷体" w:eastAsia="楷体"/>
                      <w:sz w:val="18"/>
                      <w:szCs w:val="18"/>
                      <w:lang w:val="en-US" w:eastAsia="zh-CN"/>
                    </w:rPr>
                  </w:pPr>
                  <w:r>
                    <w:rPr>
                      <w:rFonts w:hint="eastAsia" w:ascii="楷体" w:hAnsi="楷体" w:eastAsia="楷体"/>
                      <w:b w:val="0"/>
                      <w:bCs w:val="0"/>
                      <w:sz w:val="18"/>
                      <w:szCs w:val="18"/>
                      <w:lang w:val="en-US" w:eastAsia="zh-CN"/>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highlight w:val="none"/>
                      <w:lang w:eastAsia="zh-CN"/>
                    </w:rPr>
                    <w:t>2022年1月12日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highlight w:val="none"/>
                      <w:lang w:eastAsia="zh-CN"/>
                    </w:rPr>
                    <w:t>2023年1月17日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highlight w:val="none"/>
                      <w:lang w:eastAsia="zh-CN"/>
                    </w:rPr>
                    <w:t>2023年1月18日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eastAsia="zh-CN"/>
                    </w:rPr>
                    <w:t>2024年1月23日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A份额4.</w:t>
                  </w:r>
                  <w:r>
                    <w:rPr>
                      <w:rFonts w:hint="eastAsia" w:ascii="楷体" w:hAnsi="楷体" w:eastAsia="楷体"/>
                      <w:sz w:val="18"/>
                      <w:szCs w:val="18"/>
                      <w:lang w:val="en-US" w:eastAsia="zh-CN"/>
                    </w:rPr>
                    <w:t>1</w:t>
                  </w:r>
                  <w:r>
                    <w:rPr>
                      <w:rFonts w:hint="default" w:ascii="楷体" w:hAnsi="楷体" w:eastAsia="楷体"/>
                      <w:sz w:val="18"/>
                      <w:szCs w:val="18"/>
                      <w:lang w:val="en-US" w:eastAsia="zh-CN"/>
                    </w:rPr>
                    <w:t>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B份额4.</w:t>
                  </w:r>
                  <w:r>
                    <w:rPr>
                      <w:rFonts w:hint="eastAsia" w:ascii="楷体" w:hAnsi="楷体" w:eastAsia="楷体"/>
                      <w:sz w:val="18"/>
                      <w:szCs w:val="18"/>
                      <w:lang w:val="en-US" w:eastAsia="zh-CN"/>
                    </w:rPr>
                    <w:t>1</w:t>
                  </w:r>
                  <w:r>
                    <w:rPr>
                      <w:rFonts w:hint="default" w:ascii="楷体" w:hAnsi="楷体" w:eastAsia="楷体"/>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2024年1月24日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2025年2月6日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5</w:t>
                  </w:r>
                </w:p>
              </w:tc>
              <w:tc>
                <w:tcPr>
                  <w:tcW w:w="1871" w:type="dxa"/>
                  <w:vAlign w:val="center"/>
                </w:tcPr>
                <w:p>
                  <w:pPr>
                    <w:jc w:val="center"/>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2025年2月7日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2026年2月26日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w:t>
                  </w:r>
                  <w:r>
                    <w:rPr>
                      <w:rFonts w:hint="eastAsia" w:ascii="楷体" w:hAnsi="楷体" w:eastAsia="楷体" w:cs="Times New Roman"/>
                      <w:sz w:val="18"/>
                      <w:szCs w:val="18"/>
                      <w:lang w:val="en-US" w:eastAsia="zh-CN"/>
                    </w:rPr>
                    <w:t>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w:t>
                  </w:r>
                  <w:r>
                    <w:rPr>
                      <w:rFonts w:hint="eastAsia" w:ascii="楷体" w:hAnsi="楷体" w:eastAsia="楷体" w:cs="Times New Roman"/>
                      <w:sz w:val="18"/>
                      <w:szCs w:val="18"/>
                      <w:lang w:val="en-US" w:eastAsia="zh-CN"/>
                    </w:rPr>
                    <w:t>2.68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w:t>
                  </w:r>
                  <w:r>
                    <w:rPr>
                      <w:rFonts w:hint="eastAsia" w:ascii="楷体" w:hAnsi="楷体" w:eastAsia="楷体" w:cs="Times New Roman"/>
                      <w:sz w:val="18"/>
                      <w:szCs w:val="18"/>
                      <w:lang w:val="en-US" w:eastAsia="zh-CN"/>
                    </w:rPr>
                    <w:t>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G份额2.70%-3.30%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w:t>
                  </w:r>
                  <w:r>
                    <w:rPr>
                      <w:rFonts w:hint="eastAsia" w:ascii="楷体" w:hAnsi="楷体" w:eastAsia="楷体" w:cs="Times New Roman"/>
                      <w:sz w:val="18"/>
                      <w:szCs w:val="18"/>
                      <w:lang w:val="en-US" w:eastAsia="zh-CN"/>
                    </w:rPr>
                    <w:t>2.75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3.35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w:t>
                  </w:r>
                  <w:r>
                    <w:rPr>
                      <w:rFonts w:hint="eastAsia" w:ascii="楷体" w:hAnsi="楷体" w:eastAsia="楷体" w:cs="Times New Roman"/>
                      <w:sz w:val="18"/>
                      <w:szCs w:val="18"/>
                      <w:lang w:val="en-US" w:eastAsia="zh-CN"/>
                    </w:rPr>
                    <w:t>额2.65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w:t>
                  </w:r>
                  <w:r>
                    <w:rPr>
                      <w:rFonts w:hint="eastAsia" w:ascii="楷体" w:hAnsi="楷体" w:eastAsia="楷体" w:cs="Times New Roman"/>
                      <w:sz w:val="18"/>
                      <w:szCs w:val="18"/>
                      <w:lang w:val="en-US" w:eastAsia="zh-CN"/>
                    </w:rPr>
                    <w:t>额2.65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cs="Times New Roman"/>
                      <w:sz w:val="18"/>
                      <w:szCs w:val="18"/>
                      <w:lang w:val="en-US" w:eastAsia="zh-CN"/>
                    </w:rPr>
                    <w:t>ZN份额2.80%-3.40%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6</w:t>
                  </w:r>
                </w:p>
              </w:tc>
              <w:tc>
                <w:tcPr>
                  <w:tcW w:w="1871" w:type="dxa"/>
                  <w:vAlign w:val="center"/>
                </w:tcPr>
                <w:p>
                  <w:pPr>
                    <w:jc w:val="center"/>
                    <w:rPr>
                      <w:rFonts w:hint="eastAsia" w:ascii="楷体" w:hAnsi="楷体" w:eastAsia="楷体" w:cs="宋体"/>
                      <w:spacing w:val="-2"/>
                      <w:sz w:val="18"/>
                      <w:szCs w:val="18"/>
                      <w:lang w:val="en-US" w:eastAsia="zh-CN"/>
                    </w:rPr>
                  </w:pPr>
                  <w:r>
                    <w:rPr>
                      <w:rFonts w:hint="eastAsia" w:ascii="楷体" w:hAnsi="楷体" w:eastAsia="楷体"/>
                      <w:sz w:val="18"/>
                      <w:szCs w:val="18"/>
                      <w:lang w:val="en-US" w:eastAsia="zh-CN"/>
                    </w:rPr>
                    <w:t>2026年2月27日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2027年3月18日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B份额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D份额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G份额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J份额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R份额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O份额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U份额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ZF2份额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ZN份额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ZK份额 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0.55%，J份额 0.50%，R份额 0.50%，P份额 0.45%，O份额 0.55%，U份额 0.60%，Z份额 0.65%，ZA份额 0.65%，ZF份额 0.65%，ZF2份额 0.60%，ZN份额 0.55%，ZC份额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0.72%，J份额 0.70%，R份额 0.65%，P份额 0.65%，O份额 0.65%，U份额 0.70%，Z份额 0.65%，ZA份额 0.65%，ZF份额 0.65%，ZF2份额 0.60%，ZN份额 0.65%，ZC份额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江阴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九江银行股份有限公司/宁波东海银行股份有限公司/齐鲁银行股份有限公司/上海农村商业银行股份有限公司/上海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宁波东海银行股份有限公司/齐鲁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D份额：江苏江阴农村商业银行股份有限公司/江苏南通农村商业银行股份有限公司/江苏银行股份有限公司/上海银行股份有限公司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北京农村商业银行股份有限公司/甘肃银行股份有限公司/广州农村商业银行股份有限公司/广州银行股份有限公司/杭州联合农村商业银行股份有限公司/华侨银行有限公司/交通银行股份有限公司/九江银行股份有限公司/宁波慈溪农村商业银行股份有限公司/宁波通商银行股份有限公司/宁波余姚农村商业银行股份有限公司/宁波镇海农村商业银行股份有限公司/日照银行股份有限公司/山西银行股份有限公司/深圳农村商业银行股份有限公司/苏州银行股份有限公司/台州银行股份有限公司/潍坊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江山农村商业银行股份有限公司/浙江开化农村商业银行股份有限公司/浙江乐清农村商业银行股份有限公司/浙江临海农村商业银行股份有限公司/浙江青田农村商业银行股份有限公司/浙江上虞农村商业银行股份有限公司/浙江绍兴瑞丰农村商业银行股份有限公司/浙江泰顺农村商业银行股份有限公司/浙江桐庐农村商业银行股份有限公司/浙江温州龙湾农村商业银行股份有限公司/浙江温州瓯海农村商业银行股份有限公司/浙江武义农村商业银行股份有限公司/浙江萧山农村商业银行股份有限公司/浙江义乌农村商业银行股份有限公司/浙江永嘉农村商业银行股份有限公司/浙江永康农村商业银行股份有限公司/浙江长兴农村商业银行股份有限公司/浙江舟山定海海洋农村商业银行股份有限公司/浙商银行股份有限公司/中邮邮惠万家银行有限责任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广州农村商业银行股份有限公司/广州银行股份有限公司/杭州联合农村商业银行股份有限公司/徽商银行股份有限公司/九江银行股份有限公司/宁波通商银行股份有限公司/宁波余姚农村商业银行股份有限公司/山西银行股份有限公司/深圳农村商业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衢州衢江农村商业银行股份有限公司/浙江上虞农村商业银行股份有限公司/浙江绍兴瑞丰农村商业银行股份有限公司/浙江桐庐农村商业银行股份有限公司/浙江萧山农村商业银行股份有限公司/浙江永嘉农村商业银行股份有限公司/浙江舟山定海海洋农村商业银行股份有限公司/浙商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J份额：江苏如皋农村商业银行股份有限公司/江苏银行股份有限公司/上海银行股份有限公司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R份额：郑州银行股份有限公司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P份额：甘肃银行股份有限公司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U份额：徽商银行股份有限公司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Z份额：上海农村商业银行股份有限公司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常熟农村商业银行股份有限公司/江苏大丰农村商业银行股份有限公司/江苏丹阳农村商业银行股份有限公司/江苏东海农村商业银行股份有限公司/江苏东台农村商业银行股份有限公司/江苏丰县农村商业银行股份有限公司/江苏阜宁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洪泽农村商业银行股份有限公司/江苏淮安农村商业银行股份有限公司/江苏建湖农村商业银行股份有限公司/江苏江都农村商业银行股份有限公司/江苏金湖农村商业银行股份有限公司/江苏靖江农村商业银行股份有限公司/江苏句容农村商业银行股份有限公司/江苏溧水农村商业银行股份有限公司/江苏南通农村商业银行股份有限公司/江苏邳州农村商业银行股份有限公司/江苏启东农村商业银行股份有限公司/江苏如东农村商业银行股份有限公司/江苏沭阳农村商业银行股份有限公司/江苏泗洪农村商业银行股份有限公司/江苏泗阳农村商业银行股份有限公司/江苏苏州农村商业银行股份有限公司/江苏睢宁农村商业银行股份有限公司/江苏泰兴农村商业银行股份有限公司/江苏盱眙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镇江农村商业银行股份有限公司/江苏紫金农村商业银行股份有限公司/连云港东方农村商业银行股份有限公司/徐州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河北银行股份有限公司/嘉兴银行股份有限公司/江苏江南农村商业银行股份有限公司/江苏张家港农村商业银行股份有限公司/莱商银行股份有限公司/宁波慈溪农村商业银行股份有限公司/宁波余姚农村商业银行股份有限公司/宁波镇海农村商业银行股份有限公司/厦门银行股份有限公司/苏州银行股份有限公司/兴业银行股份有限公司/浙江岱山农村商业银行股份有限公司/浙江德清农村商业银行股份有限公司/浙江杭州余杭农村商业银行股份有限公司/浙江嘉善农村商业银行股份有限公司/浙江江山农村商业银行股份有限公司/浙江兰溪农村商业银行股份有限公司/浙江临安农村商业银行股份有限公司/浙江临海农村商业银行股份有限公司/浙江民泰商业银行股份有限公司/浙江浦江农村商业银行股份有限公司/浙江青田农村商业银行股份有限公司/浙江衢州柯城农村商业银行股份有限公司/浙江衢州衢江农村商业银行股份有限公司/浙江上虞农村商业银行股份有限公司/浙江嵊州农村商业银行股份有限公司/浙江温岭农村商业银行股份有限公司/浙江温州龙湾农村商业银行股份有限公司/浙江温州瓯海农村商业银行股份有限公司/浙江萧山农村商业银行股份有限公司/浙江新昌农村商业银行股份有限公司/浙江义乌农村商业银行股份有限公司/浙江永康农村商业银行股份有限公司/中山农村商业银行股份有限公司</w:t>
      </w:r>
    </w:p>
    <w:p>
      <w:pPr>
        <w:ind w:left="0" w:leftChars="0"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ZF2份额：石嘴山银行股份有限公司</w:t>
      </w:r>
    </w:p>
    <w:p>
      <w:pPr>
        <w:ind w:left="0" w:leftChars="0"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ZN份额：广西北部湾银行股份有限公司/河北银行股份有限公司/宁波通商银行股份有限公司/浙江萧山农村商业银行股份有限公司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ZC份额：</w:t>
      </w:r>
      <w:r>
        <w:rPr>
          <w:rFonts w:hint="eastAsia" w:ascii="楷体" w:hAnsi="楷体" w:eastAsia="楷体" w:cs="楷体"/>
          <w:sz w:val="21"/>
          <w:szCs w:val="21"/>
          <w:highlight w:val="none"/>
          <w:lang w:val="en-US" w:eastAsia="zh-CN"/>
        </w:rPr>
        <w:t>江苏高淳农村商业银行股份有限公司/江苏灌南农村商业银行股份有限公司/江苏海安农村商业银行股份有限公司/江苏姜堰农村商业银行股份有限公司/江苏如东农村商业银行股份有限公司/江苏泗阳农村商业银行股份有限公司/江苏紫金农村商业银行股份有限公司/连云港东方农村商业银行股份有限公司/江苏溧水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ZK份额：</w:t>
      </w:r>
      <w:r>
        <w:rPr>
          <w:rFonts w:hint="eastAsia" w:ascii="楷体" w:hAnsi="楷体" w:eastAsia="楷体" w:cs="楷体"/>
          <w:sz w:val="21"/>
          <w:szCs w:val="21"/>
          <w:highlight w:val="none"/>
          <w:lang w:val="en-US" w:eastAsia="zh-CN"/>
        </w:rPr>
        <w:t>江苏高淳农村商业银行股份有限公司/江苏灌南农村商业银行股份有限公司/江苏海安农村商业银行股份有限公司/江苏姜堰农村商业银行股份有限公司/江苏南通农村商业银行股份有限公司/江苏如东农村商业银行股份有限公司/江苏泗阳农村商业银行股份有限公司/江苏紫金农村商业银行股份有限公司/连云港东方农村商业银行股份有限公司/江苏溧水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w:t>
      </w:r>
      <w:r>
        <w:rPr>
          <w:rFonts w:hint="eastAsia" w:ascii="楷体" w:hAnsi="楷体" w:eastAsia="楷体"/>
          <w:sz w:val="21"/>
          <w:szCs w:val="21"/>
          <w:lang w:val="en-US" w:eastAsia="zh-CN"/>
        </w:rPr>
        <w:t>款</w:t>
      </w:r>
      <w:r>
        <w:rPr>
          <w:rFonts w:hint="default" w:ascii="楷体" w:hAnsi="楷体" w:eastAsia="楷体"/>
          <w:sz w:val="21"/>
          <w:szCs w:val="21"/>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1"/>
          <w:numId w:val="0"/>
        </w:numPr>
        <w:ind w:firstLine="558" w:firstLineChars="266"/>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徐州金龙湖控股集团有限公司。融资人经营正常，是依法设立的国有公司，主要股东为徐州市产业发展控股集团有限公司，实际控制人为徐州市人民政府国有资产监督管理委员会。（4）非标准化债权类资产：融资人为长兴城市建设投资集团有限公司。融资人经营正常，是依法设立的国有公司，主要股东为浙江长兴国有资产投资控股集团有限公司、浙江长兴金融控股集团有限公司、浙江省财务开发有限责任公司，实际控制人为长兴县财政局(长兴县人民政府国有资产监督管理办公室)。（5）非标准化债权类资产：融资人为诸暨市城乡投资集团有限公司。融资人经营正常，是依法设立的国有公司，主要股东为诸暨市建设集团有限公司，实际控制人为诸暨市财政局。（6）非标准化债权类资产：融资人为南通圆宏控股集团有限公司。融资人经营正常，是依法设立的国有公司，主要股东为南通市通州区人民政府，实际控制人为南通市通州区人民政府。（7）非标准化债权类资产：融资人为扬州市邗江国有资产经营有限公司。融资人经营正常，是依法设立的国有公司，主要股东为扬州市邗江城市建设发展有限公司，扬州市正本溯源建设发展有限公司，实际控制人为扬州市人民政府。（8）非标准化债权类资产：融资人为溱湖文化旅游集团有限公司。融资人经营正常，是依法设立的国有公司，主要股东为泰州市康旅文化产业集团有限公司、江苏东润数字科技有限公司、江苏金姜城投资集团有限公司，实际控制人为泰州市姜堰区人民政府国有资产监督管理办公室。（9）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10）非标准化债权类资产：融资人为淮安高新控股有限公司。融资人经营正常，是依法设立的国有公司，主要股东为淮安市财政局、淮安市交通控股集团有限公司、淮安新城投资开发集团有限公司，淮安国发投资集团有限公司，淮安市宏信国有资产投资管理有限公司，淮安市国有联合投资发展集团有限公司和淮安市投资控股集团有限公司，实际控制人为淮安市人民政府。（11）非标准化债权类资产：融资人为江苏瑞海投资控股集团有限公司。融资人经营正常，是依法设立的国有公司，主要股东为海安市国有资产管理中心，实际控制人为海安市国有资产管理中心。（12）非标准化债权类资产：融资人为桐庐县城市建设投资集团有限公司。融资人经营正常，是依法设立的国有公司，主要股东为桐庐投资建设发展集团有限公司，实际控制人为桐庐县人民政府国有资产监督管理委员会。（13）非标准化债权类资产：融资人为绍兴市越城区城市发展建设集团有限公司。融资人经营正常，是依法设立的国有公司，主要股东为绍兴市越城区财政局，实际控制人为绍兴市越城区财政局。（14）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15）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16）非标准化债权类资产：融资人为兰溪市城市投资集团有限公司。融资人经营正常，是依法设立的国有公司，主要股东为兰溪市城市发展集团有限公司，实际控制人为兰溪市人民政府国有资产监督管理办公室。（17）非标准化债权类资产：融资人为苏皖合作示范区建设发展集团有限公司。融资人经营正常，是依法设立的国有公司，主要股东为溧阳市国有资产管理中心，实际控制人为溧阳市财政局。（18）非标准化债权类资产：融资人为江苏云港发展集团有限公司。融资人经营正常，是依法设立的国有公司，主要股东为江苏海州湾控股集团有限公司，实际控制人为连云港市连云区人民政府。（19）非标准化债权类资产：融资人为盐城市大丰区谐城实业发展有限公司。融资人经营正常，是依法设立的国有公司，主要股东为盐城市大丰区城市建设集团有限公司，实际控制人为江苏省盐城市大丰区人民政府。（20）非标准化债权类资产：融资人为盐城市城镇化建设投资集团有限公司。融资人经营正常，是依法设立的国有公司，主要股东为盐城市人民政府，实际控制人为盐城市人民政府。（21）非标准化债权类资产：融资人为南京市高淳区建设发展集团有限公司。融资人经营正常，是依法设立的国有公司，主要股东为南京市高淳区人民政府国有资产监督管理办公室，实际控制人为南京市高淳区人民政府国有资产监督管理办公室。（22）非标准化债权类资产：融资人为宿迁市运河港区开发集团有限公司。融资人经营正常，是依法设立的国有公司，主要股东为宿迁产业发展集团有限公司、宿迁市惠农产业发展股份有限公司，实际控制人为宿迁市人民政府。（23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24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25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26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27）收益凭证：融资人为华泰证券股份有限公司。融资人经营正常，是依法设立的国有公司，主要股东为江苏省国信集团有限公司、香港中央结算（代理人）有限公司、江苏交通控股有限公司，无实际控制人。（28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29）收益凭证：融资人为申万宏源证券有限公司。融资人经营正常，是依法设立的国有公司，主要股东为申万宏源集团股份有限公司，实际控制人为中央汇金投资有限责任公司。（30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31）收益凭证：融资人为浙商证券股份有限公司。融资人经营正常，是依法设立的国有公司，主要股东为浙江上三高速公路有限公司、台州市金融投资集团有限公司，实际控制人为浙江省交通投资集团有限公司。（32）融资人为国投证券股份有限公司。融资人经营正常，是依法设立的国有公司，主要股东为国投资本股份有限公司、上海毅胜投资有限公司，实际控制人为国家开发投资集团有限公司。</w:t>
      </w:r>
    </w:p>
    <w:p>
      <w:pPr>
        <w:numPr>
          <w:ilvl w:val="-1"/>
          <w:numId w:val="0"/>
        </w:numPr>
        <w:ind w:firstLine="558" w:firstLineChars="266"/>
        <w:rPr>
          <w:rFonts w:hint="eastAsia" w:ascii="楷体" w:hAnsi="楷体" w:eastAsia="楷体"/>
          <w:sz w:val="21"/>
          <w:szCs w:val="21"/>
        </w:rPr>
      </w:pPr>
      <w:r>
        <w:rPr>
          <w:rFonts w:hint="eastAsia" w:ascii="楷体" w:hAnsi="楷体" w:eastAsia="楷体" w:cs="楷体"/>
          <w:color w:val="auto"/>
          <w:kern w:val="2"/>
          <w:sz w:val="21"/>
          <w:szCs w:val="21"/>
          <w:highlight w:val="none"/>
          <w:lang w:val="en-US" w:eastAsia="zh-CN" w:bidi="ar-SA"/>
        </w:rPr>
        <w:t>（1）-（2）各资产到期日不超过理财产品投资周期终止日，循环期不还本、摊还期过手摊还本息；（3）-（22）各资产到期日不超过理财产品投资周期终止日，定期付息、到期一次性还本；（23）-（32）各资产到期日不超过理财产品投资周期终止日，到期一次性还本付息。</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b w:val="0"/>
          <w:bCs/>
          <w:color w:val="auto"/>
          <w:sz w:val="21"/>
          <w:szCs w:val="21"/>
          <w:highlight w:val="none"/>
          <w:u w:val="none"/>
        </w:rPr>
        <w:t>非标准化债权类资产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lang w:val="en-US" w:eastAsia="zh-CN"/>
        </w:rPr>
      </w:pP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bookmarkStart w:id="0" w:name="_GoBack"/>
      <w:bookmarkEnd w:id="0"/>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916153"/>
    <w:rsid w:val="01C11F94"/>
    <w:rsid w:val="01DA571A"/>
    <w:rsid w:val="01F11ABC"/>
    <w:rsid w:val="02342294"/>
    <w:rsid w:val="02394C4E"/>
    <w:rsid w:val="023B31B5"/>
    <w:rsid w:val="02706D07"/>
    <w:rsid w:val="027B1BEB"/>
    <w:rsid w:val="02B04479"/>
    <w:rsid w:val="02BB217A"/>
    <w:rsid w:val="02EE64DC"/>
    <w:rsid w:val="030516AD"/>
    <w:rsid w:val="0362437B"/>
    <w:rsid w:val="03B26B31"/>
    <w:rsid w:val="03E91BF7"/>
    <w:rsid w:val="03FC3F39"/>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83C4181"/>
    <w:rsid w:val="08494B4C"/>
    <w:rsid w:val="08545039"/>
    <w:rsid w:val="087E378B"/>
    <w:rsid w:val="08C87576"/>
    <w:rsid w:val="099730C7"/>
    <w:rsid w:val="09BB6FD3"/>
    <w:rsid w:val="09E64105"/>
    <w:rsid w:val="0A3E25DB"/>
    <w:rsid w:val="0AA20035"/>
    <w:rsid w:val="0B3550F2"/>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9E1350"/>
    <w:rsid w:val="109F6DD2"/>
    <w:rsid w:val="10B72620"/>
    <w:rsid w:val="10D208A6"/>
    <w:rsid w:val="11022343"/>
    <w:rsid w:val="111D76A0"/>
    <w:rsid w:val="1137604C"/>
    <w:rsid w:val="1167461D"/>
    <w:rsid w:val="11C449B6"/>
    <w:rsid w:val="12136ABA"/>
    <w:rsid w:val="121A7943"/>
    <w:rsid w:val="121F3DCB"/>
    <w:rsid w:val="12627D38"/>
    <w:rsid w:val="126807AF"/>
    <w:rsid w:val="126877DE"/>
    <w:rsid w:val="12705D8B"/>
    <w:rsid w:val="12906DA3"/>
    <w:rsid w:val="12E2190B"/>
    <w:rsid w:val="130762C7"/>
    <w:rsid w:val="130A1945"/>
    <w:rsid w:val="132C05F4"/>
    <w:rsid w:val="133603BC"/>
    <w:rsid w:val="13566046"/>
    <w:rsid w:val="1363315E"/>
    <w:rsid w:val="13813EDF"/>
    <w:rsid w:val="13BA3C51"/>
    <w:rsid w:val="142E3B87"/>
    <w:rsid w:val="14AE7D5C"/>
    <w:rsid w:val="14EA3140"/>
    <w:rsid w:val="151627A4"/>
    <w:rsid w:val="15250560"/>
    <w:rsid w:val="15452BE9"/>
    <w:rsid w:val="15661276"/>
    <w:rsid w:val="15961DF8"/>
    <w:rsid w:val="15C23F41"/>
    <w:rsid w:val="15D95D65"/>
    <w:rsid w:val="16321C77"/>
    <w:rsid w:val="16452649"/>
    <w:rsid w:val="165A010B"/>
    <w:rsid w:val="1696780D"/>
    <w:rsid w:val="16DB02E7"/>
    <w:rsid w:val="16E82A20"/>
    <w:rsid w:val="17E11F5A"/>
    <w:rsid w:val="17F83B61"/>
    <w:rsid w:val="18563155"/>
    <w:rsid w:val="18600FD0"/>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5A546C"/>
    <w:rsid w:val="1BB6506B"/>
    <w:rsid w:val="1BC003D1"/>
    <w:rsid w:val="1BC94B68"/>
    <w:rsid w:val="1BF53974"/>
    <w:rsid w:val="1C1B3B29"/>
    <w:rsid w:val="1C4231EC"/>
    <w:rsid w:val="1C512181"/>
    <w:rsid w:val="1D505225"/>
    <w:rsid w:val="1DA43FDF"/>
    <w:rsid w:val="1E0972D4"/>
    <w:rsid w:val="1E315B06"/>
    <w:rsid w:val="1E3C6829"/>
    <w:rsid w:val="1E5B385B"/>
    <w:rsid w:val="1E747638"/>
    <w:rsid w:val="1EB340DE"/>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2046BDF"/>
    <w:rsid w:val="222A579A"/>
    <w:rsid w:val="22386D07"/>
    <w:rsid w:val="22480419"/>
    <w:rsid w:val="22902F40"/>
    <w:rsid w:val="22DC376E"/>
    <w:rsid w:val="22ED32DA"/>
    <w:rsid w:val="22FD3574"/>
    <w:rsid w:val="231C6AB5"/>
    <w:rsid w:val="233F30E4"/>
    <w:rsid w:val="23593C8E"/>
    <w:rsid w:val="23615817"/>
    <w:rsid w:val="23727724"/>
    <w:rsid w:val="239F40F6"/>
    <w:rsid w:val="23AA2793"/>
    <w:rsid w:val="23ED3B3C"/>
    <w:rsid w:val="24CA7BB8"/>
    <w:rsid w:val="24CE1B37"/>
    <w:rsid w:val="24FA6D92"/>
    <w:rsid w:val="25012D45"/>
    <w:rsid w:val="250550E5"/>
    <w:rsid w:val="2536069B"/>
    <w:rsid w:val="25374980"/>
    <w:rsid w:val="254734B9"/>
    <w:rsid w:val="2550672C"/>
    <w:rsid w:val="25624188"/>
    <w:rsid w:val="25BD0FD2"/>
    <w:rsid w:val="263B5F44"/>
    <w:rsid w:val="265A1DE6"/>
    <w:rsid w:val="26690F27"/>
    <w:rsid w:val="26694895"/>
    <w:rsid w:val="26A12F28"/>
    <w:rsid w:val="26AC79F8"/>
    <w:rsid w:val="26B91D54"/>
    <w:rsid w:val="26E75D9A"/>
    <w:rsid w:val="26E90667"/>
    <w:rsid w:val="26F43175"/>
    <w:rsid w:val="274A0B5C"/>
    <w:rsid w:val="279142F8"/>
    <w:rsid w:val="27FA7E2E"/>
    <w:rsid w:val="280B1A43"/>
    <w:rsid w:val="287A6F6C"/>
    <w:rsid w:val="288E0F4E"/>
    <w:rsid w:val="28B0474F"/>
    <w:rsid w:val="28B66659"/>
    <w:rsid w:val="28EF5796"/>
    <w:rsid w:val="28F60FCD"/>
    <w:rsid w:val="29345630"/>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BB2B93"/>
    <w:rsid w:val="2DDC0B49"/>
    <w:rsid w:val="2E407A81"/>
    <w:rsid w:val="2E6D5504"/>
    <w:rsid w:val="2E835E5F"/>
    <w:rsid w:val="2E8A38BB"/>
    <w:rsid w:val="2E9559D9"/>
    <w:rsid w:val="2E9F679E"/>
    <w:rsid w:val="2EA56E27"/>
    <w:rsid w:val="2F3015A3"/>
    <w:rsid w:val="2F5219B0"/>
    <w:rsid w:val="2F6A13F9"/>
    <w:rsid w:val="2F7E3A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727D99"/>
    <w:rsid w:val="34750B27"/>
    <w:rsid w:val="347A39E3"/>
    <w:rsid w:val="34860FB8"/>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A61E5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8C51C4"/>
    <w:rsid w:val="3BAF51F7"/>
    <w:rsid w:val="3BC8097B"/>
    <w:rsid w:val="3C565716"/>
    <w:rsid w:val="3CA73211"/>
    <w:rsid w:val="3CC938CE"/>
    <w:rsid w:val="3CD97263"/>
    <w:rsid w:val="3D19224B"/>
    <w:rsid w:val="3DC06319"/>
    <w:rsid w:val="3E390124"/>
    <w:rsid w:val="3E3C7880"/>
    <w:rsid w:val="3E4F4139"/>
    <w:rsid w:val="3ED33ABA"/>
    <w:rsid w:val="3EDC31B1"/>
    <w:rsid w:val="3F366D42"/>
    <w:rsid w:val="3F3B3EDB"/>
    <w:rsid w:val="3F522DEF"/>
    <w:rsid w:val="3F8A45CE"/>
    <w:rsid w:val="3FAB6D01"/>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60696"/>
    <w:rsid w:val="43CA7AC6"/>
    <w:rsid w:val="43DD1CAC"/>
    <w:rsid w:val="43ED3FBD"/>
    <w:rsid w:val="44044239"/>
    <w:rsid w:val="442A5561"/>
    <w:rsid w:val="44524527"/>
    <w:rsid w:val="447F71E8"/>
    <w:rsid w:val="451A06ED"/>
    <w:rsid w:val="45245151"/>
    <w:rsid w:val="45456FB2"/>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4A71CD"/>
    <w:rsid w:val="49582C60"/>
    <w:rsid w:val="495D6DB6"/>
    <w:rsid w:val="496E5595"/>
    <w:rsid w:val="497B6BF6"/>
    <w:rsid w:val="499F73AD"/>
    <w:rsid w:val="49B83F7E"/>
    <w:rsid w:val="4A007BF5"/>
    <w:rsid w:val="4A06662F"/>
    <w:rsid w:val="4A0D148A"/>
    <w:rsid w:val="4A4009DF"/>
    <w:rsid w:val="4A6F5CAB"/>
    <w:rsid w:val="4ABD162D"/>
    <w:rsid w:val="4AD743D6"/>
    <w:rsid w:val="4B80633B"/>
    <w:rsid w:val="4B8E3F04"/>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66112F"/>
    <w:rsid w:val="4EB57E15"/>
    <w:rsid w:val="4EF51F5E"/>
    <w:rsid w:val="4EFB1622"/>
    <w:rsid w:val="4F1D45B9"/>
    <w:rsid w:val="4F3141FC"/>
    <w:rsid w:val="4F3B33EB"/>
    <w:rsid w:val="4F5E5E3A"/>
    <w:rsid w:val="4F833B49"/>
    <w:rsid w:val="504D489E"/>
    <w:rsid w:val="505C2070"/>
    <w:rsid w:val="50AC6DEA"/>
    <w:rsid w:val="50B618F8"/>
    <w:rsid w:val="50B9327D"/>
    <w:rsid w:val="50D13718"/>
    <w:rsid w:val="513656C9"/>
    <w:rsid w:val="514805FC"/>
    <w:rsid w:val="517B26E0"/>
    <w:rsid w:val="51950F66"/>
    <w:rsid w:val="51EF617D"/>
    <w:rsid w:val="5219373E"/>
    <w:rsid w:val="522B089F"/>
    <w:rsid w:val="524C0A95"/>
    <w:rsid w:val="52780153"/>
    <w:rsid w:val="52EF7092"/>
    <w:rsid w:val="52F50359"/>
    <w:rsid w:val="53155F5F"/>
    <w:rsid w:val="532064EF"/>
    <w:rsid w:val="539677B2"/>
    <w:rsid w:val="539B5F4C"/>
    <w:rsid w:val="53C2259E"/>
    <w:rsid w:val="53F44044"/>
    <w:rsid w:val="53FB4F58"/>
    <w:rsid w:val="54047DE6"/>
    <w:rsid w:val="55F51240"/>
    <w:rsid w:val="561B6485"/>
    <w:rsid w:val="563271AC"/>
    <w:rsid w:val="56376A81"/>
    <w:rsid w:val="566B4A32"/>
    <w:rsid w:val="567D1A39"/>
    <w:rsid w:val="56812378"/>
    <w:rsid w:val="56A64B36"/>
    <w:rsid w:val="56EF4E6F"/>
    <w:rsid w:val="575431DF"/>
    <w:rsid w:val="57597E5D"/>
    <w:rsid w:val="576079D6"/>
    <w:rsid w:val="57C205D4"/>
    <w:rsid w:val="57E25806"/>
    <w:rsid w:val="581A432A"/>
    <w:rsid w:val="58381A4A"/>
    <w:rsid w:val="58DF20B1"/>
    <w:rsid w:val="58EF2ED0"/>
    <w:rsid w:val="5910752F"/>
    <w:rsid w:val="59144A6B"/>
    <w:rsid w:val="59205884"/>
    <w:rsid w:val="597317D1"/>
    <w:rsid w:val="597E4543"/>
    <w:rsid w:val="598A3524"/>
    <w:rsid w:val="59EE2A23"/>
    <w:rsid w:val="59F60EF3"/>
    <w:rsid w:val="5A093EC3"/>
    <w:rsid w:val="5A1070D1"/>
    <w:rsid w:val="5A650D5A"/>
    <w:rsid w:val="5A86434D"/>
    <w:rsid w:val="5A8702A8"/>
    <w:rsid w:val="5ADF54B5"/>
    <w:rsid w:val="5AF50649"/>
    <w:rsid w:val="5B591D6B"/>
    <w:rsid w:val="5B8174BD"/>
    <w:rsid w:val="5B956ECD"/>
    <w:rsid w:val="5C6D5D06"/>
    <w:rsid w:val="5C882FDD"/>
    <w:rsid w:val="5CB22E1D"/>
    <w:rsid w:val="5CBD3C3C"/>
    <w:rsid w:val="5CE337EF"/>
    <w:rsid w:val="5CEC570C"/>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E536FC"/>
    <w:rsid w:val="620C10EB"/>
    <w:rsid w:val="620D0C17"/>
    <w:rsid w:val="624548B3"/>
    <w:rsid w:val="627E6257"/>
    <w:rsid w:val="628D12AE"/>
    <w:rsid w:val="629E645C"/>
    <w:rsid w:val="62C9149E"/>
    <w:rsid w:val="62E5554B"/>
    <w:rsid w:val="631B084A"/>
    <w:rsid w:val="632A023E"/>
    <w:rsid w:val="63894210"/>
    <w:rsid w:val="63CD32CA"/>
    <w:rsid w:val="63DD04FD"/>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682C0E"/>
    <w:rsid w:val="66A32DF3"/>
    <w:rsid w:val="66A717F9"/>
    <w:rsid w:val="66A9578C"/>
    <w:rsid w:val="66B76211"/>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F1846"/>
    <w:rsid w:val="6D8E77D0"/>
    <w:rsid w:val="6D9A555F"/>
    <w:rsid w:val="6DC70BD2"/>
    <w:rsid w:val="6DFD7CD4"/>
    <w:rsid w:val="6E046353"/>
    <w:rsid w:val="6E3034D4"/>
    <w:rsid w:val="6F0C79BF"/>
    <w:rsid w:val="6F5161E8"/>
    <w:rsid w:val="6F722BE7"/>
    <w:rsid w:val="6FF51B3B"/>
    <w:rsid w:val="6FFC72C8"/>
    <w:rsid w:val="704A3BFB"/>
    <w:rsid w:val="709561C1"/>
    <w:rsid w:val="709642CC"/>
    <w:rsid w:val="70CF70D5"/>
    <w:rsid w:val="70F85622"/>
    <w:rsid w:val="711F0324"/>
    <w:rsid w:val="7156627F"/>
    <w:rsid w:val="71812947"/>
    <w:rsid w:val="719B567C"/>
    <w:rsid w:val="72210801"/>
    <w:rsid w:val="72827EA0"/>
    <w:rsid w:val="72CE224D"/>
    <w:rsid w:val="72E91E80"/>
    <w:rsid w:val="73022ABD"/>
    <w:rsid w:val="73AD1C57"/>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945D1E"/>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B85C40"/>
    <w:rsid w:val="7A385137"/>
    <w:rsid w:val="7A4D5F33"/>
    <w:rsid w:val="7AFC2853"/>
    <w:rsid w:val="7B425546"/>
    <w:rsid w:val="7B4A194A"/>
    <w:rsid w:val="7B5016A8"/>
    <w:rsid w:val="7B647B37"/>
    <w:rsid w:val="7B825B7C"/>
    <w:rsid w:val="7B931FE5"/>
    <w:rsid w:val="7B9F28DD"/>
    <w:rsid w:val="7BBF3DB1"/>
    <w:rsid w:val="7BC24B9B"/>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336680"/>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7</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2026-02-04T10:40:28Z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