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909122">
      <w:pPr>
        <w:outlineLvl w:val="0"/>
        <w:rPr>
          <w:rFonts w:ascii="黑体" w:hAnsi="黑体" w:eastAsia="黑体" w:cs="Arial"/>
          <w:b/>
          <w:bCs/>
          <w:sz w:val="28"/>
          <w:szCs w:val="28"/>
        </w:rPr>
      </w:pPr>
      <w:r>
        <w:rPr>
          <w:rFonts w:hint="eastAsia" w:ascii="黑体" w:hAnsi="黑体" w:eastAsia="黑体" w:cs="Arial"/>
          <w:b/>
          <w:bCs/>
          <w:sz w:val="28"/>
          <w:szCs w:val="28"/>
        </w:rPr>
        <w:t>上银理财                理财非存款、产品有风险、投资须谨慎</w:t>
      </w:r>
    </w:p>
    <w:p w14:paraId="5D0B5DC2">
      <w:pPr>
        <w:rPr>
          <w:rFonts w:ascii="黑体" w:hAnsi="黑体" w:eastAsia="黑体" w:cs="Arial"/>
          <w:b/>
          <w:bCs/>
          <w:sz w:val="20"/>
          <w:szCs w:val="20"/>
        </w:rPr>
      </w:pPr>
      <w:r>
        <w:rPr>
          <w:sz w:val="20"/>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14:paraId="2845BC19">
      <w:pPr>
        <w:rPr>
          <w:rFonts w:ascii="黑体" w:hAnsi="黑体" w:eastAsia="黑体" w:cs="Arial"/>
          <w:b/>
          <w:bCs/>
          <w:sz w:val="20"/>
          <w:szCs w:val="20"/>
        </w:rPr>
      </w:pPr>
    </w:p>
    <w:p w14:paraId="46A27600">
      <w:pPr>
        <w:rPr>
          <w:rFonts w:ascii="黑体" w:hAnsi="黑体" w:eastAsia="黑体" w:cs="Arial"/>
          <w:b/>
          <w:bCs/>
          <w:sz w:val="20"/>
          <w:szCs w:val="20"/>
        </w:rPr>
      </w:pPr>
    </w:p>
    <w:p w14:paraId="46268F1E">
      <w:pPr>
        <w:rPr>
          <w:rFonts w:ascii="黑体" w:hAnsi="黑体" w:eastAsia="黑体" w:cs="Arial"/>
          <w:b/>
          <w:bCs/>
          <w:sz w:val="20"/>
          <w:szCs w:val="20"/>
        </w:rPr>
      </w:pPr>
    </w:p>
    <w:p w14:paraId="1ED5ECC5">
      <w:pPr>
        <w:rPr>
          <w:rFonts w:ascii="黑体" w:hAnsi="黑体" w:eastAsia="黑体" w:cs="Arial"/>
          <w:b/>
          <w:bCs/>
          <w:sz w:val="20"/>
          <w:szCs w:val="20"/>
        </w:rPr>
      </w:pPr>
    </w:p>
    <w:p w14:paraId="273C4984">
      <w:pPr>
        <w:rPr>
          <w:rFonts w:ascii="黑体" w:hAnsi="黑体" w:eastAsia="黑体" w:cs="Arial"/>
          <w:b/>
          <w:bCs/>
          <w:sz w:val="20"/>
          <w:szCs w:val="20"/>
        </w:rPr>
      </w:pPr>
    </w:p>
    <w:p w14:paraId="1BB7DD7A">
      <w:pPr>
        <w:rPr>
          <w:rFonts w:ascii="黑体" w:hAnsi="黑体" w:eastAsia="黑体" w:cs="Arial"/>
          <w:b/>
          <w:bCs/>
          <w:sz w:val="20"/>
          <w:szCs w:val="20"/>
        </w:rPr>
      </w:pPr>
    </w:p>
    <w:p w14:paraId="51B63297">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14:paraId="10D9D63C">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14:paraId="1F1B283E">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14:paraId="29859CFA">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14:paraId="6F25A3F6">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【上银理财“美好”系列稳健封闭式理财产品WPWF26M06066期】</w:t>
      </w:r>
    </w:p>
    <w:p w14:paraId="272671F8">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产品说明书</w:t>
      </w:r>
    </w:p>
    <w:p w14:paraId="4AD1909E">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494B0CBC">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5AB60C5C">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3A8C8DEF">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13012257">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65C726A4">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03498659">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18AE52FF">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11078333">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12478E5F">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4BD3DB8C">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30D4D9E5">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5525B7E9">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1A0B8B45">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666C5FB4">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14:paraId="76030CE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hAnsi="黑体" w:eastAsia="黑体" w:cs="Arial"/>
          <w:b/>
          <w:bCs/>
          <w:sz w:val="24"/>
          <w:szCs w:val="24"/>
        </w:rPr>
      </w:pPr>
      <w:r>
        <w:rPr>
          <w:rFonts w:hint="eastAsia" w:ascii="黑体" w:hAnsi="黑体" w:eastAsia="黑体" w:cs="Arial"/>
          <w:b/>
          <w:bCs/>
          <w:sz w:val="24"/>
          <w:szCs w:val="24"/>
        </w:rPr>
        <w:t>理财产品管理人：上银理财有限责任公司</w:t>
      </w:r>
    </w:p>
    <w:p w14:paraId="563A73D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Arial"/>
          <w:b/>
          <w:bCs/>
          <w:sz w:val="24"/>
          <w:szCs w:val="24"/>
        </w:rPr>
      </w:pPr>
      <w:r>
        <w:rPr>
          <w:rFonts w:hint="eastAsia" w:ascii="黑体" w:hAnsi="黑体" w:eastAsia="黑体" w:cs="Arial"/>
          <w:b/>
          <w:bCs/>
          <w:sz w:val="24"/>
          <w:szCs w:val="24"/>
        </w:rPr>
        <w:t>理财产品托管人：【苏州银行股份有限公司】</w:t>
      </w:r>
    </w:p>
    <w:p w14:paraId="7E35111E">
      <w:pPr>
        <w:rPr>
          <w:rFonts w:hint="eastAsia" w:ascii="黑体" w:hAnsi="黑体" w:eastAsia="黑体" w:cs="Arial"/>
          <w:b/>
          <w:bCs/>
          <w:sz w:val="24"/>
          <w:szCs w:val="24"/>
        </w:rPr>
      </w:pPr>
      <w:r>
        <w:rPr>
          <w:rFonts w:hint="eastAsia" w:ascii="黑体" w:hAnsi="黑体" w:eastAsia="黑体" w:cs="Arial"/>
          <w:b/>
          <w:bCs/>
          <w:sz w:val="24"/>
          <w:szCs w:val="24"/>
        </w:rPr>
        <w:br w:type="page"/>
      </w:r>
    </w:p>
    <w:p w14:paraId="3F8D727D">
      <w:pPr>
        <w:rPr>
          <w:rFonts w:ascii="黑体" w:hAnsi="黑体" w:eastAsia="黑体" w:cs="Arial"/>
          <w:b/>
          <w:bCs/>
          <w:sz w:val="20"/>
          <w:szCs w:val="20"/>
        </w:rPr>
      </w:pPr>
      <w:r>
        <w:rPr>
          <w:rFonts w:hint="eastAsia" w:ascii="黑体" w:hAnsi="黑体" w:eastAsia="黑体" w:cs="Arial"/>
          <w:b/>
          <w:bCs/>
          <w:sz w:val="20"/>
          <w:szCs w:val="20"/>
        </w:rPr>
        <w:t>产品登记编码：【Z7007126000081】</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14:paraId="4342D3BD">
      <w:pPr>
        <w:snapToGrid w:val="0"/>
        <w:spacing w:line="360" w:lineRule="auto"/>
        <w:jc w:val="center"/>
        <w:rPr>
          <w:rFonts w:ascii="楷体_GB2312" w:hAnsi="宋体" w:eastAsia="楷体_GB2312"/>
          <w:b/>
          <w:bCs/>
          <w:sz w:val="30"/>
          <w:szCs w:val="30"/>
        </w:rPr>
      </w:pPr>
    </w:p>
    <w:p w14:paraId="08F6115D">
      <w:pPr>
        <w:snapToGrid w:val="0"/>
        <w:spacing w:line="360" w:lineRule="auto"/>
        <w:jc w:val="center"/>
        <w:rPr>
          <w:rFonts w:ascii="楷体_GB2312" w:hAnsi="宋体" w:eastAsia="楷体_GB2312"/>
          <w:b/>
          <w:bCs/>
          <w:sz w:val="30"/>
          <w:szCs w:val="30"/>
        </w:rPr>
      </w:pPr>
    </w:p>
    <w:p w14:paraId="14D4A1BB">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【上银理财“美好”系列稳健封闭式理财产品WPWF26M06066期】</w:t>
      </w:r>
    </w:p>
    <w:p w14:paraId="0DD0A344">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产品说明书</w:t>
      </w:r>
    </w:p>
    <w:p w14:paraId="3559D7BB">
      <w:pPr>
        <w:spacing w:line="480" w:lineRule="auto"/>
        <w:ind w:firstLine="720"/>
        <w:jc w:val="center"/>
        <w:outlineLvl w:val="0"/>
        <w:rPr>
          <w:rFonts w:ascii="黑体" w:hAnsi="黑体" w:eastAsia="黑体"/>
          <w:b/>
          <w:bCs/>
          <w:sz w:val="36"/>
        </w:rPr>
      </w:pPr>
      <w:r>
        <w:rPr>
          <w:rFonts w:hint="eastAsia" w:ascii="黑体" w:hAnsi="黑体" w:eastAsia="黑体"/>
          <w:b/>
          <w:bCs/>
          <w:sz w:val="32"/>
          <w:szCs w:val="21"/>
        </w:rPr>
        <w:t>（产品代码</w:t>
      </w:r>
      <w:r>
        <w:rPr>
          <w:rFonts w:ascii="黑体" w:hAnsi="黑体" w:eastAsia="黑体"/>
          <w:b/>
          <w:bCs/>
          <w:sz w:val="32"/>
          <w:szCs w:val="21"/>
        </w:rPr>
        <w:t>：</w:t>
      </w:r>
      <w:r>
        <w:rPr>
          <w:rFonts w:hint="eastAsia" w:ascii="黑体" w:hAnsi="黑体" w:eastAsia="黑体"/>
          <w:b/>
          <w:bCs/>
          <w:sz w:val="32"/>
          <w:szCs w:val="21"/>
        </w:rPr>
        <w:t>【WPWF26M06066】）</w:t>
      </w:r>
    </w:p>
    <w:p w14:paraId="586049DF">
      <w:pPr>
        <w:ind w:firstLine="720"/>
        <w:jc w:val="center"/>
        <w:rPr>
          <w:rFonts w:ascii="黑体" w:hAnsi="黑体" w:eastAsia="黑体"/>
          <w:b/>
          <w:bCs/>
          <w:sz w:val="28"/>
        </w:rPr>
      </w:pPr>
    </w:p>
    <w:p w14:paraId="0F62ECA7">
      <w:pPr>
        <w:pStyle w:val="2"/>
        <w:spacing w:before="120" w:after="120" w:line="240" w:lineRule="auto"/>
        <w:rPr>
          <w:rFonts w:ascii="楷体" w:hAnsi="楷体" w:eastAsia="楷体"/>
          <w:sz w:val="28"/>
          <w:szCs w:val="28"/>
        </w:rPr>
      </w:pPr>
      <w:r>
        <w:rPr>
          <w:rFonts w:hint="eastAsia" w:ascii="楷体" w:hAnsi="楷体" w:eastAsia="楷体"/>
          <w:sz w:val="28"/>
          <w:szCs w:val="28"/>
        </w:rPr>
        <w:t>一、重要须知</w:t>
      </w:r>
    </w:p>
    <w:p w14:paraId="3BE5EFF0">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本理财产品《产品说明书》、《风险揭示书》、《投资协议书》、《销售（代理销售）协议书》和《投资者权益须知》共同构成一份完整且不可分割的理财产品销售文件。其中《产品说明书》与《风险揭示书》、《投资协议书》共同组成投资者与管理人之间就本理财产品达成的理财产品合同的不可分割之组成部分。</w:t>
      </w:r>
    </w:p>
    <w:p w14:paraId="3CA87390">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2.本理财产品不等同于银行存款，不保证本金和最低收益，您的本金有可能会因市场变动蒙受损失，您应充分认识投资风险，谨慎投资。</w:t>
      </w:r>
    </w:p>
    <w:p w14:paraId="459BA145">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3.本理财产品仅向依据中华人民共和国有关法律法规及本《产品说明书》规定可以购买本理财产品的投资者发售。</w:t>
      </w:r>
    </w:p>
    <w:p w14:paraId="0F929160">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4.投资者承诺其用于购买理财产品的资金为自有资金，不存在使用贷款、发行债券等筹集的非自有资金投资本理财产品的情形。</w:t>
      </w:r>
    </w:p>
    <w:p w14:paraId="7714EB3D">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5.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szCs w:val="21"/>
          <w:lang w:val="en-US" w:eastAsia="zh-CN"/>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rPr>
        <w:t>，及时、真实、准确、完整提供身份信息及资金来源等信息。</w:t>
      </w:r>
    </w:p>
    <w:p w14:paraId="3FA8622E">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 xml:space="preserve">6.投资者承诺依照可适用的法律法规投资本理财产品，如销售机构及管理人发现投资 </w:t>
      </w:r>
    </w:p>
    <w:p w14:paraId="1D25FBB9">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者或投资者重要关联方存在洗钱或者被制裁风险，例如提供不实、不完整或者无效的身份 </w:t>
      </w:r>
    </w:p>
    <w:p w14:paraId="74869868">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或交易信息，未及时更新身份证明文件，投资者或投资者账户、投资者重要关联方出现异 </w:t>
      </w:r>
    </w:p>
    <w:p w14:paraId="1DD42B92">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常或涉嫌洗钱、恐怖融资，投资者或投资者交易、投资者重要关联方或其交易涉及联合国、 </w:t>
      </w:r>
    </w:p>
    <w:p w14:paraId="1A9D18D8">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 </w:t>
      </w:r>
    </w:p>
    <w:p w14:paraId="7C299D7D">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14:paraId="284A6283">
      <w:pPr>
        <w:numPr>
          <w:ilvl w:val="12"/>
          <w:numId w:val="0"/>
        </w:num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8.投资者认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14:paraId="2E9A021C">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9.在购买本理财产品后，投资者应随时关注本理财产品的信息披露情况，及时获取相关信息，相关信息通过《产品说明书》“信息披露”约定的方式披露。</w:t>
      </w:r>
    </w:p>
    <w:p w14:paraId="20F8A4D5">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10.任何业绩比较基准或类似表述均属不具有法律约束力的用语，不代表投资者可能获得的实际收益，亦不构成管理人对本理财产品的任何收益承诺。客户所能获得的最终收益以管理人实际支付的为准。</w:t>
      </w:r>
    </w:p>
    <w:p w14:paraId="31AB8027">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11.管理人承诺以诚实信用、勤勉尽责为原则，并根据本《产品说明书》所载要求管理和运用理财产品资产。</w:t>
      </w:r>
    </w:p>
    <w:p w14:paraId="74AF54ED">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12.管理人对本理财产品的产品风险评级为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，本理财产品通过</w:t>
      </w:r>
      <w:r>
        <w:rPr>
          <w:rFonts w:hint="eastAsia" w:ascii="楷体" w:hAnsi="楷体" w:eastAsia="楷体" w:cs="楷体"/>
          <w:b/>
          <w:bCs/>
          <w:szCs w:val="21"/>
          <w:lang w:val="en-US" w:eastAsia="zh-CN"/>
        </w:rPr>
        <w:t>代理</w:t>
      </w:r>
      <w:r>
        <w:rPr>
          <w:rFonts w:hint="eastAsia" w:ascii="楷体" w:hAnsi="楷体" w:eastAsia="楷体" w:cs="楷体"/>
          <w:b/>
          <w:bCs/>
          <w:szCs w:val="21"/>
        </w:rPr>
        <w:t>销售机构销售的，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销售机构应当采用对应较高风险等级的评级结果并予以披露，本理财产品评级应当以</w:t>
      </w:r>
      <w:r>
        <w:rPr>
          <w:rFonts w:hint="eastAsia" w:ascii="楷体" w:hAnsi="楷体" w:eastAsia="楷体" w:cs="楷体"/>
          <w:b/>
          <w:bCs/>
          <w:szCs w:val="21"/>
          <w:lang w:val="en-US" w:eastAsia="zh-CN"/>
        </w:rPr>
        <w:t>代理</w:t>
      </w:r>
      <w:r>
        <w:rPr>
          <w:rFonts w:hint="eastAsia" w:ascii="楷体" w:hAnsi="楷体" w:eastAsia="楷体" w:cs="楷体"/>
          <w:b/>
          <w:bCs/>
          <w:szCs w:val="21"/>
        </w:rPr>
        <w:t>销售机构最终披露的评级结果为准。本理财产品收益特征为</w:t>
      </w:r>
      <w:r>
        <w:rPr>
          <w:rFonts w:hint="eastAsia" w:ascii="楷体" w:hAnsi="楷体" w:eastAsia="楷体" w:cs="楷体"/>
          <w:b/>
          <w:bCs/>
          <w:color w:val="C00000"/>
          <w:szCs w:val="21"/>
        </w:rPr>
        <w:t>非保本浮动收益型</w:t>
      </w:r>
      <w:r>
        <w:rPr>
          <w:rFonts w:hint="eastAsia" w:ascii="楷体" w:hAnsi="楷体" w:eastAsia="楷体" w:cs="楷体"/>
          <w:b/>
          <w:bCs/>
          <w:szCs w:val="21"/>
        </w:rPr>
        <w:t>，您的本金有可能会因市场变动蒙受重大损失，您应充分认识投资风险，谨慎投资。</w:t>
      </w:r>
    </w:p>
    <w:p w14:paraId="5A70F0F1">
      <w:pPr>
        <w:numPr>
          <w:ilvl w:val="12"/>
          <w:numId w:val="0"/>
        </w:num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13.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14:paraId="3E035AF3">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14.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14:paraId="2EEE046C">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15.根据监管机构要求，本理财产品的投资合作机构（</w:t>
      </w:r>
      <w:r>
        <w:rPr>
          <w:rFonts w:hint="eastAsia" w:ascii="楷体" w:hAnsi="楷体" w:eastAsia="楷体" w:cs="楷体"/>
          <w:b/>
          <w:bCs/>
          <w:szCs w:val="21"/>
          <w:u w:val="none"/>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bCs/>
          <w:szCs w:val="21"/>
        </w:rPr>
        <w:t>，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14:paraId="157E118A">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16.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14:paraId="74875E60">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17.</w:t>
      </w:r>
      <w:r>
        <w:rPr>
          <w:rFonts w:hint="eastAsia" w:ascii="楷体" w:hAnsi="楷体" w:eastAsia="楷体" w:cs="楷体"/>
          <w:b/>
          <w:bCs/>
        </w:rPr>
        <w:t xml:space="preserve"> 本理财产品合同在法律许可的范围内由管理人负责解释。若客户对上述内容有任何疑问，请联系销售机构咨询，也可致电销售机构全国统一客户服务热线。</w:t>
      </w:r>
    </w:p>
    <w:p w14:paraId="3D69DADA">
      <w:pPr>
        <w:pStyle w:val="2"/>
        <w:spacing w:before="120" w:after="120" w:line="240" w:lineRule="auto"/>
        <w:rPr>
          <w:rFonts w:ascii="楷体" w:hAnsi="楷体" w:eastAsia="楷体"/>
          <w:sz w:val="28"/>
          <w:szCs w:val="28"/>
        </w:rPr>
      </w:pPr>
      <w:r>
        <w:rPr>
          <w:rFonts w:hint="eastAsia" w:ascii="楷体" w:hAnsi="楷体" w:eastAsia="楷体"/>
          <w:sz w:val="28"/>
          <w:szCs w:val="28"/>
        </w:rPr>
        <w:t>二、定义解释</w:t>
      </w:r>
    </w:p>
    <w:p w14:paraId="5F384D68">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在本《产品说明书》中，除上下文另有明确约定，下列用词将具有如下含义：</w:t>
      </w:r>
    </w:p>
    <w:p w14:paraId="4231E597">
      <w:pPr>
        <w:pStyle w:val="3"/>
        <w:snapToGrid w:val="0"/>
        <w:spacing w:before="0" w:after="0" w:line="360" w:lineRule="auto"/>
        <w:ind w:firstLine="422" w:firstLineChars="200"/>
        <w:rPr>
          <w:rFonts w:ascii="楷体" w:hAnsi="楷体" w:eastAsia="楷体"/>
          <w:sz w:val="21"/>
          <w:szCs w:val="21"/>
        </w:rPr>
      </w:pPr>
      <w:r>
        <w:rPr>
          <w:rFonts w:hint="eastAsia" w:ascii="楷体" w:hAnsi="楷体" w:eastAsia="楷体"/>
          <w:sz w:val="21"/>
          <w:szCs w:val="21"/>
        </w:rPr>
        <w:t>（一）参与主体</w:t>
      </w:r>
    </w:p>
    <w:p w14:paraId="0D40BFA9">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1.管理人/投资管理人/理财产品管理人：</w:t>
      </w:r>
      <w:r>
        <w:rPr>
          <w:rFonts w:hint="eastAsia" w:ascii="楷体" w:hAnsi="楷体" w:eastAsia="楷体" w:cs="楷体"/>
          <w:szCs w:val="21"/>
        </w:rPr>
        <w:t>指上银理财有限责任公司（以下简称“上银理财”）。</w:t>
      </w:r>
    </w:p>
    <w:p w14:paraId="386E3673">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2.托管人/产品托管人/理财产品托管人：</w:t>
      </w:r>
      <w:r>
        <w:rPr>
          <w:rFonts w:hint="eastAsia" w:ascii="楷体" w:hAnsi="楷体" w:eastAsia="楷体" w:cs="楷体"/>
          <w:szCs w:val="21"/>
        </w:rPr>
        <w:t>指【苏州银行股份有限公司】。</w:t>
      </w:r>
    </w:p>
    <w:p w14:paraId="3AB77137">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3.销售机构</w:t>
      </w:r>
      <w:r>
        <w:rPr>
          <w:rFonts w:hint="eastAsia" w:ascii="楷体" w:hAnsi="楷体" w:eastAsia="楷体" w:cs="楷体"/>
          <w:b/>
          <w:bCs/>
          <w:szCs w:val="21"/>
          <w:lang w:eastAsia="zh-CN"/>
        </w:rPr>
        <w:t>：</w:t>
      </w:r>
      <w:r>
        <w:rPr>
          <w:rFonts w:hint="eastAsia" w:ascii="楷体" w:hAnsi="楷体" w:eastAsia="楷体" w:cs="楷体"/>
          <w:szCs w:val="21"/>
        </w:rPr>
        <w:t>指管理人指定的销售本理财产品的机构</w:t>
      </w:r>
      <w:r>
        <w:rPr>
          <w:rFonts w:hint="eastAsia" w:ascii="楷体" w:hAnsi="楷体" w:eastAsia="楷体" w:cs="楷体"/>
          <w:szCs w:val="21"/>
          <w:lang w:eastAsia="zh-CN"/>
        </w:rPr>
        <w:t>，包括管理人和代理销售机构</w:t>
      </w:r>
      <w:r>
        <w:rPr>
          <w:rFonts w:hint="eastAsia" w:ascii="楷体" w:hAnsi="楷体" w:eastAsia="楷体" w:cs="楷体"/>
          <w:szCs w:val="21"/>
        </w:rPr>
        <w:t>。</w:t>
      </w:r>
    </w:p>
    <w:p w14:paraId="6BE4E267">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w:t>
      </w:r>
      <w:r>
        <w:rPr>
          <w:rFonts w:hint="eastAsia" w:ascii="楷体" w:hAnsi="楷体" w:eastAsia="楷体" w:cs="楷体"/>
          <w:b/>
          <w:bCs/>
          <w:szCs w:val="21"/>
          <w:lang w:eastAsia="zh-CN"/>
        </w:rPr>
        <w:t>认购人：</w:t>
      </w:r>
      <w:r>
        <w:rPr>
          <w:rFonts w:hint="eastAsia" w:ascii="楷体" w:hAnsi="楷体" w:eastAsia="楷体" w:cs="楷体"/>
          <w:szCs w:val="21"/>
        </w:rPr>
        <w:t>指在产品认购期内签署理财产品销售文件并向理财产品管理人交付认购资金以购买理财产品份额的投资者。</w:t>
      </w:r>
    </w:p>
    <w:p w14:paraId="1DC07791">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5.理财产品份额持有人/持有人：</w:t>
      </w:r>
      <w:r>
        <w:rPr>
          <w:rFonts w:hint="eastAsia" w:ascii="楷体" w:hAnsi="楷体" w:eastAsia="楷体" w:cs="楷体"/>
          <w:szCs w:val="21"/>
        </w:rPr>
        <w:t>指其认购申请经过管理人确认成功，从而持有理财产品份额的投资者。</w:t>
      </w:r>
    </w:p>
    <w:p w14:paraId="29B6C071">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szCs w:val="21"/>
          <w:lang w:val="en-US" w:eastAsia="zh-CN"/>
        </w:rPr>
        <w:t>6</w:t>
      </w:r>
      <w:r>
        <w:rPr>
          <w:rFonts w:hint="eastAsia" w:ascii="楷体" w:hAnsi="楷体" w:eastAsia="楷体" w:cs="楷体"/>
          <w:b/>
          <w:bCs/>
          <w:szCs w:val="21"/>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14:paraId="683197C9">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lang w:val="en-US" w:eastAsia="zh-CN"/>
        </w:rPr>
        <w:t>7</w:t>
      </w:r>
      <w:r>
        <w:rPr>
          <w:rFonts w:hint="eastAsia" w:ascii="楷体" w:hAnsi="楷体" w:eastAsia="楷体" w:cs="楷体"/>
          <w:b/>
          <w:bCs/>
          <w:szCs w:val="21"/>
        </w:rPr>
        <w:t>.监管机构：</w:t>
      </w:r>
      <w:r>
        <w:rPr>
          <w:rFonts w:hint="eastAsia" w:ascii="楷体" w:hAnsi="楷体" w:eastAsia="楷体" w:cs="楷体"/>
          <w:szCs w:val="21"/>
        </w:rPr>
        <w:t>指对管理人（包括本理财产品的管理人、所投资的信托计划/资管计划/基金的管理人/受托人、相关投资顾问（如有）等）实施监督管理的机构，包括但不限于中国人民银行、国家金融监督管理总局、中国证券监督管理委员会、外汇管理局、银行业理财登记托管中心等。</w:t>
      </w:r>
    </w:p>
    <w:p w14:paraId="6D18F779">
      <w:pPr>
        <w:pStyle w:val="3"/>
        <w:spacing w:before="0" w:after="0" w:line="360" w:lineRule="auto"/>
        <w:ind w:firstLine="422" w:firstLineChars="200"/>
        <w:rPr>
          <w:rFonts w:ascii="楷体" w:hAnsi="楷体" w:eastAsia="楷体"/>
          <w:sz w:val="21"/>
        </w:rPr>
      </w:pPr>
      <w:r>
        <w:rPr>
          <w:rFonts w:hint="eastAsia" w:ascii="楷体" w:hAnsi="楷体" w:eastAsia="楷体"/>
          <w:sz w:val="21"/>
        </w:rPr>
        <w:t>（二）法律文件</w:t>
      </w:r>
    </w:p>
    <w:p w14:paraId="17FCA3E5">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1.理财产品销售文件/销售文件：</w:t>
      </w:r>
      <w:r>
        <w:rPr>
          <w:rFonts w:hint="eastAsia" w:ascii="楷体" w:hAnsi="楷体" w:eastAsia="楷体" w:cs="楷体"/>
          <w:szCs w:val="21"/>
        </w:rPr>
        <w:t>指《产品说明书》、《风险揭示书》、《投资协议书》、《销售（代理销售）协议书》和《投资者权益须知》的总称。</w:t>
      </w:r>
    </w:p>
    <w:p w14:paraId="0BAAC101">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2.理财产品合同：</w:t>
      </w:r>
      <w:r>
        <w:rPr>
          <w:rFonts w:hint="eastAsia" w:ascii="楷体" w:hAnsi="楷体" w:eastAsia="楷体" w:cs="楷体"/>
          <w:szCs w:val="21"/>
        </w:rPr>
        <w:t>指《产品说明书》、《风险揭示书》和《投资协议书》的总称。</w:t>
      </w:r>
    </w:p>
    <w:p w14:paraId="71432C27">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3.《产品说明书》：</w:t>
      </w:r>
      <w:r>
        <w:rPr>
          <w:rFonts w:hint="eastAsia" w:ascii="楷体" w:hAnsi="楷体" w:eastAsia="楷体" w:cs="楷体"/>
          <w:szCs w:val="21"/>
        </w:rPr>
        <w:t>指《【上银理财“美好”系列稳健封闭式理财产品WPWF26M06066期】产品说明书》，以及对该文件的有效修改或补充。</w:t>
      </w:r>
    </w:p>
    <w:p w14:paraId="328416C0">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4.《风险揭示书》：</w:t>
      </w:r>
      <w:r>
        <w:rPr>
          <w:rFonts w:hint="eastAsia" w:ascii="楷体" w:hAnsi="楷体" w:eastAsia="楷体" w:cs="楷体"/>
          <w:szCs w:val="21"/>
        </w:rPr>
        <w:t>指《【上银理财“美好”系列稳健封闭式理财产品WPWF26M06066期】风险揭示书》，以及对该文件的有效修改或补充。</w:t>
      </w:r>
    </w:p>
    <w:p w14:paraId="7DC330DF">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5.《投资协议书》：</w:t>
      </w:r>
      <w:r>
        <w:rPr>
          <w:rFonts w:hint="eastAsia" w:ascii="楷体" w:hAnsi="楷体" w:eastAsia="楷体" w:cs="楷体"/>
          <w:szCs w:val="21"/>
        </w:rPr>
        <w:t>指《上银理财理财产品投资协议书》，以及对该文件的有效修改或补充。</w:t>
      </w:r>
    </w:p>
    <w:p w14:paraId="42D044FA">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6.《销售（代理销售）协议书》：</w:t>
      </w:r>
      <w:r>
        <w:rPr>
          <w:rFonts w:hint="eastAsia" w:ascii="楷体" w:hAnsi="楷体" w:eastAsia="楷体" w:cs="楷体"/>
          <w:szCs w:val="21"/>
        </w:rPr>
        <w:t>指由投资者和销售机构签署的，作为本产品销售文件不可分割组成部分的《销售（代理销售）协议书》，以及对该文件的有效修改或补充。</w:t>
      </w:r>
    </w:p>
    <w:p w14:paraId="7DFA62F7">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7.《投资者权益须知》：</w:t>
      </w:r>
      <w:r>
        <w:rPr>
          <w:rFonts w:hint="eastAsia" w:ascii="楷体" w:hAnsi="楷体" w:eastAsia="楷体" w:cs="楷体"/>
          <w:szCs w:val="21"/>
        </w:rPr>
        <w:t>指由投资者和销售机构签署的，作为本产品销售文件不可分割组成部分的《投资者权益须知》，以及对该文件的有效修改或补充。</w:t>
      </w:r>
    </w:p>
    <w:p w14:paraId="1D6B9317">
      <w:pPr>
        <w:pStyle w:val="3"/>
        <w:spacing w:before="0" w:after="0" w:line="360" w:lineRule="auto"/>
        <w:ind w:firstLine="422" w:firstLineChars="200"/>
        <w:rPr>
          <w:rFonts w:ascii="楷体" w:hAnsi="楷体" w:eastAsia="楷体"/>
          <w:sz w:val="21"/>
        </w:rPr>
      </w:pPr>
      <w:r>
        <w:rPr>
          <w:rFonts w:hint="eastAsia" w:ascii="楷体" w:hAnsi="楷体" w:eastAsia="楷体"/>
          <w:sz w:val="21"/>
        </w:rPr>
        <w:t>（三）产品要素</w:t>
      </w:r>
    </w:p>
    <w:p w14:paraId="29EB02BA">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1.理财产品/本产品/产品：</w:t>
      </w:r>
      <w:r>
        <w:rPr>
          <w:rFonts w:hint="eastAsia" w:ascii="楷体" w:hAnsi="楷体" w:eastAsia="楷体" w:cs="楷体"/>
          <w:szCs w:val="21"/>
        </w:rPr>
        <w:t>指【上银理财“美好”系列稳健封闭式理财产品WPWF26M06066期】。</w:t>
      </w:r>
    </w:p>
    <w:p w14:paraId="57D6E5B3">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2.产品风险评级：</w:t>
      </w:r>
      <w:r>
        <w:rPr>
          <w:rFonts w:hint="eastAsia" w:ascii="楷体" w:hAnsi="楷体" w:eastAsia="楷体" w:cs="楷体"/>
          <w:szCs w:val="21"/>
        </w:rPr>
        <w:t>指管理人内部对本公司发行理财产品的评级结果。上银理财产品风险评级由低到高共分为五级：低风险（一级风险）、中低风险（二级风险）、中</w:t>
      </w:r>
      <w:r>
        <w:rPr>
          <w:rFonts w:hint="eastAsia" w:ascii="楷体" w:hAnsi="楷体" w:eastAsia="楷体" w:cs="楷体"/>
          <w:szCs w:val="21"/>
          <w:lang w:val="en-US" w:eastAsia="zh-CN"/>
        </w:rPr>
        <w:t>等</w:t>
      </w:r>
      <w:r>
        <w:rPr>
          <w:rFonts w:hint="eastAsia" w:ascii="楷体" w:hAnsi="楷体" w:eastAsia="楷体" w:cs="楷体"/>
          <w:szCs w:val="21"/>
        </w:rPr>
        <w:t>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14:paraId="2E704194">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3.认购资金：</w:t>
      </w:r>
      <w:r>
        <w:rPr>
          <w:rFonts w:hint="eastAsia" w:ascii="楷体" w:hAnsi="楷体" w:eastAsia="楷体" w:cs="楷体"/>
          <w:szCs w:val="21"/>
        </w:rPr>
        <w:t>指在认购期，认购人为认购理财产品份额而向管理人交付的货币资金。为免疑义，认购资金不包含认购资金在认购期内所产生的利息。</w:t>
      </w:r>
    </w:p>
    <w:p w14:paraId="780F76F2">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4.理财产品募集资金：</w:t>
      </w:r>
      <w:r>
        <w:rPr>
          <w:rFonts w:hint="eastAsia" w:ascii="楷体" w:hAnsi="楷体" w:eastAsia="楷体" w:cs="楷体"/>
          <w:szCs w:val="21"/>
        </w:rPr>
        <w:t>指认购人按照理财产品合同的约定交付，并经管理人确认认购成功而进入理财产品账户的认购资金的总和。</w:t>
      </w:r>
    </w:p>
    <w:p w14:paraId="264B422A">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5.理财产品资金：</w:t>
      </w:r>
      <w:r>
        <w:rPr>
          <w:rFonts w:hint="eastAsia" w:ascii="楷体" w:hAnsi="楷体" w:eastAsia="楷体" w:cs="楷体"/>
          <w:szCs w:val="21"/>
        </w:rPr>
        <w:t>指理财产品募集资金，以及管理人管理、运用、处分该等理财产品募集资金而取得且归于理财产品所有的货币资金。</w:t>
      </w:r>
    </w:p>
    <w:p w14:paraId="7A96CC49">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6.理财产品费用：</w:t>
      </w:r>
      <w:r>
        <w:rPr>
          <w:rFonts w:hint="eastAsia" w:ascii="楷体" w:hAnsi="楷体" w:eastAsia="楷体" w:cs="楷体"/>
          <w:szCs w:val="21"/>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14:paraId="39BD0A61">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7.执行费用：</w:t>
      </w:r>
      <w:r>
        <w:rPr>
          <w:rFonts w:hint="eastAsia" w:ascii="楷体" w:hAnsi="楷体" w:eastAsia="楷体" w:cs="楷体"/>
          <w:szCs w:val="21"/>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14:paraId="3331B3A0">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8.理财产品税费：</w:t>
      </w:r>
      <w:r>
        <w:rPr>
          <w:rFonts w:hint="eastAsia" w:ascii="楷体" w:hAnsi="楷体" w:eastAsia="楷体" w:cs="楷体"/>
          <w:szCs w:val="21"/>
        </w:rPr>
        <w:t>指根据适用法律和理财产品销售文件规定，理财产品应缴纳和承担的税收和有权政府部门向理财产品征收的税费、规费。</w:t>
      </w:r>
    </w:p>
    <w:p w14:paraId="79D93439">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9.理财产品利益：</w:t>
      </w:r>
      <w:r>
        <w:rPr>
          <w:rFonts w:hint="eastAsia" w:ascii="楷体" w:hAnsi="楷体" w:eastAsia="楷体" w:cs="楷体"/>
          <w:szCs w:val="21"/>
        </w:rPr>
        <w:t>指投资者因持有理财产品份额，按照销售文件约定取得或有权取得的理财产品管理人分配的理财产品资产。在理财产品对外投资资产正常回收的情况下，该等财产性利益包括投资本金及理财产品收益。</w:t>
      </w:r>
    </w:p>
    <w:p w14:paraId="36271000">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10.投资本金：</w:t>
      </w:r>
      <w:r>
        <w:rPr>
          <w:rFonts w:hint="eastAsia" w:ascii="楷体" w:hAnsi="楷体" w:eastAsia="楷体" w:cs="楷体"/>
          <w:szCs w:val="21"/>
        </w:rPr>
        <w:t>就每一投资者而言，指投资者为认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14:paraId="0318E18E">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11.理财产品收益：</w:t>
      </w:r>
      <w:r>
        <w:rPr>
          <w:rFonts w:hint="eastAsia" w:ascii="楷体" w:hAnsi="楷体" w:eastAsia="楷体" w:cs="楷体"/>
          <w:szCs w:val="21"/>
        </w:rPr>
        <w:t>指投资者投资理财产品获得的投资收益，该收益为其获得分配的全部理财产品利益中扣除投资本金的部分。</w:t>
      </w:r>
    </w:p>
    <w:p w14:paraId="60874D69">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w:t>
      </w:r>
      <w:r>
        <w:rPr>
          <w:rFonts w:hint="eastAsia" w:ascii="楷体" w:hAnsi="楷体" w:eastAsia="楷体" w:cs="楷体"/>
          <w:szCs w:val="21"/>
        </w:rPr>
        <w:t>指理财产品管理人向投资者进行理财产品收益分配。</w:t>
      </w:r>
    </w:p>
    <w:p w14:paraId="03C70D91">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13.期间分配：</w:t>
      </w:r>
      <w:r>
        <w:rPr>
          <w:rFonts w:hint="eastAsia" w:ascii="楷体" w:hAnsi="楷体" w:eastAsia="楷体" w:cs="楷体"/>
          <w:szCs w:val="21"/>
        </w:rPr>
        <w:t>指在理财产品终止日（不含当日）前的理财产品收益分配。</w:t>
      </w:r>
    </w:p>
    <w:p w14:paraId="38FF5510">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14.终止分配：</w:t>
      </w:r>
      <w:r>
        <w:rPr>
          <w:rFonts w:hint="eastAsia" w:ascii="楷体" w:hAnsi="楷体" w:eastAsia="楷体" w:cs="楷体"/>
          <w:szCs w:val="21"/>
        </w:rPr>
        <w:t>指在理财产品终止日当日及之后的理财产品可得资金分配，该等可得资金包括本金和理财收益（如有）。</w:t>
      </w:r>
    </w:p>
    <w:p w14:paraId="04C93EC6">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15.理财产品份额：</w:t>
      </w:r>
      <w:r>
        <w:rPr>
          <w:rFonts w:hint="eastAsia" w:ascii="楷体" w:hAnsi="楷体" w:eastAsia="楷体" w:cs="楷体"/>
          <w:szCs w:val="21"/>
        </w:rPr>
        <w:t>指管理人依据理财产品销售文件向投资者发行的一种资产受益凭证。理财产品份额持有人基于其所持有的理财产品份额享有理财产品利益，承担理财产品资产风险。</w:t>
      </w:r>
    </w:p>
    <w:p w14:paraId="62D0F714">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16.理财产品资产净值/理财资产净值/产品资产净值：</w:t>
      </w:r>
      <w:r>
        <w:rPr>
          <w:rFonts w:hint="eastAsia" w:ascii="楷体" w:hAnsi="楷体" w:eastAsia="楷体" w:cs="楷体"/>
          <w:szCs w:val="21"/>
        </w:rPr>
        <w:t>理财产品资产净值=理财产品资产总值-理财产品负债总值。</w:t>
      </w:r>
    </w:p>
    <w:p w14:paraId="53EDF12C">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17.理财产品资产总值：</w:t>
      </w:r>
      <w:r>
        <w:rPr>
          <w:rFonts w:hint="eastAsia" w:ascii="楷体" w:hAnsi="楷体" w:eastAsia="楷体" w:cs="楷体"/>
          <w:szCs w:val="21"/>
        </w:rPr>
        <w:t>是指理财产品拥有的各类有价证券、银行存款、应收款项及其他资产的价值总和。</w:t>
      </w:r>
    </w:p>
    <w:p w14:paraId="6A2CB5ED">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18.理财产品负债总值：</w:t>
      </w:r>
      <w:r>
        <w:rPr>
          <w:rFonts w:hint="eastAsia" w:ascii="楷体" w:hAnsi="楷体" w:eastAsia="楷体" w:cs="楷体"/>
          <w:szCs w:val="21"/>
        </w:rPr>
        <w:t>是指理财产品运作及融资时形成的负债价值总和，包括融资资金本息、应付各项费用、应付税金及其他应付款项等。</w:t>
      </w:r>
    </w:p>
    <w:p w14:paraId="34B1E11B">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19.理财产品份额净值：</w:t>
      </w:r>
      <w:r>
        <w:rPr>
          <w:rFonts w:hint="eastAsia" w:ascii="楷体" w:hAnsi="楷体" w:eastAsia="楷体" w:cs="楷体"/>
          <w:szCs w:val="21"/>
        </w:rPr>
        <w:t>指理财产品份额的单位净值，即每1份理财产品份额以人民币计价的价格。</w:t>
      </w:r>
    </w:p>
    <w:p w14:paraId="6530E2C6">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20.理财产品份额累计净值：</w:t>
      </w:r>
      <w:r>
        <w:rPr>
          <w:rFonts w:hint="eastAsia" w:ascii="楷体" w:hAnsi="楷体" w:eastAsia="楷体" w:cs="楷体"/>
          <w:szCs w:val="21"/>
        </w:rPr>
        <w:t>指理财产品份额的单位净值与产品成立后历次累计单位收益分配的总和。</w:t>
      </w:r>
    </w:p>
    <w:p w14:paraId="74E51E70">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21.理财产品估值：</w:t>
      </w:r>
      <w:r>
        <w:rPr>
          <w:rFonts w:hint="eastAsia" w:ascii="楷体" w:hAnsi="楷体" w:eastAsia="楷体" w:cs="楷体"/>
          <w:szCs w:val="21"/>
        </w:rPr>
        <w:t>指评估理财产品资产及负债以确定理财产品份额净值的过程。</w:t>
      </w:r>
    </w:p>
    <w:p w14:paraId="46FCD1BA">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22.业绩比较基准：</w:t>
      </w:r>
      <w:r>
        <w:rPr>
          <w:rFonts w:hint="eastAsia" w:ascii="楷体" w:hAnsi="楷体" w:eastAsia="楷体" w:cs="楷体"/>
          <w:szCs w:val="21"/>
        </w:rPr>
        <w:t>业绩比较基准是</w:t>
      </w:r>
      <w:r>
        <w:rPr>
          <w:rFonts w:hint="eastAsia" w:ascii="楷体" w:hAnsi="楷体" w:eastAsia="楷体" w:cs="楷体"/>
          <w:szCs w:val="21"/>
          <w:lang w:val="en-US" w:eastAsia="zh-CN"/>
        </w:rPr>
        <w:t>管理人</w:t>
      </w:r>
      <w:r>
        <w:rPr>
          <w:rFonts w:hint="eastAsia" w:ascii="楷体" w:hAnsi="楷体" w:eastAsia="楷体" w:cs="楷体"/>
          <w:szCs w:val="21"/>
        </w:rPr>
        <w:t>基于产品性质、投资策略、过往经验等因素对产品设定的投资目标，业绩比较基准不是预期收益率，不代表产品的未来表现和实际收益，不构成对产品收益的承诺。</w:t>
      </w:r>
    </w:p>
    <w:p w14:paraId="124F7766">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23.认购：</w:t>
      </w:r>
      <w:r>
        <w:rPr>
          <w:rFonts w:hint="eastAsia" w:ascii="楷体" w:hAnsi="楷体" w:eastAsia="楷体" w:cs="楷体"/>
          <w:szCs w:val="21"/>
        </w:rPr>
        <w:t>指在理财产品的募集期内，投资者根据《产品说明书》约定申请购买本产品理财产品份额的行为。</w:t>
      </w:r>
    </w:p>
    <w:p w14:paraId="1E8B8098">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（四）相关账户</w:t>
      </w:r>
    </w:p>
    <w:p w14:paraId="783CFAE2">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理财托管账户/理财产品账户：</w:t>
      </w:r>
      <w:r>
        <w:rPr>
          <w:rFonts w:hint="eastAsia" w:ascii="楷体" w:hAnsi="楷体" w:eastAsia="楷体" w:cs="楷体"/>
          <w:szCs w:val="21"/>
        </w:rPr>
        <w:t>指理财产品管理人以理财产品的名义在托管人处单独开立的资金管理账户，理财产品资金的一切收支活动，均必须通过该账户进行。</w:t>
      </w:r>
    </w:p>
    <w:p w14:paraId="7D0CC251">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（五）期间与日期</w:t>
      </w:r>
    </w:p>
    <w:p w14:paraId="75882631">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1.交易日：</w:t>
      </w:r>
      <w:r>
        <w:rPr>
          <w:rFonts w:hint="eastAsia" w:ascii="楷体" w:hAnsi="楷体" w:eastAsia="楷体" w:cs="楷体"/>
          <w:szCs w:val="21"/>
        </w:rPr>
        <w:t>指上海证券交易所和深圳证券交易所的正常开盘交易日。</w:t>
      </w:r>
    </w:p>
    <w:p w14:paraId="36EB7593">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2.工作日/银行工作日：</w:t>
      </w:r>
      <w:r>
        <w:rPr>
          <w:rFonts w:hint="eastAsia" w:ascii="楷体" w:hAnsi="楷体" w:eastAsia="楷体" w:cs="楷体"/>
          <w:szCs w:val="21"/>
        </w:rPr>
        <w:t>指除中国法定节假日和公休日外的其他日。</w:t>
      </w:r>
    </w:p>
    <w:p w14:paraId="2A837E53">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3.自然日：</w:t>
      </w:r>
      <w:r>
        <w:rPr>
          <w:rFonts w:hint="eastAsia" w:ascii="楷体" w:hAnsi="楷体" w:eastAsia="楷体" w:cs="楷体"/>
          <w:szCs w:val="21"/>
        </w:rPr>
        <w:t>包括正常的工作日和周末休假日，也包括假期。</w:t>
      </w:r>
    </w:p>
    <w:p w14:paraId="609386E8">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4.认购期：</w:t>
      </w:r>
      <w:r>
        <w:rPr>
          <w:rFonts w:hint="eastAsia" w:ascii="楷体" w:hAnsi="楷体" w:eastAsia="楷体" w:cs="楷体"/>
          <w:szCs w:val="21"/>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14:paraId="7268E2EF">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5.产品成立日：</w:t>
      </w:r>
      <w:r>
        <w:rPr>
          <w:rFonts w:hint="eastAsia" w:ascii="楷体" w:hAnsi="楷体" w:eastAsia="楷体" w:cs="楷体"/>
          <w:szCs w:val="21"/>
        </w:rPr>
        <w:t>指达到《产品说明书》约定的成立条件后理财产品成立的日期。</w:t>
      </w:r>
    </w:p>
    <w:p w14:paraId="1D40AE84">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6.理财产品预计到期日/预计到期日：</w:t>
      </w:r>
      <w:r>
        <w:rPr>
          <w:rFonts w:hint="eastAsia" w:ascii="楷体" w:hAnsi="楷体" w:eastAsia="楷体" w:cs="楷体"/>
          <w:szCs w:val="21"/>
        </w:rPr>
        <w:t>指《产品说明书》约定的预计到期日，如遇非【工作日】顺延至下一个【工作日】。</w:t>
      </w:r>
    </w:p>
    <w:p w14:paraId="6D452913">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7.理财产品到期日/终止日：</w:t>
      </w:r>
      <w:r>
        <w:rPr>
          <w:rFonts w:hint="eastAsia" w:ascii="楷体" w:hAnsi="楷体" w:eastAsia="楷体" w:cs="楷体"/>
          <w:szCs w:val="21"/>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14:paraId="494748F8">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8.预计存续期：</w:t>
      </w:r>
      <w:r>
        <w:rPr>
          <w:rFonts w:hint="eastAsia" w:ascii="楷体" w:hAnsi="楷体" w:eastAsia="楷体" w:cs="楷体"/>
          <w:szCs w:val="21"/>
        </w:rPr>
        <w:t>指理财产品成立日起，至理财产品预计到期日的期间。</w:t>
      </w:r>
    </w:p>
    <w:p w14:paraId="014C8322">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9.产品存续期：</w:t>
      </w:r>
      <w:r>
        <w:rPr>
          <w:rFonts w:hint="eastAsia" w:ascii="楷体" w:hAnsi="楷体" w:eastAsia="楷体" w:cs="楷体"/>
          <w:szCs w:val="21"/>
        </w:rPr>
        <w:t>指自理财产品成立日起，至理财产品终止日的期间。</w:t>
      </w:r>
    </w:p>
    <w:p w14:paraId="131DDE32">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10.估值日：</w:t>
      </w:r>
      <w:r>
        <w:rPr>
          <w:rFonts w:hint="eastAsia" w:ascii="楷体" w:hAnsi="楷体" w:eastAsia="楷体" w:cs="楷体"/>
          <w:szCs w:val="21"/>
        </w:rPr>
        <w:t>指产品管理人对理财产品项下资产进行估值的日期。</w:t>
      </w:r>
    </w:p>
    <w:p w14:paraId="0AE9481B">
      <w:pPr>
        <w:spacing w:line="360" w:lineRule="auto"/>
        <w:ind w:left="105" w:leftChars="50" w:firstLine="316" w:firstLineChars="150"/>
        <w:contextualSpacing/>
        <w:rPr>
          <w:rFonts w:hint="eastAsia" w:ascii="楷体" w:hAnsi="楷体" w:eastAsia="楷体" w:cs="楷体"/>
          <w:szCs w:val="21"/>
        </w:rPr>
      </w:pPr>
      <w:r>
        <w:rPr>
          <w:rFonts w:hint="eastAsia" w:ascii="楷体" w:hAnsi="楷体" w:eastAsia="楷体" w:cs="楷体"/>
          <w:b/>
          <w:bCs/>
          <w:szCs w:val="21"/>
        </w:rPr>
        <w:t>11.确认日：</w:t>
      </w:r>
      <w:r>
        <w:rPr>
          <w:rFonts w:hint="eastAsia" w:ascii="楷体" w:hAnsi="楷体" w:eastAsia="楷体" w:cs="楷体"/>
          <w:szCs w:val="21"/>
        </w:rPr>
        <w:t>产品管理人对投资者的有效申请进行确认的时间。</w:t>
      </w:r>
    </w:p>
    <w:p w14:paraId="6A762144">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12.收益分配基准日：</w:t>
      </w:r>
      <w:r>
        <w:rPr>
          <w:rFonts w:hint="eastAsia" w:ascii="楷体" w:hAnsi="楷体" w:eastAsia="楷体" w:cs="楷体"/>
          <w:szCs w:val="21"/>
        </w:rPr>
        <w:t>是指可供分配利润的计算截止日。</w:t>
      </w:r>
    </w:p>
    <w:p w14:paraId="005CFEE8">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13.节假日临时调整：</w:t>
      </w:r>
      <w:r>
        <w:rPr>
          <w:rFonts w:hint="eastAsia" w:ascii="楷体" w:hAnsi="楷体" w:eastAsia="楷体" w:cs="楷体"/>
          <w:szCs w:val="21"/>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szCs w:val="21"/>
        </w:rPr>
        <w:t>以管理人通过《产品说明书》“信息披露”约定的信息披露方式披露的调整方式为准。</w:t>
      </w:r>
    </w:p>
    <w:p w14:paraId="16E11B63">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14.清算期：</w:t>
      </w:r>
      <w:r>
        <w:rPr>
          <w:rFonts w:hint="eastAsia" w:ascii="楷体" w:hAnsi="楷体" w:eastAsia="楷体" w:cs="楷体"/>
          <w:szCs w:val="21"/>
        </w:rPr>
        <w:t>指自本理财产品终止日至投资者理财利益到账日之间的期间。</w:t>
      </w:r>
      <w:bookmarkEnd w:id="0"/>
    </w:p>
    <w:p w14:paraId="4265DD0F">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（六）相关事件用语</w:t>
      </w:r>
    </w:p>
    <w:p w14:paraId="525E4AB9">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不可抗力：</w:t>
      </w:r>
      <w:r>
        <w:rPr>
          <w:rFonts w:hint="eastAsia" w:ascii="楷体" w:hAnsi="楷体" w:eastAsia="楷体" w:cs="楷体"/>
          <w:szCs w:val="21"/>
        </w:rPr>
        <w:t>指理财产品各方不能预见、不能避免且不能克服的客观情况，该事件妨碍、影响或延误任何一方依相关理财产品销售文件履行其全部或部分义务。该事件包括但不限于：</w:t>
      </w:r>
    </w:p>
    <w:p w14:paraId="6E04AA52">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a.地震、台风、海啸、洪水、火灾、停电、瘟疫；</w:t>
      </w:r>
    </w:p>
    <w:p w14:paraId="0917C3B3">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b.战争、政变、恐怖主义行动、骚乱、罢工；</w:t>
      </w:r>
    </w:p>
    <w:p w14:paraId="79284212">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c.新的适用法律或国家政策的颁布或实施、对原适用法律或国家政策的新修改；</w:t>
      </w:r>
    </w:p>
    <w:p w14:paraId="27B683B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d.金融管理部门强制要求终止理财产品（该等要求不可归咎于任何一方）；</w:t>
      </w:r>
    </w:p>
    <w:p w14:paraId="60546E90">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e.因理财产品各方和/或其关联方运营网络系统遭受黑客攻击、电信部门技术调整或故障等原因而造成的理财产品各方和/或其关联方之服务、营业的中断或者延迟。</w:t>
      </w:r>
    </w:p>
    <w:p w14:paraId="2AAFE0E6">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（七）其他</w:t>
      </w:r>
    </w:p>
    <w:p w14:paraId="3C8E42C4">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1.适用法律：</w:t>
      </w:r>
      <w:r>
        <w:rPr>
          <w:rFonts w:hint="eastAsia" w:ascii="楷体" w:hAnsi="楷体" w:eastAsia="楷体" w:cs="楷体"/>
          <w:szCs w:val="21"/>
        </w:rPr>
        <w:t>指在理财产品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DD5F909">
      <w:pPr>
        <w:pStyle w:val="2"/>
        <w:numPr>
          <w:ilvl w:val="0"/>
          <w:numId w:val="7"/>
        </w:numPr>
        <w:spacing w:before="120" w:after="120" w:line="240" w:lineRule="auto"/>
        <w:rPr>
          <w:rFonts w:ascii="楷体" w:hAnsi="楷体" w:eastAsia="楷体"/>
          <w:sz w:val="28"/>
          <w:szCs w:val="28"/>
        </w:rPr>
      </w:pPr>
      <w:r>
        <w:rPr>
          <w:rFonts w:hint="eastAsia" w:ascii="楷体" w:hAnsi="楷体" w:eastAsia="楷体"/>
          <w:sz w:val="28"/>
          <w:szCs w:val="28"/>
        </w:rPr>
        <w:t>产品概述</w:t>
      </w:r>
    </w:p>
    <w:tbl>
      <w:tblPr>
        <w:tblStyle w:val="2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14:paraId="27272B0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3A3A9DEA">
            <w:pPr>
              <w:rPr>
                <w:rFonts w:hint="eastAsia" w:ascii="楷体" w:hAnsi="楷体" w:eastAsia="楷体" w:cs="楷体"/>
                <w:b/>
                <w:bCs/>
              </w:rPr>
            </w:pPr>
            <w:r>
              <w:rPr>
                <w:rFonts w:hint="eastAsia" w:ascii="楷体" w:hAnsi="楷体" w:eastAsia="楷体" w:cs="楷体"/>
                <w:b/>
                <w:bCs/>
              </w:rPr>
              <w:t>理财产品名称</w:t>
            </w:r>
          </w:p>
        </w:tc>
        <w:tc>
          <w:tcPr>
            <w:tcW w:w="6146" w:type="dxa"/>
          </w:tcPr>
          <w:p w14:paraId="42D84B28">
            <w:pPr>
              <w:rPr>
                <w:rFonts w:hint="eastAsia" w:ascii="楷体" w:hAnsi="楷体" w:eastAsia="楷体" w:cs="楷体"/>
              </w:rPr>
            </w:pPr>
            <w:r>
              <w:rPr>
                <w:rFonts w:hint="eastAsia" w:ascii="楷体" w:hAnsi="楷体" w:eastAsia="楷体" w:cs="楷体"/>
              </w:rPr>
              <w:t>【上银理财“美好”系列稳健封闭式理财产品WPWF26M06066期】</w:t>
            </w:r>
          </w:p>
        </w:tc>
      </w:tr>
      <w:tr w14:paraId="29BFA44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14:paraId="6A1FBBCA">
            <w:pPr>
              <w:rPr>
                <w:rFonts w:hint="eastAsia" w:ascii="楷体" w:hAnsi="楷体" w:eastAsia="楷体" w:cs="楷体"/>
                <w:b/>
                <w:bCs/>
              </w:rPr>
            </w:pPr>
            <w:r>
              <w:rPr>
                <w:rFonts w:hint="eastAsia" w:ascii="楷体" w:hAnsi="楷体" w:eastAsia="楷体" w:cs="楷体"/>
                <w:b/>
                <w:bCs/>
              </w:rPr>
              <w:t>产品销售名称</w:t>
            </w:r>
          </w:p>
        </w:tc>
        <w:tc>
          <w:tcPr>
            <w:tcW w:w="6146" w:type="dxa"/>
          </w:tcPr>
          <w:p w14:paraId="5843A651">
            <w:pPr>
              <w:rPr>
                <w:rFonts w:hint="eastAsia" w:ascii="楷体" w:hAnsi="楷体" w:eastAsia="楷体" w:cs="楷体"/>
              </w:rPr>
            </w:pPr>
            <w:r>
              <w:rPr>
                <w:rFonts w:hint="eastAsia" w:ascii="楷体" w:hAnsi="楷体" w:eastAsia="楷体" w:cs="楷体"/>
              </w:rPr>
              <w:t>【上银理财美好稳健封闭7个月66期（D份额）】，适用于【D】类份额。</w:t>
            </w:r>
          </w:p>
        </w:tc>
      </w:tr>
      <w:tr w14:paraId="42603C3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0EDF3378">
            <w:pPr>
              <w:rPr>
                <w:rFonts w:hint="eastAsia" w:ascii="楷体" w:hAnsi="楷体" w:eastAsia="楷体" w:cs="楷体"/>
                <w:b/>
                <w:bCs/>
              </w:rPr>
            </w:pPr>
            <w:r>
              <w:rPr>
                <w:rFonts w:hint="eastAsia" w:ascii="楷体" w:hAnsi="楷体" w:eastAsia="楷体" w:cs="楷体"/>
                <w:b/>
                <w:bCs/>
              </w:rPr>
              <w:t>产品登记编码</w:t>
            </w:r>
          </w:p>
        </w:tc>
        <w:tc>
          <w:tcPr>
            <w:tcW w:w="6146" w:type="dxa"/>
            <w:vAlign w:val="center"/>
          </w:tcPr>
          <w:p w14:paraId="4DA40E8E">
            <w:pPr>
              <w:rPr>
                <w:rFonts w:hint="eastAsia" w:ascii="楷体" w:hAnsi="楷体" w:eastAsia="楷体" w:cs="楷体"/>
              </w:rPr>
            </w:pPr>
            <w:r>
              <w:rPr>
                <w:rFonts w:hint="eastAsia" w:ascii="楷体" w:hAnsi="楷体" w:eastAsia="楷体" w:cs="楷体"/>
              </w:rPr>
              <w:t>【Z7007126000081】</w:t>
            </w:r>
          </w:p>
          <w:p w14:paraId="11C56BB5">
            <w:pPr>
              <w:rPr>
                <w:rFonts w:hint="eastAsia" w:ascii="楷体" w:hAnsi="楷体" w:eastAsia="楷体" w:cs="楷体"/>
              </w:rPr>
            </w:pPr>
            <w:r>
              <w:rPr>
                <w:rFonts w:hint="eastAsia" w:ascii="楷体" w:hAnsi="楷体" w:eastAsia="楷体" w:cs="楷体"/>
                <w:lang w:bidi="ar"/>
              </w:rPr>
              <w:t>本理财产品在全国银行业理财信息登记系统对理财产品进行信息登记后，由全国银行业理财信息登记系统发放的唯一性的理财产品编码。投资者可依据登记编码在中国理财网（</w:t>
            </w:r>
            <w:r>
              <w:rPr>
                <w:rFonts w:hint="eastAsia" w:ascii="楷体" w:hAnsi="楷体" w:eastAsia="楷体" w:cs="楷体"/>
              </w:rPr>
              <w:t>www.chinawealth.com.cn</w:t>
            </w:r>
            <w:r>
              <w:rPr>
                <w:rFonts w:hint="eastAsia" w:ascii="楷体" w:hAnsi="楷体" w:eastAsia="楷体" w:cs="楷体"/>
                <w:lang w:bidi="ar"/>
              </w:rPr>
              <w:t>）查询产品信息。</w:t>
            </w:r>
          </w:p>
        </w:tc>
      </w:tr>
      <w:tr w14:paraId="14CABA0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7287B201">
            <w:pPr>
              <w:rPr>
                <w:rFonts w:hint="eastAsia" w:ascii="楷体" w:hAnsi="楷体" w:eastAsia="楷体" w:cs="楷体"/>
                <w:b/>
                <w:bCs/>
              </w:rPr>
            </w:pPr>
            <w:r>
              <w:rPr>
                <w:rFonts w:hint="eastAsia" w:ascii="楷体" w:hAnsi="楷体" w:eastAsia="楷体" w:cs="楷体"/>
                <w:b/>
                <w:bCs/>
              </w:rPr>
              <w:t>产品代码</w:t>
            </w:r>
          </w:p>
        </w:tc>
        <w:tc>
          <w:tcPr>
            <w:tcW w:w="6146" w:type="dxa"/>
          </w:tcPr>
          <w:p w14:paraId="519C5E86">
            <w:pPr>
              <w:rPr>
                <w:rFonts w:hint="eastAsia" w:ascii="楷体" w:hAnsi="楷体" w:eastAsia="楷体" w:cs="楷体"/>
              </w:rPr>
            </w:pPr>
            <w:r>
              <w:rPr>
                <w:rFonts w:hint="eastAsia" w:ascii="楷体" w:hAnsi="楷体" w:eastAsia="楷体" w:cs="楷体"/>
              </w:rPr>
              <w:t>【WPWF26M06066】</w:t>
            </w:r>
          </w:p>
        </w:tc>
      </w:tr>
      <w:tr w14:paraId="3D9E62C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14:paraId="41293483">
            <w:pPr>
              <w:rPr>
                <w:rFonts w:hint="eastAsia" w:ascii="楷体" w:hAnsi="楷体" w:eastAsia="楷体" w:cs="楷体"/>
                <w:b/>
                <w:bCs/>
              </w:rPr>
            </w:pPr>
            <w:r>
              <w:rPr>
                <w:rFonts w:hint="eastAsia" w:ascii="楷体" w:hAnsi="楷体" w:eastAsia="楷体" w:cs="楷体"/>
                <w:b/>
                <w:bCs/>
              </w:rPr>
              <w:t>销售代码</w:t>
            </w:r>
          </w:p>
        </w:tc>
        <w:tc>
          <w:tcPr>
            <w:tcW w:w="6146" w:type="dxa"/>
          </w:tcPr>
          <w:p w14:paraId="1187D922">
            <w:pPr>
              <w:rPr>
                <w:rFonts w:hint="eastAsia" w:ascii="楷体" w:hAnsi="楷体" w:eastAsia="楷体" w:cs="楷体"/>
              </w:rPr>
            </w:pPr>
            <w:r>
              <w:rPr>
                <w:rFonts w:hint="eastAsia" w:ascii="楷体" w:hAnsi="楷体" w:eastAsia="楷体" w:cs="楷体"/>
              </w:rPr>
              <w:t>【D】类份额，【WPWF26M06066D】</w:t>
            </w:r>
          </w:p>
        </w:tc>
      </w:tr>
      <w:tr w14:paraId="18C073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160B913F">
            <w:pPr>
              <w:rPr>
                <w:rFonts w:hint="eastAsia" w:ascii="楷体" w:hAnsi="楷体" w:eastAsia="楷体" w:cs="楷体"/>
                <w:b/>
                <w:bCs/>
              </w:rPr>
            </w:pPr>
            <w:r>
              <w:rPr>
                <w:rFonts w:hint="eastAsia" w:ascii="楷体" w:hAnsi="楷体" w:eastAsia="楷体" w:cs="楷体"/>
                <w:b/>
                <w:bCs/>
              </w:rPr>
              <w:t>产品份额类别</w:t>
            </w:r>
          </w:p>
        </w:tc>
        <w:tc>
          <w:tcPr>
            <w:tcW w:w="6146" w:type="dxa"/>
          </w:tcPr>
          <w:p w14:paraId="5CD1DFE9">
            <w:pPr>
              <w:widowControl/>
              <w:numPr>
                <w:ilvl w:val="0"/>
                <w:numId w:val="8"/>
              </w:numPr>
              <w:jc w:val="left"/>
              <w:rPr>
                <w:rFonts w:hint="eastAsia" w:ascii="楷体" w:hAnsi="楷体" w:eastAsia="楷体" w:cs="楷体"/>
                <w:lang w:bidi="ar"/>
              </w:rPr>
            </w:pPr>
            <w:r>
              <w:rPr>
                <w:rFonts w:hint="eastAsia" w:ascii="楷体" w:hAnsi="楷体" w:eastAsia="楷体" w:cs="楷体"/>
                <w:lang w:bidi="ar"/>
              </w:rPr>
              <w:t xml:space="preserve">本产品根据投资者购买理财产品的金额、投资者类型、销售渠道等因素，对投资者所持有的理财产品份额设置不同的理财产品份额类别。 </w:t>
            </w:r>
          </w:p>
          <w:p w14:paraId="494F069A">
            <w:pPr>
              <w:widowControl/>
              <w:jc w:val="left"/>
              <w:rPr>
                <w:rFonts w:hint="eastAsia" w:ascii="楷体" w:hAnsi="楷体" w:eastAsia="楷体" w:cs="楷体"/>
              </w:rPr>
            </w:pPr>
            <w:r>
              <w:rPr>
                <w:rFonts w:hint="eastAsia" w:ascii="楷体" w:hAnsi="楷体" w:eastAsia="楷体" w:cs="楷体"/>
                <w:lang w:bidi="ar"/>
              </w:rPr>
              <w:t xml:space="preserve">2、本产品设置不同的理财产品份额，每类理财产品份额以下内容将可能单独设置： </w:t>
            </w:r>
          </w:p>
          <w:p w14:paraId="21582263">
            <w:pPr>
              <w:widowControl/>
              <w:jc w:val="left"/>
              <w:rPr>
                <w:rFonts w:hint="eastAsia" w:ascii="楷体" w:hAnsi="楷体" w:eastAsia="楷体" w:cs="楷体"/>
                <w:lang w:bidi="ar"/>
              </w:rPr>
            </w:pPr>
            <w:r>
              <w:rPr>
                <w:rFonts w:hint="eastAsia" w:ascii="楷体" w:hAnsi="楷体" w:eastAsia="楷体" w:cs="楷体"/>
                <w:lang w:bidi="ar"/>
              </w:rPr>
              <w:t xml:space="preserve">（1）产品销售名称 </w:t>
            </w:r>
          </w:p>
          <w:p w14:paraId="791DE0C5">
            <w:pPr>
              <w:widowControl/>
              <w:jc w:val="left"/>
              <w:rPr>
                <w:rFonts w:hint="eastAsia" w:ascii="楷体" w:hAnsi="楷体" w:eastAsia="楷体" w:cs="楷体"/>
                <w:lang w:bidi="ar"/>
              </w:rPr>
            </w:pPr>
            <w:r>
              <w:rPr>
                <w:rFonts w:hint="eastAsia" w:ascii="楷体" w:hAnsi="楷体" w:eastAsia="楷体" w:cs="楷体"/>
                <w:lang w:bidi="ar"/>
              </w:rPr>
              <w:t>（2）销售代码</w:t>
            </w:r>
          </w:p>
          <w:p w14:paraId="084C75CB">
            <w:pPr>
              <w:widowControl/>
              <w:jc w:val="left"/>
              <w:rPr>
                <w:rFonts w:hint="eastAsia" w:ascii="楷体" w:hAnsi="楷体" w:eastAsia="楷体" w:cs="楷体"/>
                <w:lang w:bidi="ar"/>
              </w:rPr>
            </w:pPr>
            <w:r>
              <w:rPr>
                <w:rFonts w:hint="eastAsia" w:ascii="楷体" w:hAnsi="楷体" w:eastAsia="楷体" w:cs="楷体"/>
                <w:lang w:bidi="ar"/>
              </w:rPr>
              <w:t>（3）销售机构</w:t>
            </w:r>
          </w:p>
          <w:p w14:paraId="2732675E">
            <w:pPr>
              <w:widowControl/>
              <w:jc w:val="left"/>
              <w:rPr>
                <w:rFonts w:hint="eastAsia" w:ascii="楷体" w:hAnsi="楷体" w:eastAsia="楷体" w:cs="楷体"/>
              </w:rPr>
            </w:pPr>
            <w:r>
              <w:rPr>
                <w:rFonts w:hint="eastAsia" w:ascii="楷体" w:hAnsi="楷体" w:eastAsia="楷体" w:cs="楷体"/>
                <w:lang w:bidi="ar"/>
              </w:rPr>
              <w:t>（4）发售对象</w:t>
            </w:r>
          </w:p>
          <w:p w14:paraId="45B74249">
            <w:pPr>
              <w:widowControl/>
              <w:jc w:val="left"/>
              <w:rPr>
                <w:rFonts w:hint="eastAsia" w:ascii="楷体" w:hAnsi="楷体" w:eastAsia="楷体" w:cs="楷体"/>
              </w:rPr>
            </w:pPr>
            <w:r>
              <w:rPr>
                <w:rFonts w:hint="eastAsia" w:ascii="楷体" w:hAnsi="楷体" w:eastAsia="楷体" w:cs="楷体"/>
                <w:lang w:bidi="ar"/>
              </w:rPr>
              <w:t>（5）费率设置</w:t>
            </w:r>
          </w:p>
          <w:p w14:paraId="17D08E1A">
            <w:pPr>
              <w:widowControl/>
              <w:jc w:val="left"/>
              <w:rPr>
                <w:rFonts w:hint="eastAsia" w:ascii="楷体" w:hAnsi="楷体" w:eastAsia="楷体" w:cs="楷体"/>
                <w:lang w:bidi="ar"/>
              </w:rPr>
            </w:pPr>
            <w:r>
              <w:rPr>
                <w:rFonts w:hint="eastAsia" w:ascii="楷体" w:hAnsi="楷体" w:eastAsia="楷体" w:cs="楷体"/>
                <w:lang w:bidi="ar"/>
              </w:rPr>
              <w:t xml:space="preserve">（6）收费方式 </w:t>
            </w:r>
          </w:p>
          <w:p w14:paraId="50E8E13F">
            <w:pPr>
              <w:widowControl/>
              <w:jc w:val="left"/>
              <w:rPr>
                <w:rFonts w:hint="eastAsia" w:ascii="楷体" w:hAnsi="楷体" w:eastAsia="楷体" w:cs="楷体"/>
                <w:lang w:bidi="ar"/>
              </w:rPr>
            </w:pPr>
            <w:r>
              <w:rPr>
                <w:rFonts w:hint="eastAsia" w:ascii="楷体" w:hAnsi="楷体" w:eastAsia="楷体" w:cs="楷体"/>
                <w:lang w:bidi="ar"/>
              </w:rPr>
              <w:t>（7）业绩比较基准</w:t>
            </w:r>
          </w:p>
          <w:p w14:paraId="1879DB6E">
            <w:pPr>
              <w:widowControl/>
              <w:jc w:val="left"/>
              <w:rPr>
                <w:rFonts w:hint="eastAsia" w:ascii="楷体" w:hAnsi="楷体" w:eastAsia="楷体" w:cs="楷体"/>
                <w:lang w:bidi="ar"/>
              </w:rPr>
            </w:pPr>
            <w:r>
              <w:rPr>
                <w:rFonts w:hint="eastAsia" w:ascii="楷体" w:hAnsi="楷体" w:eastAsia="楷体" w:cs="楷体"/>
                <w:lang w:bidi="ar"/>
              </w:rPr>
              <w:t xml:space="preserve">（8）销售起点金额及递增金额（认购的起点金额） </w:t>
            </w:r>
          </w:p>
          <w:p w14:paraId="656E5601">
            <w:pPr>
              <w:widowControl/>
              <w:jc w:val="left"/>
              <w:rPr>
                <w:rFonts w:hint="eastAsia" w:ascii="楷体" w:hAnsi="楷体" w:eastAsia="楷体" w:cs="楷体"/>
              </w:rPr>
            </w:pPr>
            <w:r>
              <w:rPr>
                <w:rFonts w:hint="eastAsia" w:ascii="楷体" w:hAnsi="楷体" w:eastAsia="楷体" w:cs="楷体"/>
                <w:lang w:bidi="ar"/>
              </w:rPr>
              <w:t xml:space="preserve">（9）投资者认购和赎回的数量限制 </w:t>
            </w:r>
          </w:p>
          <w:p w14:paraId="71ABE1DD">
            <w:pPr>
              <w:widowControl/>
              <w:jc w:val="left"/>
              <w:rPr>
                <w:rFonts w:hint="eastAsia" w:ascii="楷体" w:hAnsi="楷体" w:eastAsia="楷体" w:cs="楷体"/>
                <w:lang w:eastAsia="zh-CN" w:bidi="ar"/>
              </w:rPr>
            </w:pPr>
            <w:r>
              <w:rPr>
                <w:rFonts w:hint="eastAsia" w:ascii="楷体" w:hAnsi="楷体" w:eastAsia="楷体" w:cs="楷体"/>
                <w:lang w:bidi="ar"/>
              </w:rPr>
              <w:t>（10）投资者持有本产品的最高限额、最低限额</w:t>
            </w:r>
          </w:p>
          <w:p w14:paraId="1526D808">
            <w:pPr>
              <w:widowControl/>
              <w:jc w:val="left"/>
              <w:rPr>
                <w:rFonts w:hint="eastAsia" w:ascii="楷体" w:hAnsi="楷体" w:eastAsia="楷体" w:cs="楷体"/>
              </w:rPr>
            </w:pPr>
            <w:r>
              <w:rPr>
                <w:rFonts w:hint="eastAsia" w:ascii="楷体" w:hAnsi="楷体" w:eastAsia="楷体" w:cs="楷体"/>
                <w:lang w:bidi="ar"/>
              </w:rPr>
              <w:t xml:space="preserve">（11）产品规模上限 </w:t>
            </w:r>
          </w:p>
          <w:p w14:paraId="0A09D1AD">
            <w:pPr>
              <w:widowControl/>
              <w:jc w:val="left"/>
              <w:rPr>
                <w:rFonts w:hint="eastAsia" w:ascii="楷体" w:hAnsi="楷体" w:eastAsia="楷体" w:cs="楷体"/>
              </w:rPr>
            </w:pPr>
            <w:r>
              <w:rPr>
                <w:rFonts w:hint="eastAsia" w:ascii="楷体" w:hAnsi="楷体" w:eastAsia="楷体" w:cs="楷体"/>
                <w:lang w:bidi="ar"/>
              </w:rPr>
              <w:t xml:space="preserve">（12）分别计算和公告产品份额净值 </w:t>
            </w:r>
          </w:p>
          <w:p w14:paraId="67D5B476">
            <w:pPr>
              <w:widowControl/>
              <w:jc w:val="left"/>
              <w:rPr>
                <w:rFonts w:hint="eastAsia" w:ascii="楷体" w:hAnsi="楷体" w:eastAsia="楷体" w:cs="楷体"/>
                <w:lang w:bidi="ar"/>
              </w:rPr>
            </w:pPr>
            <w:r>
              <w:rPr>
                <w:rFonts w:hint="eastAsia" w:ascii="楷体" w:hAnsi="楷体" w:eastAsia="楷体" w:cs="楷体"/>
                <w:lang w:bidi="ar"/>
              </w:rPr>
              <w:t xml:space="preserve">3、投资者可根据实际情况自行选择认购的产品份额类别。 </w:t>
            </w:r>
          </w:p>
          <w:p w14:paraId="5B45477B">
            <w:pPr>
              <w:widowControl/>
              <w:jc w:val="left"/>
              <w:rPr>
                <w:rFonts w:hint="eastAsia" w:ascii="楷体" w:hAnsi="楷体" w:eastAsia="楷体" w:cs="楷体"/>
                <w:lang w:bidi="ar"/>
              </w:rPr>
            </w:pPr>
            <w:r>
              <w:rPr>
                <w:rFonts w:hint="eastAsia" w:ascii="楷体" w:hAnsi="楷体" w:eastAsia="楷体" w:cs="楷体"/>
                <w:lang w:bidi="ar"/>
              </w:rPr>
              <w:t xml:space="preserve">4、管理人有权根据实际情况增加新的产品份额类别、停止现有产品份额类别的销售、调整产品份额类别设置或对份额分类方法及规则进行调整。如有调整，以管理人公告为准。 </w:t>
            </w:r>
          </w:p>
          <w:p w14:paraId="3D5E06A8">
            <w:pPr>
              <w:widowControl/>
              <w:jc w:val="left"/>
              <w:rPr>
                <w:rFonts w:hint="eastAsia" w:ascii="楷体" w:hAnsi="楷体" w:eastAsia="楷体" w:cs="楷体"/>
                <w:color w:val="C00000"/>
              </w:rPr>
            </w:pPr>
            <w:r>
              <w:rPr>
                <w:rFonts w:hint="eastAsia" w:ascii="楷体" w:hAnsi="楷体" w:eastAsia="楷体" w:cs="楷体"/>
                <w:lang w:bidi="ar"/>
              </w:rPr>
              <w:t>注：本《产品说明书》所列示产品份额类别仅为本产品项下某一类或某几类产品份额。其他类别的产品份额情况以产品管理人披露为准。</w:t>
            </w:r>
          </w:p>
        </w:tc>
      </w:tr>
      <w:tr w14:paraId="0F8F92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30CD4A31">
            <w:pPr>
              <w:rPr>
                <w:rFonts w:hint="eastAsia" w:ascii="楷体" w:hAnsi="楷体" w:eastAsia="楷体" w:cs="楷体"/>
                <w:b/>
                <w:bCs/>
              </w:rPr>
            </w:pPr>
            <w:r>
              <w:rPr>
                <w:rFonts w:hint="eastAsia" w:ascii="楷体" w:hAnsi="楷体" w:eastAsia="楷体" w:cs="楷体"/>
                <w:b/>
                <w:bCs/>
              </w:rPr>
              <w:t>募集方式</w:t>
            </w:r>
          </w:p>
        </w:tc>
        <w:tc>
          <w:tcPr>
            <w:tcW w:w="6146" w:type="dxa"/>
          </w:tcPr>
          <w:p w14:paraId="1A3991E8">
            <w:pPr>
              <w:rPr>
                <w:rFonts w:hint="eastAsia" w:ascii="楷体" w:hAnsi="楷体" w:eastAsia="楷体" w:cs="楷体"/>
              </w:rPr>
            </w:pPr>
            <w:r>
              <w:rPr>
                <w:rFonts w:hint="eastAsia" w:ascii="楷体" w:hAnsi="楷体" w:eastAsia="楷体" w:cs="楷体"/>
              </w:rPr>
              <w:t>公募</w:t>
            </w:r>
          </w:p>
        </w:tc>
      </w:tr>
      <w:tr w14:paraId="165822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FC284ED">
            <w:pPr>
              <w:rPr>
                <w:rFonts w:hint="eastAsia" w:ascii="楷体" w:hAnsi="楷体" w:eastAsia="楷体" w:cs="楷体"/>
                <w:b/>
                <w:bCs/>
                <w:highlight w:val="none"/>
              </w:rPr>
            </w:pPr>
            <w:r>
              <w:rPr>
                <w:rFonts w:hint="eastAsia" w:ascii="楷体" w:hAnsi="楷体" w:eastAsia="楷体" w:cs="楷体"/>
                <w:b/>
                <w:bCs/>
                <w:highlight w:val="none"/>
              </w:rPr>
              <w:t>产品运作方式</w:t>
            </w:r>
          </w:p>
        </w:tc>
        <w:tc>
          <w:tcPr>
            <w:tcW w:w="6146" w:type="dxa"/>
          </w:tcPr>
          <w:p w14:paraId="6140FE90">
            <w:pPr>
              <w:rPr>
                <w:rFonts w:hint="eastAsia" w:ascii="楷体" w:hAnsi="楷体" w:eastAsia="楷体" w:cs="楷体"/>
                <w:highlight w:val="none"/>
              </w:rPr>
            </w:pPr>
            <w:r>
              <w:rPr>
                <w:rFonts w:hint="eastAsia" w:ascii="楷体" w:hAnsi="楷体" w:eastAsia="楷体" w:cs="楷体"/>
                <w:highlight w:val="none"/>
              </w:rPr>
              <w:t>封闭式</w:t>
            </w:r>
          </w:p>
        </w:tc>
      </w:tr>
      <w:tr w14:paraId="340234C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09AF4DF4">
            <w:pPr>
              <w:rPr>
                <w:rFonts w:hint="eastAsia" w:ascii="楷体" w:hAnsi="楷体" w:eastAsia="楷体" w:cs="楷体"/>
                <w:b/>
                <w:bCs/>
              </w:rPr>
            </w:pPr>
            <w:r>
              <w:rPr>
                <w:rFonts w:hint="eastAsia" w:ascii="楷体" w:hAnsi="楷体" w:eastAsia="楷体" w:cs="楷体"/>
                <w:b/>
                <w:bCs/>
              </w:rPr>
              <w:t>产品类型</w:t>
            </w:r>
          </w:p>
        </w:tc>
        <w:tc>
          <w:tcPr>
            <w:tcW w:w="6146" w:type="dxa"/>
          </w:tcPr>
          <w:p w14:paraId="291FBA5E">
            <w:pPr>
              <w:rPr>
                <w:rFonts w:hint="eastAsia" w:ascii="楷体" w:hAnsi="楷体" w:eastAsia="楷体" w:cs="楷体"/>
                <w:b/>
                <w:bCs/>
              </w:rPr>
            </w:pPr>
            <w:r>
              <w:rPr>
                <w:rFonts w:hint="eastAsia" w:ascii="楷体" w:hAnsi="楷体" w:eastAsia="楷体" w:cs="楷体"/>
                <w:b/>
                <w:bCs/>
              </w:rPr>
              <w:t>固定收益类</w:t>
            </w:r>
          </w:p>
          <w:p w14:paraId="53F12FC3">
            <w:pPr>
              <w:rPr>
                <w:rFonts w:hint="eastAsia" w:ascii="楷体" w:hAnsi="楷体" w:eastAsia="楷体" w:cs="楷体"/>
                <w:b/>
                <w:bCs/>
              </w:rPr>
            </w:pPr>
            <w:r>
              <w:rPr>
                <w:rFonts w:hint="eastAsia" w:ascii="楷体" w:hAnsi="楷体" w:eastAsia="楷体" w:cs="楷体"/>
                <w:b w:val="0"/>
                <w:bCs w:val="0"/>
              </w:rPr>
              <w:t>固定收益类理财产品是指投资于存款、债券等债权类资产的比例不低于80%的理财产品。</w:t>
            </w:r>
          </w:p>
        </w:tc>
      </w:tr>
      <w:tr w14:paraId="00A1738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2CD456A1">
            <w:pPr>
              <w:rPr>
                <w:rFonts w:hint="eastAsia" w:ascii="楷体" w:hAnsi="楷体" w:eastAsia="楷体" w:cs="楷体"/>
                <w:b/>
                <w:bCs/>
              </w:rPr>
            </w:pPr>
            <w:r>
              <w:rPr>
                <w:rFonts w:hint="eastAsia" w:ascii="楷体" w:hAnsi="楷体" w:eastAsia="楷体" w:cs="楷体"/>
                <w:b/>
                <w:bCs/>
              </w:rPr>
              <w:t>产品收益类型</w:t>
            </w:r>
          </w:p>
        </w:tc>
        <w:tc>
          <w:tcPr>
            <w:tcW w:w="6146" w:type="dxa"/>
          </w:tcPr>
          <w:p w14:paraId="7B20ABBB">
            <w:pPr>
              <w:rPr>
                <w:rFonts w:hint="eastAsia" w:ascii="楷体" w:hAnsi="楷体" w:eastAsia="楷体" w:cs="楷体"/>
                <w:b/>
                <w:bCs/>
              </w:rPr>
            </w:pPr>
            <w:r>
              <w:rPr>
                <w:rFonts w:hint="eastAsia" w:ascii="楷体" w:hAnsi="楷体" w:eastAsia="楷体" w:cs="楷体"/>
                <w:b/>
                <w:bCs/>
                <w:color w:val="C00000"/>
              </w:rPr>
              <w:t>非保本浮动收益型</w:t>
            </w:r>
          </w:p>
        </w:tc>
      </w:tr>
      <w:tr w14:paraId="10002E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15C62719">
            <w:pPr>
              <w:rPr>
                <w:rFonts w:hint="eastAsia" w:ascii="楷体" w:hAnsi="楷体" w:eastAsia="楷体" w:cs="楷体"/>
                <w:b/>
                <w:bCs/>
              </w:rPr>
            </w:pPr>
            <w:r>
              <w:rPr>
                <w:rFonts w:hint="eastAsia" w:ascii="楷体" w:hAnsi="楷体" w:eastAsia="楷体" w:cs="楷体"/>
                <w:b/>
                <w:bCs/>
              </w:rPr>
              <w:t>投资及收益币种</w:t>
            </w:r>
          </w:p>
        </w:tc>
        <w:tc>
          <w:tcPr>
            <w:tcW w:w="6146" w:type="dxa"/>
          </w:tcPr>
          <w:p w14:paraId="4AF59605">
            <w:pPr>
              <w:rPr>
                <w:rFonts w:hint="eastAsia" w:ascii="楷体" w:hAnsi="楷体" w:eastAsia="楷体" w:cs="楷体"/>
                <w:b/>
                <w:bCs/>
              </w:rPr>
            </w:pPr>
            <w:r>
              <w:rPr>
                <w:rFonts w:hint="eastAsia" w:ascii="楷体" w:hAnsi="楷体" w:eastAsia="楷体" w:cs="楷体"/>
              </w:rPr>
              <w:t>人民币</w:t>
            </w:r>
          </w:p>
        </w:tc>
      </w:tr>
      <w:tr w14:paraId="59B9FE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11CED05F">
            <w:pPr>
              <w:rPr>
                <w:rFonts w:hint="eastAsia" w:ascii="楷体" w:hAnsi="楷体" w:eastAsia="楷体" w:cs="楷体"/>
                <w:b/>
                <w:bCs/>
              </w:rPr>
            </w:pPr>
            <w:r>
              <w:rPr>
                <w:rFonts w:hint="eastAsia" w:ascii="楷体" w:hAnsi="楷体" w:eastAsia="楷体" w:cs="楷体"/>
                <w:b/>
                <w:bCs/>
              </w:rPr>
              <w:t>产品风险评级</w:t>
            </w:r>
          </w:p>
        </w:tc>
        <w:tc>
          <w:tcPr>
            <w:tcW w:w="6146" w:type="dxa"/>
          </w:tcPr>
          <w:p w14:paraId="1017DEA5">
            <w:pPr>
              <w:rPr>
                <w:rFonts w:hint="eastAsia" w:ascii="楷体" w:hAnsi="楷体" w:eastAsia="楷体" w:cs="楷体"/>
                <w:b/>
                <w:bCs/>
              </w:rPr>
            </w:pPr>
            <w:r>
              <w:rPr>
                <w:rFonts w:hint="eastAsia" w:ascii="楷体" w:hAnsi="楷体" w:eastAsia="楷体" w:cs="楷体"/>
              </w:rPr>
              <w:t>本产品管理人内部评级为</w:t>
            </w:r>
            <w:r>
              <w:rPr>
                <w:rFonts w:hint="eastAsia" w:ascii="楷体" w:hAnsi="楷体" w:eastAsia="楷体" w:cs="楷体"/>
                <w:b/>
                <w:bCs/>
                <w:color w:val="C00000"/>
              </w:rPr>
              <w:t>中低风险（二级风险）</w:t>
            </w:r>
            <w:r>
              <w:rPr>
                <w:rFonts w:hint="eastAsia" w:ascii="楷体" w:hAnsi="楷体" w:eastAsia="楷体" w:cs="楷体"/>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tc>
      </w:tr>
      <w:tr w14:paraId="52B3F2E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17A68FD">
            <w:pPr>
              <w:rPr>
                <w:rFonts w:hint="eastAsia" w:ascii="楷体" w:hAnsi="楷体" w:eastAsia="楷体" w:cs="楷体"/>
                <w:b/>
                <w:bCs/>
              </w:rPr>
            </w:pPr>
            <w:r>
              <w:rPr>
                <w:rFonts w:hint="eastAsia" w:ascii="楷体" w:hAnsi="楷体" w:eastAsia="楷体" w:cs="楷体"/>
                <w:b/>
                <w:bCs/>
              </w:rPr>
              <w:t>销售对象</w:t>
            </w:r>
          </w:p>
        </w:tc>
        <w:tc>
          <w:tcPr>
            <w:tcW w:w="6146" w:type="dxa"/>
          </w:tcPr>
          <w:p w14:paraId="2B126E48">
            <w:pPr>
              <w:rPr>
                <w:rFonts w:hint="eastAsia" w:ascii="楷体" w:hAnsi="楷体" w:eastAsia="楷体" w:cs="楷体"/>
              </w:rPr>
            </w:pPr>
            <w:r>
              <w:rPr>
                <w:rFonts w:hint="eastAsia" w:ascii="楷体" w:hAnsi="楷体" w:eastAsia="楷体" w:cs="楷体"/>
              </w:rPr>
              <w:t>本产品适合以下类型投资者：</w:t>
            </w:r>
          </w:p>
          <w:p w14:paraId="375742BE">
            <w:pPr>
              <w:rPr>
                <w:rFonts w:hint="eastAsia" w:ascii="楷体" w:hAnsi="楷体" w:eastAsia="楷体" w:cs="楷体"/>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w:t>
            </w:r>
            <w:r>
              <w:rPr>
                <w:rFonts w:hint="eastAsia" w:ascii="楷体" w:hAnsi="楷体" w:eastAsia="楷体" w:cs="楷体"/>
              </w:rPr>
              <w:t>【（客户风险承受能力评级为稳健型,平衡型,成长型,进取型）】</w:t>
            </w:r>
          </w:p>
          <w:p w14:paraId="37139E5F">
            <w:pPr>
              <w:rPr>
                <w:rFonts w:hint="eastAsia" w:ascii="楷体" w:hAnsi="楷体" w:eastAsia="楷体" w:cs="楷体"/>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tc>
      </w:tr>
      <w:tr w14:paraId="0AFCD0A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F48A450">
            <w:pPr>
              <w:rPr>
                <w:rFonts w:hint="eastAsia" w:ascii="楷体" w:hAnsi="楷体" w:eastAsia="楷体" w:cs="楷体"/>
                <w:b/>
                <w:bCs/>
              </w:rPr>
            </w:pPr>
            <w:r>
              <w:rPr>
                <w:rFonts w:hint="eastAsia" w:ascii="楷体" w:hAnsi="楷体" w:eastAsia="楷体" w:cs="楷体"/>
                <w:b/>
                <w:bCs/>
              </w:rPr>
              <w:t>销售场景</w:t>
            </w:r>
          </w:p>
        </w:tc>
        <w:tc>
          <w:tcPr>
            <w:tcW w:w="6146" w:type="dxa"/>
          </w:tcPr>
          <w:p w14:paraId="4D572E65">
            <w:pPr>
              <w:rPr>
                <w:rFonts w:hint="eastAsia" w:ascii="楷体" w:hAnsi="楷体" w:eastAsia="楷体" w:cs="楷体"/>
              </w:rPr>
            </w:pPr>
            <w:r>
              <w:rPr>
                <w:rFonts w:hint="eastAsia" w:ascii="楷体" w:hAnsi="楷体" w:eastAsia="楷体" w:cs="楷体"/>
              </w:rPr>
              <w:t>本产品可在销售机构线上渠道</w:t>
            </w:r>
            <w:r>
              <w:rPr>
                <w:rFonts w:hint="eastAsia" w:ascii="楷体" w:hAnsi="楷体" w:eastAsia="楷体" w:cs="楷体"/>
                <w:lang w:val="en-US" w:eastAsia="zh-CN"/>
              </w:rPr>
              <w:t>或</w:t>
            </w:r>
            <w:r>
              <w:rPr>
                <w:rFonts w:hint="eastAsia" w:ascii="楷体" w:hAnsi="楷体" w:eastAsia="楷体" w:cs="楷体"/>
              </w:rPr>
              <w:t xml:space="preserve">线下渠道等场景进行销售。 </w:t>
            </w:r>
          </w:p>
          <w:p w14:paraId="1D595A15">
            <w:pPr>
              <w:rPr>
                <w:rFonts w:hint="eastAsia" w:ascii="楷体" w:hAnsi="楷体" w:eastAsia="楷体" w:cs="楷体"/>
              </w:rPr>
            </w:pPr>
            <w:r>
              <w:rPr>
                <w:rFonts w:hint="eastAsia" w:ascii="楷体" w:hAnsi="楷体" w:eastAsia="楷体" w:cs="楷体"/>
                <w:b/>
                <w:bCs/>
              </w:rPr>
              <w:t>特别提示：</w:t>
            </w:r>
            <w:r>
              <w:rPr>
                <w:rFonts w:hint="eastAsia" w:ascii="楷体" w:hAnsi="楷体" w:eastAsia="楷体" w:cs="楷体"/>
              </w:rPr>
              <w:t xml:space="preserve">当销售机构销售产品风险评级为 R4 及以上的理财产品时，可在销售机构的营业网点进行，也可依据销售机构的政策在营业网点之外的其他场景进行（具体政策以销售机构公布执行 </w:t>
            </w:r>
          </w:p>
          <w:p w14:paraId="40826E3A">
            <w:pPr>
              <w:rPr>
                <w:rFonts w:hint="eastAsia" w:ascii="楷体" w:hAnsi="楷体" w:eastAsia="楷体" w:cs="楷体"/>
              </w:rPr>
            </w:pPr>
            <w:r>
              <w:rPr>
                <w:rFonts w:hint="eastAsia" w:ascii="楷体" w:hAnsi="楷体" w:eastAsia="楷体" w:cs="楷体"/>
              </w:rPr>
              <w:t>的为准）。</w:t>
            </w:r>
          </w:p>
        </w:tc>
      </w:tr>
      <w:tr w14:paraId="3143B4E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33F38498">
            <w:pPr>
              <w:rPr>
                <w:rFonts w:hint="eastAsia" w:ascii="楷体" w:hAnsi="楷体" w:eastAsia="楷体" w:cs="楷体"/>
                <w:b/>
                <w:bCs/>
              </w:rPr>
            </w:pPr>
            <w:r>
              <w:rPr>
                <w:rFonts w:hint="eastAsia" w:ascii="楷体" w:hAnsi="楷体" w:eastAsia="楷体" w:cs="楷体"/>
                <w:b/>
                <w:bCs/>
              </w:rPr>
              <w:t>销售机构</w:t>
            </w:r>
          </w:p>
        </w:tc>
        <w:tc>
          <w:tcPr>
            <w:tcW w:w="6146" w:type="dxa"/>
          </w:tcPr>
          <w:p w14:paraId="28FCBFF8">
            <w:pPr>
              <w:rPr>
                <w:rFonts w:hint="eastAsia" w:ascii="楷体" w:hAnsi="楷体" w:eastAsia="楷体" w:cs="楷体"/>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14:paraId="213E70AC">
            <w:pPr>
              <w:rPr>
                <w:rFonts w:hint="eastAsia" w:ascii="楷体" w:hAnsi="楷体" w:eastAsia="楷体" w:cs="楷体"/>
              </w:rPr>
            </w:pPr>
            <w:r>
              <w:rPr>
                <w:rFonts w:hint="eastAsia" w:ascii="楷体" w:hAnsi="楷体" w:eastAsia="楷体" w:cs="楷体"/>
              </w:rPr>
              <w:t xml:space="preserve">本产品由产品管理人销售。 </w:t>
            </w:r>
          </w:p>
          <w:p w14:paraId="723CBB96">
            <w:pPr>
              <w:rPr>
                <w:rFonts w:hint="eastAsia" w:ascii="楷体" w:hAnsi="楷体" w:eastAsia="楷体" w:cs="楷体"/>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r>
              <w:rPr>
                <w:rFonts w:hint="eastAsia" w:ascii="楷体" w:hAnsi="楷体" w:eastAsia="楷体" w:cs="楷体"/>
              </w:rPr>
              <w:t xml:space="preserve"> </w:t>
            </w:r>
          </w:p>
          <w:p w14:paraId="70B486D4">
            <w:pPr>
              <w:rPr>
                <w:rFonts w:hint="eastAsia" w:ascii="楷体" w:hAnsi="楷体" w:eastAsia="楷体" w:cs="楷体"/>
              </w:rPr>
            </w:pPr>
            <w:r>
              <w:rPr>
                <w:rFonts w:hint="eastAsia" w:ascii="楷体" w:hAnsi="楷体" w:eastAsia="楷体" w:cs="楷体"/>
              </w:rPr>
              <w:t xml:space="preserve">本产品由代理销售机构销售。 </w:t>
            </w:r>
          </w:p>
          <w:p w14:paraId="162033BA">
            <w:pPr>
              <w:rPr>
                <w:rFonts w:hint="eastAsia" w:ascii="楷体" w:hAnsi="楷体" w:eastAsia="楷体" w:cs="楷体"/>
                <w:b/>
                <w:bCs/>
              </w:rPr>
            </w:pPr>
            <w:r>
              <w:rPr>
                <w:rFonts w:hint="eastAsia" w:ascii="楷体" w:hAnsi="楷体" w:eastAsia="楷体" w:cs="楷体"/>
              </w:rPr>
              <w:t>代理销售机构合作业务情况以产品管理人公告为准，具体代理销售机构以《</w:t>
            </w:r>
            <w:r>
              <w:rPr>
                <w:rFonts w:hint="eastAsia" w:ascii="楷体" w:hAnsi="楷体" w:eastAsia="楷体" w:cs="楷体"/>
                <w:szCs w:val="21"/>
              </w:rPr>
              <w:t>销售（代理销售）协议书</w:t>
            </w:r>
            <w:r>
              <w:rPr>
                <w:rFonts w:hint="eastAsia" w:ascii="楷体" w:hAnsi="楷体" w:eastAsia="楷体" w:cs="楷体"/>
              </w:rPr>
              <w:t>》为准。</w:t>
            </w:r>
          </w:p>
        </w:tc>
      </w:tr>
      <w:tr w14:paraId="40E891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405D9A1">
            <w:pPr>
              <w:rPr>
                <w:rFonts w:hint="eastAsia" w:ascii="楷体" w:hAnsi="楷体" w:eastAsia="楷体" w:cs="楷体"/>
                <w:b/>
                <w:bCs/>
              </w:rPr>
            </w:pPr>
            <w:r>
              <w:rPr>
                <w:rFonts w:hint="eastAsia" w:ascii="楷体" w:hAnsi="楷体" w:eastAsia="楷体" w:cs="楷体"/>
                <w:b/>
                <w:bCs/>
              </w:rPr>
              <w:t>发售对象</w:t>
            </w:r>
          </w:p>
        </w:tc>
        <w:tc>
          <w:tcPr>
            <w:tcW w:w="6146" w:type="dxa"/>
          </w:tcPr>
          <w:p w14:paraId="5FBC711A">
            <w:pPr>
              <w:numPr>
                <w:ilvl w:val="12"/>
                <w:numId w:val="0"/>
              </w:numPr>
              <w:rPr>
                <w:rFonts w:hint="eastAsia" w:ascii="楷体" w:hAnsi="楷体" w:eastAsia="楷体" w:cs="楷体"/>
              </w:rPr>
            </w:pPr>
            <w:r>
              <w:rPr>
                <w:rFonts w:hint="eastAsia" w:ascii="楷体" w:hAnsi="楷体" w:eastAsia="楷体" w:cs="楷体"/>
              </w:rPr>
              <w:t>【D】类份额：【个人客户、机构客户】</w:t>
            </w:r>
          </w:p>
        </w:tc>
      </w:tr>
      <w:tr w14:paraId="44F2A9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05A4A69">
            <w:pPr>
              <w:rPr>
                <w:rFonts w:hint="eastAsia" w:ascii="楷体" w:hAnsi="楷体" w:eastAsia="楷体" w:cs="楷体"/>
                <w:b/>
                <w:bCs/>
              </w:rPr>
            </w:pPr>
            <w:r>
              <w:rPr>
                <w:rFonts w:hint="eastAsia" w:ascii="楷体" w:hAnsi="楷体" w:eastAsia="楷体" w:cs="楷体"/>
                <w:b/>
                <w:bCs/>
              </w:rPr>
              <w:t>发行规模上限</w:t>
            </w:r>
          </w:p>
        </w:tc>
        <w:tc>
          <w:tcPr>
            <w:tcW w:w="6146" w:type="dxa"/>
          </w:tcPr>
          <w:p w14:paraId="3596A0D7">
            <w:pPr>
              <w:numPr>
                <w:ilvl w:val="12"/>
                <w:numId w:val="0"/>
              </w:numPr>
              <w:rPr>
                <w:rFonts w:hint="eastAsia" w:ascii="楷体" w:hAnsi="楷体" w:eastAsia="楷体" w:cs="楷体"/>
              </w:rPr>
            </w:pPr>
            <w:r>
              <w:rPr>
                <w:rFonts w:hint="eastAsia" w:ascii="楷体" w:hAnsi="楷体" w:eastAsia="楷体" w:cs="楷体"/>
              </w:rPr>
              <w:t>发行规模上限【30.00亿元】。</w:t>
            </w:r>
          </w:p>
          <w:p w14:paraId="5CA3DD13">
            <w:pPr>
              <w:numPr>
                <w:ilvl w:val="12"/>
                <w:numId w:val="0"/>
              </w:numPr>
              <w:rPr>
                <w:rFonts w:hint="eastAsia" w:ascii="楷体" w:hAnsi="楷体" w:eastAsia="楷体" w:cs="楷体"/>
              </w:rPr>
            </w:pPr>
            <w:r>
              <w:rPr>
                <w:rFonts w:hint="eastAsia" w:ascii="楷体" w:hAnsi="楷体" w:eastAsia="楷体" w:cs="楷体"/>
              </w:rPr>
              <w:t>若产品募集金额超出规模上限，管理人有权暂停接受认购申请。管理人有权对本理财产品规模上限进行调整。</w:t>
            </w:r>
          </w:p>
          <w:p w14:paraId="53967C88">
            <w:pPr>
              <w:numPr>
                <w:ilvl w:val="12"/>
                <w:numId w:val="0"/>
              </w:numPr>
              <w:rPr>
                <w:rFonts w:hint="eastAsia" w:ascii="楷体" w:hAnsi="楷体" w:eastAsia="楷体" w:cs="楷体"/>
              </w:rPr>
            </w:pPr>
            <w:r>
              <w:rPr>
                <w:rFonts w:hint="eastAsia" w:ascii="楷体" w:hAnsi="楷体" w:eastAsia="楷体" w:cs="楷体"/>
                <w:b/>
                <w:bCs/>
              </w:rPr>
              <w:t>销售机构实际销售规模限制可能与《产品说明书》不一致，具体以销售机构规则为准。</w:t>
            </w:r>
          </w:p>
        </w:tc>
      </w:tr>
      <w:tr w14:paraId="4906BAA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13DA4366">
            <w:pPr>
              <w:rPr>
                <w:rFonts w:hint="eastAsia" w:ascii="楷体" w:hAnsi="楷体" w:eastAsia="楷体" w:cs="楷体"/>
                <w:b/>
                <w:bCs/>
              </w:rPr>
            </w:pPr>
            <w:r>
              <w:rPr>
                <w:rFonts w:hint="eastAsia" w:ascii="楷体" w:hAnsi="楷体" w:eastAsia="楷体" w:cs="楷体"/>
                <w:b/>
                <w:bCs/>
              </w:rPr>
              <w:t>最低发行规模</w:t>
            </w:r>
          </w:p>
        </w:tc>
        <w:tc>
          <w:tcPr>
            <w:tcW w:w="6146" w:type="dxa"/>
          </w:tcPr>
          <w:p w14:paraId="0139AAE3">
            <w:pPr>
              <w:numPr>
                <w:ilvl w:val="12"/>
                <w:numId w:val="0"/>
              </w:numPr>
              <w:rPr>
                <w:rFonts w:hint="eastAsia" w:ascii="楷体" w:hAnsi="楷体" w:eastAsia="楷体" w:cs="楷体"/>
              </w:rPr>
            </w:pPr>
            <w:r>
              <w:rPr>
                <w:rFonts w:hint="eastAsia" w:ascii="楷体" w:hAnsi="楷体" w:eastAsia="楷体" w:cs="楷体"/>
              </w:rPr>
              <w:t>本理财产品最低发行规模为【1.00万元】。</w:t>
            </w:r>
          </w:p>
        </w:tc>
      </w:tr>
      <w:tr w14:paraId="7DC52CC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77B48A84">
            <w:pPr>
              <w:rPr>
                <w:rFonts w:hint="eastAsia" w:ascii="楷体" w:hAnsi="楷体" w:eastAsia="楷体" w:cs="楷体"/>
                <w:b/>
                <w:bCs/>
              </w:rPr>
            </w:pPr>
            <w:r>
              <w:rPr>
                <w:rFonts w:hint="eastAsia" w:ascii="楷体" w:hAnsi="楷体" w:eastAsia="楷体" w:cs="楷体"/>
                <w:b/>
                <w:bCs/>
              </w:rPr>
              <w:t>产品期限</w:t>
            </w:r>
          </w:p>
        </w:tc>
        <w:tc>
          <w:tcPr>
            <w:tcW w:w="6146" w:type="dxa"/>
          </w:tcPr>
          <w:p w14:paraId="0F498838">
            <w:pPr>
              <w:rPr>
                <w:rFonts w:hint="eastAsia" w:ascii="楷体" w:hAnsi="楷体" w:eastAsia="楷体" w:cs="楷体"/>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cs="楷体"/>
                <w:b w:val="0"/>
                <w:bCs w:val="0"/>
                <w:color w:val="auto"/>
                <w:u w:val="none"/>
                <w:lang w:val="en-US" w:eastAsia="zh-CN"/>
              </w:rPr>
              <w:t>【有固定期限】</w:t>
            </w:r>
            <w:r>
              <w:rPr>
                <w:rFonts w:hint="eastAsia" w:ascii="楷体" w:hAnsi="楷体" w:eastAsia="楷体" w:cs="楷体"/>
              </w:rPr>
              <w:t>【217天】</w:t>
            </w:r>
          </w:p>
          <w:p w14:paraId="015F9367">
            <w:pPr>
              <w:rPr>
                <w:rFonts w:hint="eastAsia" w:ascii="楷体" w:hAnsi="楷体" w:eastAsia="楷体" w:cs="楷体"/>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cs="楷体"/>
                <w:b w:val="0"/>
                <w:bCs w:val="0"/>
                <w:color w:val="auto"/>
                <w:u w:val="none"/>
                <w:lang w:eastAsia="zh-CN"/>
              </w:rPr>
              <w:t>【无固定期限】</w:t>
            </w:r>
          </w:p>
        </w:tc>
      </w:tr>
      <w:tr w14:paraId="41233A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1AFC99F5">
            <w:pPr>
              <w:rPr>
                <w:rFonts w:hint="eastAsia" w:ascii="楷体" w:hAnsi="楷体" w:eastAsia="楷体" w:cs="楷体"/>
                <w:b/>
                <w:bCs/>
                <w:color w:val="FF0000"/>
                <w:highlight w:val="none"/>
              </w:rPr>
            </w:pPr>
            <w:r>
              <w:rPr>
                <w:rFonts w:hint="eastAsia" w:ascii="楷体" w:hAnsi="楷体" w:eastAsia="楷体" w:cs="楷体"/>
                <w:b/>
                <w:bCs/>
                <w:highlight w:val="none"/>
              </w:rPr>
              <w:t>产品认购期</w:t>
            </w:r>
          </w:p>
        </w:tc>
        <w:tc>
          <w:tcPr>
            <w:tcW w:w="6146" w:type="dxa"/>
          </w:tcPr>
          <w:p w14:paraId="589D2997">
            <w:pPr>
              <w:rPr>
                <w:rFonts w:hint="eastAsia" w:ascii="楷体" w:hAnsi="楷体" w:eastAsia="楷体" w:cs="楷体"/>
                <w:highlight w:val="none"/>
              </w:rPr>
            </w:pPr>
            <w:r>
              <w:rPr>
                <w:rFonts w:hint="eastAsia" w:ascii="楷体" w:hAnsi="楷体" w:eastAsia="楷体" w:cs="楷体"/>
                <w:highlight w:val="none"/>
              </w:rPr>
              <w:t>【2026】年【02】月【26】日【08:00】至【2026】年【03】月【05】日【19:00】。</w:t>
            </w:r>
            <w:r>
              <w:rPr>
                <w:rFonts w:hint="eastAsia" w:ascii="楷体" w:hAnsi="楷体" w:eastAsia="楷体" w:cs="楷体"/>
                <w:b/>
                <w:bCs/>
                <w:highlight w:val="none"/>
              </w:rPr>
              <w:t>销售机构实际受理时间可能与《产品说明书》不一致，具体以销售机构</w:t>
            </w:r>
            <w:r>
              <w:rPr>
                <w:rFonts w:hint="eastAsia" w:ascii="楷体" w:hAnsi="楷体" w:eastAsia="楷体" w:cs="楷体"/>
                <w:b/>
                <w:bCs/>
                <w:highlight w:val="none"/>
                <w:lang w:val="en-US" w:eastAsia="zh-CN"/>
              </w:rPr>
              <w:t>规则</w:t>
            </w:r>
            <w:r>
              <w:rPr>
                <w:rFonts w:hint="eastAsia" w:ascii="楷体" w:hAnsi="楷体" w:eastAsia="楷体" w:cs="楷体"/>
                <w:b/>
                <w:bCs/>
                <w:highlight w:val="none"/>
              </w:rPr>
              <w:t>为准。</w:t>
            </w:r>
            <w:r>
              <w:rPr>
                <w:rFonts w:hint="eastAsia" w:ascii="楷体" w:hAnsi="楷体" w:eastAsia="楷体" w:cs="楷体"/>
                <w:highlight w:val="none"/>
              </w:rPr>
              <w:t>管理人可在认购期内公告延长或提前终止产品认购期，实际认购期以管理人公告为准。</w:t>
            </w:r>
          </w:p>
        </w:tc>
      </w:tr>
      <w:tr w14:paraId="748D28A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0E96CB30">
            <w:pPr>
              <w:rPr>
                <w:rFonts w:hint="eastAsia" w:ascii="楷体" w:hAnsi="楷体" w:eastAsia="楷体" w:cs="楷体"/>
                <w:b/>
                <w:bCs/>
              </w:rPr>
            </w:pPr>
            <w:r>
              <w:rPr>
                <w:rFonts w:hint="eastAsia" w:ascii="楷体" w:hAnsi="楷体" w:eastAsia="楷体" w:cs="楷体"/>
                <w:b/>
                <w:bCs/>
              </w:rPr>
              <w:t>产品成立日</w:t>
            </w:r>
          </w:p>
        </w:tc>
        <w:tc>
          <w:tcPr>
            <w:tcW w:w="6146" w:type="dxa"/>
          </w:tcPr>
          <w:p w14:paraId="47B35BB1">
            <w:pPr>
              <w:rPr>
                <w:rFonts w:hint="eastAsia" w:ascii="楷体" w:hAnsi="楷体" w:eastAsia="楷体" w:cs="楷体"/>
              </w:rPr>
            </w:pPr>
            <w:r>
              <w:rPr>
                <w:rFonts w:hint="eastAsia" w:ascii="楷体" w:hAnsi="楷体" w:eastAsia="楷体" w:cs="楷体"/>
              </w:rPr>
              <w:t>【2026】年【03】月【06】日</w:t>
            </w:r>
          </w:p>
          <w:p w14:paraId="1875F999">
            <w:pPr>
              <w:rPr>
                <w:rFonts w:hint="eastAsia" w:ascii="楷体" w:hAnsi="楷体" w:eastAsia="楷体" w:cs="楷体"/>
              </w:rPr>
            </w:pPr>
            <w:r>
              <w:rPr>
                <w:rFonts w:hint="eastAsia" w:ascii="楷体" w:hAnsi="楷体" w:eastAsia="楷体" w:cs="楷体"/>
              </w:rPr>
              <w:t>（如遇非【工作日】顺延至下一个【工作日】）。</w:t>
            </w:r>
          </w:p>
          <w:p w14:paraId="71668185">
            <w:pPr>
              <w:rPr>
                <w:rFonts w:hint="eastAsia" w:ascii="楷体" w:hAnsi="楷体" w:eastAsia="楷体" w:cs="楷体"/>
              </w:rPr>
            </w:pPr>
            <w:r>
              <w:rPr>
                <w:rFonts w:hint="eastAsia" w:ascii="楷体" w:hAnsi="楷体" w:eastAsia="楷体" w:cs="楷体"/>
              </w:rPr>
              <w:t>产品管理人有权根据实际募集情况提前或延后产品成立日期，并相应调整其他产品要素，将依约定进行公告。</w:t>
            </w:r>
          </w:p>
        </w:tc>
      </w:tr>
      <w:tr w14:paraId="3A981D8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0440A84">
            <w:pPr>
              <w:rPr>
                <w:rFonts w:hint="eastAsia" w:ascii="楷体" w:hAnsi="楷体" w:eastAsia="楷体" w:cs="楷体"/>
                <w:b/>
                <w:bCs/>
              </w:rPr>
            </w:pPr>
            <w:r>
              <w:rPr>
                <w:rFonts w:hint="eastAsia" w:ascii="楷体" w:hAnsi="楷体" w:eastAsia="楷体" w:cs="楷体"/>
                <w:b/>
                <w:bCs/>
              </w:rPr>
              <w:t>产品预计到期日</w:t>
            </w:r>
          </w:p>
        </w:tc>
        <w:tc>
          <w:tcPr>
            <w:tcW w:w="6146" w:type="dxa"/>
          </w:tcPr>
          <w:p w14:paraId="7AA5132A">
            <w:pPr>
              <w:rPr>
                <w:rFonts w:hint="eastAsia" w:ascii="楷体" w:hAnsi="楷体" w:eastAsia="楷体" w:cs="楷体"/>
              </w:rPr>
            </w:pPr>
            <w:r>
              <w:rPr>
                <w:rFonts w:hint="eastAsia" w:ascii="楷体" w:hAnsi="楷体" w:eastAsia="楷体" w:cs="楷体"/>
              </w:rPr>
              <w:t>【2026】年【10】月【09】日</w:t>
            </w:r>
          </w:p>
          <w:p w14:paraId="43F9DBE7">
            <w:pPr>
              <w:rPr>
                <w:rFonts w:hint="eastAsia" w:ascii="楷体" w:hAnsi="楷体" w:eastAsia="楷体" w:cs="楷体"/>
              </w:rPr>
            </w:pPr>
            <w:r>
              <w:rPr>
                <w:rFonts w:hint="eastAsia" w:ascii="楷体" w:hAnsi="楷体" w:eastAsia="楷体" w:cs="楷体"/>
              </w:rPr>
              <w:t>(如遇非【工作日】顺延至下一个【工作日】)。</w:t>
            </w:r>
          </w:p>
          <w:p w14:paraId="05D61195">
            <w:pPr>
              <w:rPr>
                <w:rFonts w:hint="eastAsia" w:ascii="楷体" w:hAnsi="楷体" w:eastAsia="楷体" w:cs="楷体"/>
              </w:rPr>
            </w:pPr>
            <w:r>
              <w:rPr>
                <w:rFonts w:hint="eastAsia" w:ascii="楷体" w:hAnsi="楷体" w:eastAsia="楷体" w:cs="楷体"/>
              </w:rPr>
              <w:t>在理财产品存续期内，管理人有权根据本《产品说明书》约定事由宣布提前或延期终止本理财产品。如管理人提前终止或延长理财产品期限，将提前2个工作日按《产品说明书》“信息披露”约定的方式向投资者披露。</w:t>
            </w:r>
          </w:p>
        </w:tc>
      </w:tr>
      <w:tr w14:paraId="46257CE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02F2D0BD">
            <w:pPr>
              <w:rPr>
                <w:rFonts w:hint="eastAsia" w:ascii="楷体" w:hAnsi="楷体" w:eastAsia="楷体" w:cs="楷体"/>
                <w:b/>
                <w:bCs/>
              </w:rPr>
            </w:pPr>
            <w:r>
              <w:rPr>
                <w:rFonts w:hint="eastAsia" w:ascii="楷体" w:hAnsi="楷体" w:eastAsia="楷体" w:cs="楷体"/>
                <w:b/>
                <w:bCs/>
              </w:rPr>
              <w:t>产品实际到期日</w:t>
            </w:r>
          </w:p>
        </w:tc>
        <w:tc>
          <w:tcPr>
            <w:tcW w:w="6146" w:type="dxa"/>
          </w:tcPr>
          <w:p w14:paraId="4FD341B7">
            <w:pPr>
              <w:rPr>
                <w:rFonts w:hint="eastAsia" w:ascii="楷体" w:hAnsi="楷体" w:eastAsia="楷体" w:cs="楷体"/>
              </w:rPr>
            </w:pPr>
            <w:r>
              <w:rPr>
                <w:rFonts w:hint="eastAsia" w:ascii="楷体" w:hAnsi="楷体" w:eastAsia="楷体" w:cs="楷体"/>
              </w:rPr>
              <w:t>指理财产品实际终止之日，包括理财产品预计到期日，或管理人根据本《产品说明书》约定宣布本理财产品早于理财产品预计到期日而终止之日或宣布本理财产品延长后的终止之日。</w:t>
            </w:r>
          </w:p>
        </w:tc>
      </w:tr>
      <w:tr w14:paraId="2D9AD8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8265E87">
            <w:pPr>
              <w:rPr>
                <w:rFonts w:hint="eastAsia" w:ascii="楷体" w:hAnsi="楷体" w:eastAsia="楷体" w:cs="楷体"/>
                <w:b/>
                <w:bCs/>
                <w:szCs w:val="21"/>
                <w:highlight w:val="none"/>
              </w:rPr>
            </w:pPr>
            <w:r>
              <w:rPr>
                <w:rFonts w:hint="eastAsia" w:ascii="楷体" w:hAnsi="楷体" w:eastAsia="楷体" w:cs="楷体"/>
                <w:b/>
                <w:bCs/>
                <w:szCs w:val="21"/>
                <w:highlight w:val="none"/>
              </w:rPr>
              <w:t>产品估值日</w:t>
            </w:r>
          </w:p>
        </w:tc>
        <w:tc>
          <w:tcPr>
            <w:tcW w:w="6146" w:type="dxa"/>
            <w:vAlign w:val="center"/>
          </w:tcPr>
          <w:p w14:paraId="40ECD295">
            <w:pPr>
              <w:widowControl/>
              <w:jc w:val="left"/>
              <w:rPr>
                <w:rFonts w:hint="eastAsia" w:ascii="楷体" w:hAnsi="楷体" w:eastAsia="楷体" w:cs="楷体"/>
                <w:szCs w:val="21"/>
                <w:highlight w:val="none"/>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highlight w:val="none"/>
              </w:rPr>
              <w:t>。</w:t>
            </w:r>
            <w:r>
              <w:rPr>
                <w:rFonts w:hint="eastAsia" w:ascii="楷体" w:hAnsi="楷体" w:eastAsia="楷体" w:cs="楷体"/>
                <w:highlight w:val="none"/>
              </w:rPr>
              <w:t>管理人在估值日扣除理财产品承担的各项费用、税费（如有）后，计算理财产品份额净值和</w:t>
            </w:r>
            <w:r>
              <w:rPr>
                <w:rFonts w:hint="eastAsia" w:ascii="楷体" w:hAnsi="楷体" w:eastAsia="楷体" w:cs="楷体"/>
                <w:szCs w:val="21"/>
                <w:highlight w:val="none"/>
              </w:rPr>
              <w:t>理财产品份额累计净值</w:t>
            </w:r>
            <w:r>
              <w:rPr>
                <w:rFonts w:hint="eastAsia" w:ascii="楷体" w:hAnsi="楷体" w:eastAsia="楷体" w:cs="楷体"/>
                <w:highlight w:val="none"/>
              </w:rPr>
              <w:t>，并于估值日后</w:t>
            </w:r>
            <w:r>
              <w:rPr>
                <w:rFonts w:hint="eastAsia" w:ascii="楷体" w:hAnsi="楷体" w:eastAsia="楷体" w:cs="楷体"/>
              </w:rPr>
              <w:t>三个工作日</w:t>
            </w:r>
            <w:r>
              <w:rPr>
                <w:rFonts w:hint="eastAsia" w:ascii="楷体" w:hAnsi="楷体" w:eastAsia="楷体" w:cs="楷体"/>
                <w:highlight w:val="none"/>
              </w:rPr>
              <w:t>内通过“信息披露”约定的渠道发布。</w:t>
            </w:r>
          </w:p>
        </w:tc>
      </w:tr>
      <w:tr w14:paraId="333336E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2A9B0513">
            <w:pPr>
              <w:rPr>
                <w:rFonts w:hint="eastAsia" w:ascii="楷体" w:hAnsi="楷体" w:eastAsia="楷体" w:cs="楷体"/>
                <w:b/>
                <w:bCs/>
                <w:szCs w:val="21"/>
              </w:rPr>
            </w:pPr>
            <w:r>
              <w:rPr>
                <w:rFonts w:hint="eastAsia" w:ascii="楷体" w:hAnsi="楷体" w:eastAsia="楷体" w:cs="楷体"/>
                <w:b/>
                <w:bCs/>
                <w:szCs w:val="21"/>
              </w:rPr>
              <w:t>理财产品份额净值</w:t>
            </w:r>
          </w:p>
        </w:tc>
        <w:tc>
          <w:tcPr>
            <w:tcW w:w="6146" w:type="dxa"/>
            <w:vAlign w:val="center"/>
          </w:tcPr>
          <w:p w14:paraId="58A94FAD">
            <w:pPr>
              <w:rPr>
                <w:rFonts w:hint="eastAsia" w:ascii="楷体" w:hAnsi="楷体" w:eastAsia="楷体" w:cs="楷体"/>
                <w:szCs w:val="21"/>
              </w:rPr>
            </w:pPr>
            <w:r>
              <w:rPr>
                <w:rFonts w:hint="eastAsia" w:ascii="楷体" w:hAnsi="楷体" w:eastAsia="楷体" w:cs="楷体"/>
                <w:szCs w:val="21"/>
              </w:rPr>
              <w:t>理财产品份额净值为计提相关费用后的单位理财产品的净值，按去尾法保留小数点后五位，管理人按照该净值对产品的赎回和产品终止时的分配进行确认。管理人有权对以上净值计提方式进行修改，并通过《产品说明书》“信息披露”约定的方式，向投资者披露。</w:t>
            </w:r>
          </w:p>
          <w:p w14:paraId="79339B4C">
            <w:pPr>
              <w:rPr>
                <w:rFonts w:hint="eastAsia" w:ascii="楷体" w:hAnsi="楷体" w:eastAsia="楷体" w:cs="楷体"/>
              </w:rPr>
            </w:pPr>
            <w:r>
              <w:rPr>
                <w:rFonts w:hint="eastAsia" w:ascii="楷体" w:hAnsi="楷体" w:eastAsia="楷体" w:cs="楷体"/>
                <w:szCs w:val="21"/>
              </w:rPr>
              <w:t>产品初始份额净值为1元/份。</w:t>
            </w:r>
          </w:p>
        </w:tc>
      </w:tr>
      <w:tr w14:paraId="43CFD3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3DBEC2C">
            <w:pPr>
              <w:rPr>
                <w:rFonts w:hint="eastAsia" w:ascii="楷体" w:hAnsi="楷体" w:eastAsia="楷体" w:cs="楷体"/>
                <w:b/>
                <w:bCs/>
              </w:rPr>
            </w:pPr>
            <w:r>
              <w:rPr>
                <w:rFonts w:hint="eastAsia" w:ascii="楷体" w:hAnsi="楷体" w:eastAsia="楷体" w:cs="楷体"/>
                <w:b/>
                <w:bCs/>
              </w:rPr>
              <w:t>购买规则</w:t>
            </w:r>
          </w:p>
        </w:tc>
        <w:tc>
          <w:tcPr>
            <w:tcW w:w="6146" w:type="dxa"/>
          </w:tcPr>
          <w:p w14:paraId="3D82FF80">
            <w:pPr>
              <w:numPr>
                <w:ilvl w:val="12"/>
                <w:numId w:val="0"/>
              </w:numPr>
              <w:tabs>
                <w:tab w:val="left" w:pos="360"/>
              </w:tabs>
              <w:rPr>
                <w:rFonts w:hint="eastAsia" w:ascii="楷体" w:hAnsi="楷体" w:eastAsia="楷体" w:cs="楷体"/>
              </w:rPr>
            </w:pPr>
            <w:r>
              <w:rPr>
                <w:rFonts w:hint="eastAsia" w:ascii="楷体" w:hAnsi="楷体" w:eastAsia="楷体" w:cs="楷体"/>
                <w:szCs w:val="21"/>
              </w:rPr>
              <w:t>（适用【D】类份额）</w:t>
            </w:r>
          </w:p>
          <w:p w14:paraId="53B379E3">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1、</w:t>
            </w:r>
            <w:r>
              <w:rPr>
                <w:rFonts w:hint="eastAsia" w:ascii="楷体" w:hAnsi="楷体" w:eastAsia="楷体" w:cs="楷体"/>
              </w:rPr>
              <w:t>本理财产品购买顺序按时间优先原则进行确认。</w:t>
            </w:r>
          </w:p>
          <w:p w14:paraId="532245B4">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2、</w:t>
            </w:r>
            <w:r>
              <w:rPr>
                <w:rFonts w:hint="eastAsia" w:ascii="楷体" w:hAnsi="楷体" w:eastAsia="楷体" w:cs="楷体"/>
              </w:rPr>
              <w:t>本理财产品客户首次购买的最低金额为【1.00元】，超出部分应为【1.00元】的整数倍。最低追加</w:t>
            </w:r>
            <w:r>
              <w:rPr>
                <w:rFonts w:hint="eastAsia" w:ascii="楷体" w:hAnsi="楷体" w:eastAsia="楷体" w:cs="楷体"/>
                <w:lang w:val="en-US" w:eastAsia="zh-CN"/>
              </w:rPr>
              <w:t>认购</w:t>
            </w:r>
            <w:r>
              <w:rPr>
                <w:rFonts w:hint="eastAsia" w:ascii="楷体" w:hAnsi="楷体" w:eastAsia="楷体" w:cs="楷体"/>
              </w:rPr>
              <w:t>金额为【1.00元】，超出部分应为【1.00元】的整数倍。</w:t>
            </w:r>
          </w:p>
          <w:p w14:paraId="5481A16D">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14:paraId="3F3BC42D">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 xml:space="preserve">（1）本理财产品在代理销售机构的实际销售起点金额，因代理销售机构的不同可能存在差异（可能高于销售文件约定的销售起点金额），应当以代理销售机构展示为准。 </w:t>
            </w:r>
          </w:p>
          <w:p w14:paraId="5539418B">
            <w:pPr>
              <w:numPr>
                <w:ilvl w:val="0"/>
                <w:numId w:val="0"/>
              </w:numPr>
              <w:rPr>
                <w:rFonts w:hint="eastAsia" w:ascii="楷体" w:hAnsi="楷体" w:eastAsia="楷体" w:cs="楷体"/>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14:paraId="7DB5A43C">
            <w:pPr>
              <w:tabs>
                <w:tab w:val="left" w:pos="360"/>
              </w:tabs>
              <w:rPr>
                <w:rFonts w:hint="eastAsia" w:ascii="楷体" w:hAnsi="楷体" w:eastAsia="楷体" w:cs="楷体"/>
                <w:szCs w:val="21"/>
                <w:highlight w:val="none"/>
              </w:rPr>
            </w:pPr>
            <w:r>
              <w:rPr>
                <w:rFonts w:hint="eastAsia" w:ascii="楷体" w:hAnsi="楷体" w:eastAsia="楷体" w:cs="楷体"/>
                <w:highlight w:val="none"/>
                <w:lang w:val="en-US" w:eastAsia="zh-CN"/>
              </w:rPr>
              <w:t>3</w:t>
            </w:r>
            <w:r>
              <w:rPr>
                <w:rFonts w:hint="eastAsia" w:ascii="楷体" w:hAnsi="楷体" w:eastAsia="楷体" w:cs="楷体"/>
                <w:highlight w:val="none"/>
              </w:rPr>
              <w:t>、</w:t>
            </w:r>
            <w:r>
              <w:rPr>
                <w:rFonts w:hint="eastAsia" w:ascii="楷体" w:hAnsi="楷体" w:eastAsia="楷体" w:cs="楷体"/>
                <w:szCs w:val="21"/>
                <w:highlight w:val="none"/>
              </w:rPr>
              <w:t>单户累计最大购买金额为【5,000.00万元】。</w:t>
            </w:r>
          </w:p>
          <w:p w14:paraId="40B795BB">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注：本产品单一投资者持有份额不得超过产品总份额50%。</w:t>
            </w:r>
          </w:p>
          <w:p w14:paraId="0BD8CAAC">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（1）投资者认购确认后可能导致其持有份额超过产品总份额50%的，管理人有权拒绝或暂停认购。</w:t>
            </w:r>
          </w:p>
          <w:p w14:paraId="6CFF43EF">
            <w:pPr>
              <w:tabs>
                <w:tab w:val="left" w:pos="360"/>
              </w:tabs>
              <w:rPr>
                <w:rFonts w:hint="eastAsia" w:ascii="楷体" w:hAnsi="楷体" w:eastAsia="楷体" w:cs="楷体"/>
              </w:rPr>
            </w:pPr>
            <w:r>
              <w:rPr>
                <w:rFonts w:hint="eastAsia" w:ascii="楷体" w:hAnsi="楷体" w:eastAsia="楷体" w:cs="楷体"/>
                <w:szCs w:val="21"/>
              </w:rPr>
              <w:t>（2）非因管理人主观因素导致突破该比例限制的，在单一投资者持有比例降至50%以下之前，管理人不再接受该投资者对本产品的认购申请。</w:t>
            </w:r>
          </w:p>
        </w:tc>
      </w:tr>
      <w:tr w14:paraId="1EFC8F6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84BCE7B">
            <w:pPr>
              <w:rPr>
                <w:rFonts w:hint="eastAsia" w:ascii="楷体" w:hAnsi="楷体" w:eastAsia="楷体" w:cs="楷体"/>
                <w:b/>
                <w:bCs/>
              </w:rPr>
            </w:pPr>
            <w:r>
              <w:rPr>
                <w:rFonts w:hint="eastAsia" w:ascii="楷体" w:hAnsi="楷体" w:eastAsia="楷体" w:cs="楷体"/>
                <w:b/>
                <w:bCs/>
                <w:szCs w:val="21"/>
              </w:rPr>
              <w:t>理财产品收益分配</w:t>
            </w:r>
          </w:p>
        </w:tc>
        <w:tc>
          <w:tcPr>
            <w:tcW w:w="6146" w:type="dxa"/>
            <w:vAlign w:val="center"/>
          </w:tcPr>
          <w:p w14:paraId="588D5105">
            <w:pPr>
              <w:rPr>
                <w:rFonts w:hint="eastAsia" w:ascii="楷体" w:hAnsi="楷体" w:eastAsia="楷体" w:cs="楷体"/>
                <w:szCs w:val="21"/>
              </w:rPr>
            </w:pPr>
            <w:r>
              <w:rPr>
                <w:rFonts w:hint="eastAsia" w:ascii="楷体" w:hAnsi="楷体" w:eastAsia="楷体" w:cs="楷体"/>
                <w:b/>
                <w:bCs/>
                <w:szCs w:val="21"/>
              </w:rPr>
              <w:t>1、就期间分配而言，</w:t>
            </w:r>
            <w:r>
              <w:rPr>
                <w:rFonts w:hint="eastAsia" w:ascii="楷体" w:hAnsi="楷体" w:eastAsia="楷体" w:cs="楷体"/>
                <w:szCs w:val="21"/>
              </w:rPr>
              <w:t>在满足收益分配基准日（以管理人确定的为准）理财产品份额净值大于</w:t>
            </w:r>
            <w:r>
              <w:rPr>
                <w:rFonts w:hint="eastAsia" w:ascii="楷体" w:hAnsi="楷体" w:eastAsia="楷体" w:cs="楷体"/>
                <w:b w:val="0"/>
                <w:bCs w:val="0"/>
                <w:szCs w:val="21"/>
              </w:rPr>
              <w:t>理财产品初始</w:t>
            </w:r>
            <w:r>
              <w:rPr>
                <w:rFonts w:hint="eastAsia" w:ascii="楷体" w:hAnsi="楷体" w:eastAsia="楷体" w:cs="楷体"/>
                <w:b w:val="0"/>
                <w:bCs w:val="0"/>
                <w:szCs w:val="21"/>
                <w:lang w:val="en-US" w:eastAsia="zh-CN"/>
              </w:rPr>
              <w:t>份额</w:t>
            </w:r>
            <w:r>
              <w:rPr>
                <w:rFonts w:hint="eastAsia" w:ascii="楷体" w:hAnsi="楷体" w:eastAsia="楷体" w:cs="楷体"/>
                <w:b w:val="0"/>
                <w:bCs w:val="0"/>
                <w:szCs w:val="21"/>
              </w:rPr>
              <w:t>净值</w:t>
            </w:r>
            <w:r>
              <w:rPr>
                <w:rFonts w:hint="eastAsia" w:ascii="楷体" w:hAnsi="楷体" w:eastAsia="楷体" w:cs="楷体"/>
                <w:szCs w:val="21"/>
              </w:rPr>
              <w:t>的条件下，理财产品管理人可进行不定期分配，分配方式为现金分配。理财产品管理人将根据理财产品投资收益情况决定分配基准日、当次分配比例和金额，并将于分红日后2个工作日内通过《产品说明书》“信息披露”约定的方式向投资者披露。</w:t>
            </w:r>
          </w:p>
          <w:p w14:paraId="2804D7E9">
            <w:pPr>
              <w:rPr>
                <w:rFonts w:hint="eastAsia" w:ascii="楷体" w:hAnsi="楷体" w:eastAsia="楷体" w:cs="楷体"/>
              </w:rPr>
            </w:pPr>
            <w:r>
              <w:rPr>
                <w:rFonts w:hint="eastAsia" w:ascii="楷体" w:hAnsi="楷体" w:eastAsia="楷体" w:cs="楷体"/>
                <w:b/>
                <w:bCs/>
                <w:szCs w:val="21"/>
              </w:rPr>
              <w:t>2、就终止分配而言，</w:t>
            </w:r>
            <w:r>
              <w:rPr>
                <w:rFonts w:hint="eastAsia" w:ascii="楷体" w:hAnsi="楷体" w:eastAsia="楷体" w:cs="楷体"/>
                <w:szCs w:val="21"/>
              </w:rPr>
              <w:t>理财产品终止日，如理财产品项下财产全部变现，管理人将在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产品说明书》</w:t>
            </w:r>
            <w:r>
              <w:rPr>
                <w:rFonts w:hint="eastAsia" w:ascii="楷体" w:hAnsi="楷体" w:eastAsia="楷体" w:cs="楷体"/>
                <w:b/>
                <w:bCs/>
                <w:szCs w:val="21"/>
              </w:rPr>
              <w:t>“产品的收益、费用及税费”</w:t>
            </w:r>
            <w:r>
              <w:rPr>
                <w:rFonts w:hint="eastAsia" w:ascii="楷体" w:hAnsi="楷体" w:eastAsia="楷体" w:cs="楷体"/>
                <w:szCs w:val="21"/>
              </w:rPr>
              <w:t>。</w:t>
            </w:r>
          </w:p>
        </w:tc>
      </w:tr>
      <w:tr w14:paraId="79BDA56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14:paraId="11B06F84">
            <w:pPr>
              <w:rPr>
                <w:rFonts w:hint="eastAsia" w:ascii="楷体" w:hAnsi="楷体" w:eastAsia="楷体" w:cs="楷体"/>
                <w:b/>
                <w:bCs/>
                <w:szCs w:val="21"/>
                <w:lang w:eastAsia="zh-CN"/>
              </w:rPr>
            </w:pPr>
            <w:r>
              <w:rPr>
                <w:rFonts w:hint="eastAsia" w:ascii="楷体" w:hAnsi="楷体" w:eastAsia="楷体" w:cs="楷体"/>
                <w:b/>
                <w:bCs/>
                <w:szCs w:val="21"/>
              </w:rPr>
              <w:t>业绩比较基准</w:t>
            </w:r>
            <w:r>
              <w:rPr>
                <w:rFonts w:hint="eastAsia" w:ascii="楷体" w:hAnsi="楷体" w:eastAsia="楷体" w:cs="楷体"/>
                <w:b/>
                <w:bCs/>
                <w:szCs w:val="21"/>
                <w:lang w:eastAsia="zh-CN"/>
              </w:rPr>
              <w:t>（</w:t>
            </w:r>
            <w:r>
              <w:rPr>
                <w:rFonts w:hint="eastAsia" w:ascii="楷体" w:hAnsi="楷体" w:eastAsia="楷体" w:cs="楷体"/>
                <w:b/>
                <w:bCs/>
                <w:szCs w:val="21"/>
                <w:lang w:val="en-US" w:eastAsia="zh-CN"/>
              </w:rPr>
              <w:t>年化</w:t>
            </w:r>
            <w:r>
              <w:rPr>
                <w:rFonts w:hint="eastAsia" w:ascii="楷体" w:hAnsi="楷体" w:eastAsia="楷体" w:cs="楷体"/>
                <w:b/>
                <w:bCs/>
                <w:szCs w:val="21"/>
                <w:lang w:eastAsia="zh-CN"/>
              </w:rPr>
              <w:t>）</w:t>
            </w:r>
          </w:p>
        </w:tc>
        <w:tc>
          <w:tcPr>
            <w:tcW w:w="6146" w:type="dxa"/>
            <w:vAlign w:val="center"/>
          </w:tcPr>
          <w:p w14:paraId="1906ED3E">
            <w:pPr>
              <w:rPr>
                <w:rFonts w:hint="eastAsia" w:ascii="楷体" w:hAnsi="楷体" w:eastAsia="楷体" w:cs="楷体"/>
                <w:color w:val="000000"/>
                <w:szCs w:val="21"/>
              </w:rPr>
            </w:pPr>
            <w:r>
              <w:rPr>
                <w:rFonts w:hint="eastAsia" w:ascii="楷体" w:hAnsi="楷体" w:eastAsia="楷体" w:cs="楷体"/>
                <w:szCs w:val="21"/>
              </w:rPr>
              <w:t>（适用【D】类份额）</w:t>
            </w:r>
          </w:p>
          <w:p w14:paraId="1068691F">
            <w:pPr>
              <w:pStyle w:val="9"/>
              <w:widowControl/>
              <w:spacing w:beforeAutospacing="0" w:afterAutospacing="0"/>
              <w:rPr>
                <w:rFonts w:hint="eastAsia" w:ascii="楷体" w:hAnsi="楷体" w:eastAsia="楷体" w:cs="楷体"/>
                <w:szCs w:val="21"/>
              </w:rPr>
            </w:pPr>
            <w:r>
              <w:rPr>
                <w:rFonts w:hint="eastAsia" w:ascii="楷体" w:hAnsi="楷体" w:eastAsia="楷体" w:cs="楷体"/>
                <w:b/>
                <w:bCs/>
                <w:color w:val="000000"/>
                <w:kern w:val="2"/>
                <w:sz w:val="21"/>
                <w:szCs w:val="21"/>
              </w:rPr>
              <w:t>业绩比较基准的说明：</w:t>
            </w:r>
            <w:r>
              <w:rPr>
                <w:rFonts w:hint="eastAsia" w:ascii="楷体" w:hAnsi="楷体" w:eastAsia="楷体" w:cs="楷体"/>
                <w:sz w:val="21"/>
                <w:szCs w:val="21"/>
                <w:lang w:val="en-US" w:eastAsia="zh-CN"/>
              </w:rPr>
              <w:t>本产品不低于80%的资金投资于债券、非标准化债权资产等固收类资产，因此结合产品风险收益特征制定本产品的业绩比较基准。</w:t>
            </w:r>
          </w:p>
          <w:p w14:paraId="483C84A0">
            <w:pPr>
              <w:pStyle w:val="9"/>
              <w:widowControl/>
              <w:spacing w:beforeAutospacing="0" w:afterAutospacing="0"/>
              <w:rPr>
                <w:rFonts w:hint="eastAsia" w:ascii="楷体" w:hAnsi="楷体" w:eastAsia="楷体" w:cs="楷体"/>
                <w:b/>
                <w:bCs/>
                <w:sz w:val="21"/>
                <w:szCs w:val="21"/>
              </w:rPr>
            </w:pPr>
            <w:r>
              <w:rPr>
                <w:rFonts w:hint="eastAsia" w:ascii="楷体" w:hAnsi="楷体" w:eastAsia="楷体" w:cs="楷体"/>
                <w:b/>
                <w:bCs/>
                <w:sz w:val="21"/>
                <w:szCs w:val="21"/>
              </w:rPr>
              <w:t>本理财产品设定业绩比较基准如下：</w:t>
            </w:r>
          </w:p>
          <w:p w14:paraId="70155248">
            <w:pPr>
              <w:rPr>
                <w:rFonts w:hint="eastAsia" w:ascii="楷体" w:hAnsi="楷体" w:eastAsia="楷体" w:cs="楷体"/>
                <w:b/>
                <w:bCs/>
                <w:szCs w:val="21"/>
              </w:rPr>
            </w:pPr>
            <w:r>
              <w:rPr>
                <w:rFonts w:hint="eastAsia" w:ascii="楷体" w:hAnsi="楷体" w:eastAsia="楷体" w:cs="楷体"/>
                <w:b/>
                <w:bCs/>
                <w:szCs w:val="21"/>
              </w:rPr>
              <w:t>【D】类份额：【2.02%】</w:t>
            </w:r>
          </w:p>
          <w:p w14:paraId="092F9F38">
            <w:pPr>
              <w:pStyle w:val="9"/>
              <w:widowControl/>
              <w:spacing w:beforeAutospacing="0" w:afterAutospacing="0"/>
              <w:rPr>
                <w:rFonts w:hint="eastAsia" w:ascii="楷体" w:hAnsi="楷体" w:eastAsia="楷体" w:cs="楷体"/>
                <w:b/>
                <w:bCs/>
                <w:kern w:val="2"/>
                <w:sz w:val="21"/>
                <w:szCs w:val="21"/>
              </w:rPr>
            </w:pPr>
            <w:r>
              <w:rPr>
                <w:rFonts w:hint="eastAsia" w:ascii="楷体" w:hAnsi="楷体" w:eastAsia="楷体" w:cs="楷体"/>
                <w:b/>
                <w:bCs/>
                <w:color w:val="000000"/>
                <w:kern w:val="2"/>
                <w:sz w:val="21"/>
                <w:szCs w:val="21"/>
              </w:rPr>
              <w:t>业绩比较基准是</w:t>
            </w:r>
            <w:r>
              <w:rPr>
                <w:rFonts w:hint="eastAsia" w:ascii="楷体" w:hAnsi="楷体" w:eastAsia="楷体" w:cs="楷体"/>
                <w:b/>
                <w:bCs/>
                <w:color w:val="000000"/>
                <w:kern w:val="2"/>
                <w:sz w:val="21"/>
                <w:szCs w:val="21"/>
                <w:lang w:val="en-US" w:eastAsia="zh-CN"/>
              </w:rPr>
              <w:t>管理人</w:t>
            </w:r>
            <w:r>
              <w:rPr>
                <w:rFonts w:hint="eastAsia" w:ascii="楷体" w:hAnsi="楷体" w:eastAsia="楷体" w:cs="楷体"/>
                <w:b/>
                <w:bCs/>
                <w:color w:val="000000"/>
                <w:kern w:val="2"/>
                <w:sz w:val="21"/>
                <w:szCs w:val="21"/>
              </w:rPr>
              <w:t>基于产品性质、投资策略、过往经验等因素对产品设定的投资目标，业绩比较基准不是预期收益率，不代表产品的未来表现和实际收益，不构成对产品收</w:t>
            </w:r>
            <w:r>
              <w:rPr>
                <w:rFonts w:hint="eastAsia" w:ascii="楷体" w:hAnsi="楷体" w:eastAsia="楷体" w:cs="楷体"/>
                <w:b/>
                <w:bCs/>
                <w:kern w:val="2"/>
                <w:sz w:val="21"/>
                <w:szCs w:val="21"/>
              </w:rPr>
              <w:t>益的承诺。</w:t>
            </w:r>
          </w:p>
          <w:p w14:paraId="45C05DAF">
            <w:pPr>
              <w:pStyle w:val="9"/>
              <w:widowControl/>
              <w:spacing w:beforeAutospacing="0" w:afterAutospacing="0"/>
              <w:rPr>
                <w:rFonts w:hint="eastAsia" w:ascii="楷体" w:hAnsi="楷体" w:eastAsia="楷体" w:cs="楷体"/>
                <w:b/>
                <w:bCs/>
                <w:szCs w:val="21"/>
              </w:rPr>
            </w:pPr>
            <w:r>
              <w:rPr>
                <w:rFonts w:hint="eastAsia" w:ascii="楷体" w:hAnsi="楷体" w:eastAsia="楷体" w:cs="楷体"/>
                <w:kern w:val="2"/>
                <w:sz w:val="21"/>
                <w:szCs w:val="21"/>
              </w:rPr>
              <w:t>管理人将根据市场情况对产品的业绩比较基准进行动态</w:t>
            </w:r>
            <w:r>
              <w:rPr>
                <w:rFonts w:hint="eastAsia" w:ascii="楷体" w:hAnsi="楷体" w:eastAsia="楷体" w:cs="楷体"/>
                <w:color w:val="000000"/>
                <w:kern w:val="2"/>
                <w:sz w:val="21"/>
                <w:szCs w:val="21"/>
              </w:rPr>
              <w:t>调整，投资者可通过销售机构网站进行查询，调整后的业绩比较基准自公布日起的第一个产品确认日生效</w:t>
            </w:r>
            <w:r>
              <w:rPr>
                <w:rFonts w:hint="eastAsia" w:ascii="楷体" w:hAnsi="楷体" w:eastAsia="楷体" w:cs="楷体"/>
                <w:szCs w:val="21"/>
              </w:rPr>
              <w:t>。</w:t>
            </w:r>
          </w:p>
        </w:tc>
      </w:tr>
      <w:tr w14:paraId="0AF441E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69495539">
            <w:pPr>
              <w:rPr>
                <w:rFonts w:hint="eastAsia" w:ascii="楷体" w:hAnsi="楷体" w:eastAsia="楷体" w:cs="楷体"/>
                <w:b/>
                <w:bCs/>
                <w:szCs w:val="21"/>
              </w:rPr>
            </w:pPr>
            <w:r>
              <w:rPr>
                <w:rFonts w:hint="eastAsia" w:ascii="楷体" w:hAnsi="楷体" w:eastAsia="楷体" w:cs="楷体"/>
                <w:b/>
                <w:bCs/>
              </w:rPr>
              <w:t>理财产品费率设置</w:t>
            </w:r>
          </w:p>
        </w:tc>
        <w:tc>
          <w:tcPr>
            <w:tcW w:w="6146" w:type="dxa"/>
          </w:tcPr>
          <w:p w14:paraId="0FC4E505">
            <w:pPr>
              <w:numPr>
                <w:ilvl w:val="12"/>
                <w:numId w:val="0"/>
              </w:numPr>
              <w:rPr>
                <w:rFonts w:hint="eastAsia" w:ascii="楷体" w:hAnsi="楷体" w:eastAsia="楷体" w:cs="楷体"/>
                <w:szCs w:val="21"/>
              </w:rPr>
            </w:pPr>
            <w:r>
              <w:rPr>
                <w:rFonts w:hint="eastAsia" w:ascii="楷体" w:hAnsi="楷体" w:eastAsia="楷体" w:cs="楷体"/>
                <w:szCs w:val="21"/>
              </w:rPr>
              <w:t>（适用【D】类份额）</w:t>
            </w:r>
          </w:p>
          <w:p w14:paraId="4C4D600C">
            <w:pPr>
              <w:numPr>
                <w:ilvl w:val="12"/>
                <w:numId w:val="0"/>
              </w:numPr>
              <w:rPr>
                <w:rFonts w:hint="eastAsia" w:ascii="楷体" w:hAnsi="楷体" w:eastAsia="楷体" w:cs="楷体"/>
                <w:b/>
                <w:bCs/>
              </w:rPr>
            </w:pPr>
            <w:r>
              <w:rPr>
                <w:rFonts w:hint="eastAsia" w:ascii="楷体" w:hAnsi="楷体" w:eastAsia="楷体" w:cs="楷体"/>
                <w:b/>
                <w:bCs/>
              </w:rPr>
              <w:t>1、理财产品费用：</w:t>
            </w:r>
          </w:p>
          <w:p w14:paraId="3F19C2A3">
            <w:pPr>
              <w:numPr>
                <w:ilvl w:val="12"/>
                <w:numId w:val="0"/>
              </w:numPr>
              <w:rPr>
                <w:rFonts w:hint="eastAsia" w:ascii="楷体" w:hAnsi="楷体" w:eastAsia="楷体" w:cs="楷体"/>
                <w:b/>
                <w:bCs/>
                <w:szCs w:val="21"/>
                <w:lang w:eastAsia="zh-CN"/>
              </w:rPr>
            </w:pPr>
            <w:r>
              <w:rPr>
                <w:rFonts w:hint="eastAsia" w:ascii="楷体" w:hAnsi="楷体" w:eastAsia="楷体" w:cs="楷体"/>
                <w:b/>
                <w:bCs/>
                <w:szCs w:val="21"/>
              </w:rPr>
              <w:t>（1）销售管理费：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14:paraId="58CC7C8D">
            <w:pPr>
              <w:numPr>
                <w:ilvl w:val="12"/>
                <w:numId w:val="0"/>
              </w:numPr>
              <w:rPr>
                <w:rFonts w:hint="eastAsia" w:ascii="楷体" w:hAnsi="楷体" w:eastAsia="楷体" w:cs="楷体"/>
                <w:b/>
                <w:bCs/>
                <w:szCs w:val="21"/>
              </w:rPr>
            </w:pPr>
            <w:r>
              <w:rPr>
                <w:rFonts w:hint="eastAsia" w:ascii="楷体" w:hAnsi="楷体" w:eastAsia="楷体" w:cs="楷体"/>
                <w:b/>
                <w:bCs/>
                <w:szCs w:val="21"/>
              </w:rPr>
              <w:t>（2）固定投资管理费：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14:paraId="5DD92BC9">
            <w:pPr>
              <w:numPr>
                <w:ilvl w:val="12"/>
                <w:numId w:val="0"/>
              </w:numPr>
              <w:rPr>
                <w:rFonts w:hint="eastAsia" w:ascii="楷体" w:hAnsi="楷体" w:eastAsia="楷体" w:cs="楷体"/>
                <w:szCs w:val="21"/>
              </w:rPr>
            </w:pPr>
            <w:r>
              <w:rPr>
                <w:rFonts w:hint="eastAsia" w:ascii="楷体" w:hAnsi="楷体" w:eastAsia="楷体" w:cs="楷体"/>
                <w:b/>
                <w:bCs/>
                <w:szCs w:val="21"/>
              </w:rPr>
              <w:t>（3）托管费：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年化费率0.02%</w:t>
            </w:r>
          </w:p>
          <w:p w14:paraId="1C8BA9EF">
            <w:pPr>
              <w:numPr>
                <w:ilvl w:val="12"/>
                <w:numId w:val="0"/>
              </w:numPr>
              <w:rPr>
                <w:rFonts w:hint="eastAsia" w:ascii="楷体" w:hAnsi="楷体" w:eastAsia="楷体" w:cs="楷体"/>
                <w:b/>
                <w:bCs/>
                <w:szCs w:val="21"/>
              </w:rPr>
            </w:pPr>
            <w:r>
              <w:rPr>
                <w:rFonts w:hint="eastAsia" w:ascii="楷体" w:hAnsi="楷体" w:eastAsia="楷体" w:cs="楷体"/>
                <w:b/>
                <w:bCs/>
                <w:szCs w:val="21"/>
              </w:rPr>
              <w:t>（4）浮动投资管理费：</w:t>
            </w:r>
          </w:p>
          <w:p w14:paraId="28A0D9F2">
            <w:pPr>
              <w:widowControl/>
              <w:ind w:firstLine="420" w:firstLineChars="200"/>
              <w:jc w:val="left"/>
              <w:rPr>
                <w:rFonts w:hint="eastAsia" w:ascii="楷体" w:hAnsi="楷体" w:eastAsia="楷体" w:cs="楷体"/>
                <w:szCs w:val="21"/>
              </w:rPr>
            </w:pPr>
            <w:r>
              <w:rPr>
                <w:rFonts w:hint="eastAsia" w:ascii="楷体" w:hAnsi="楷体" w:eastAsia="楷体" w:cs="楷体"/>
                <w:szCs w:val="21"/>
              </w:rPr>
              <w:t>浮动投资管理费收取比例：【80.00%】</w:t>
            </w:r>
          </w:p>
          <w:p w14:paraId="25FCDD40">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14:paraId="37F4590A">
            <w:pPr>
              <w:spacing w:line="24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14:paraId="49EBE508">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14:paraId="3F5BB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14:paraId="574315AD">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14:paraId="612B8CED">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14:paraId="71E2BA74">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14:paraId="50A2D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14:paraId="77CB6BD2">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14:paraId="5EEC7AF4">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14:paraId="3F3240A6">
                  <w:pPr>
                    <w:adjustRightInd w:val="0"/>
                    <w:snapToGrid w:val="0"/>
                    <w:jc w:val="center"/>
                    <w:rPr>
                      <w:rFonts w:hint="eastAsia" w:ascii="楷体" w:hAnsi="楷体" w:eastAsia="楷体" w:cs="楷体"/>
                    </w:rPr>
                  </w:pPr>
                  <w:r>
                    <w:rPr>
                      <w:rFonts w:hint="eastAsia" w:ascii="楷体" w:hAnsi="楷体" w:eastAsia="楷体" w:cs="楷体"/>
                    </w:rPr>
                    <w:t>0</w:t>
                  </w:r>
                </w:p>
              </w:tc>
            </w:tr>
            <w:tr w14:paraId="7581B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14:paraId="1A2B97C2">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14:paraId="78F15EEA">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14:paraId="0F419199">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14:paraId="0F767318">
            <w:pPr>
              <w:spacing w:line="240" w:lineRule="auto"/>
              <w:ind w:firstLine="420"/>
              <w:rPr>
                <w:rFonts w:hint="eastAsia" w:ascii="楷体" w:hAnsi="楷体" w:eastAsia="楷体" w:cs="楷体"/>
                <w:b w:val="0"/>
                <w:szCs w:val="21"/>
              </w:rPr>
            </w:pPr>
            <w:r>
              <w:rPr>
                <w:rFonts w:hint="eastAsia" w:ascii="楷体" w:hAnsi="楷体" w:eastAsia="楷体" w:cs="楷体"/>
                <w:szCs w:val="21"/>
              </w:rPr>
              <w:t>浮动投资管理费=期初产品净资产×浮动投资管理费率×期限÷365。</w:t>
            </w:r>
          </w:p>
          <w:p w14:paraId="588DB4E5">
            <w:pPr>
              <w:widowControl/>
              <w:jc w:val="left"/>
              <w:rPr>
                <w:rFonts w:hint="eastAsia" w:ascii="楷体" w:hAnsi="楷体" w:eastAsia="楷体" w:cs="楷体"/>
                <w:b/>
                <w:bCs/>
                <w:szCs w:val="21"/>
              </w:rPr>
            </w:pPr>
            <w:r>
              <w:rPr>
                <w:rFonts w:hint="eastAsia" w:ascii="楷体" w:hAnsi="楷体" w:eastAsia="楷体" w:cs="楷体"/>
                <w:b/>
                <w:bCs/>
                <w:szCs w:val="21"/>
              </w:rPr>
              <w:t>2、认购费、赎回费：</w:t>
            </w:r>
          </w:p>
          <w:p w14:paraId="64FB1447">
            <w:pPr>
              <w:numPr>
                <w:ilvl w:val="12"/>
                <w:numId w:val="0"/>
              </w:numPr>
              <w:ind w:firstLine="420" w:firstLineChars="200"/>
              <w:rPr>
                <w:rFonts w:hint="eastAsia" w:ascii="楷体" w:hAnsi="楷体" w:eastAsia="楷体" w:cs="楷体"/>
                <w:szCs w:val="21"/>
              </w:rPr>
            </w:pPr>
            <w:r>
              <w:rPr>
                <w:rFonts w:hint="eastAsia" w:ascii="楷体" w:hAnsi="楷体" w:eastAsia="楷体" w:cs="楷体"/>
                <w:szCs w:val="21"/>
              </w:rPr>
              <w:t>投资者认购或赎回本理财产品时，需按约定支付认购费或赎回费（如有），认购费、赎回费不属于理财产品费用，不由理财产品承担，由投资者承担并于认购或赎回份额时一次性支付。</w:t>
            </w:r>
          </w:p>
          <w:p w14:paraId="4C63BE2E">
            <w:pPr>
              <w:numPr>
                <w:ilvl w:val="12"/>
                <w:numId w:val="0"/>
              </w:numPr>
              <w:rPr>
                <w:rFonts w:hint="eastAsia" w:ascii="楷体" w:hAnsi="楷体" w:eastAsia="楷体" w:cs="楷体"/>
                <w:szCs w:val="21"/>
              </w:rPr>
            </w:pPr>
            <w:r>
              <w:rPr>
                <w:rFonts w:hint="eastAsia" w:ascii="楷体" w:hAnsi="楷体" w:eastAsia="楷体" w:cs="楷体"/>
                <w:b/>
                <w:bCs/>
                <w:szCs w:val="21"/>
              </w:rPr>
              <w:t>（1）认购费：</w:t>
            </w:r>
            <w:r>
              <w:rPr>
                <w:rFonts w:hint="eastAsia" w:ascii="楷体" w:hAnsi="楷体" w:eastAsia="楷体" w:cs="楷体"/>
                <w:szCs w:val="21"/>
              </w:rPr>
              <w:t>【/】</w:t>
            </w:r>
          </w:p>
          <w:p w14:paraId="6842AEFF">
            <w:pPr>
              <w:numPr>
                <w:ilvl w:val="12"/>
                <w:numId w:val="0"/>
              </w:numPr>
              <w:rPr>
                <w:rFonts w:hint="eastAsia" w:ascii="楷体" w:hAnsi="楷体" w:eastAsia="楷体" w:cs="楷体"/>
                <w:szCs w:val="21"/>
              </w:rPr>
            </w:pPr>
            <w:r>
              <w:rPr>
                <w:rFonts w:hint="eastAsia" w:ascii="楷体" w:hAnsi="楷体" w:eastAsia="楷体" w:cs="楷体"/>
                <w:b/>
                <w:bCs/>
                <w:szCs w:val="21"/>
              </w:rPr>
              <w:t>（</w:t>
            </w:r>
            <w:r>
              <w:rPr>
                <w:rFonts w:hint="eastAsia" w:ascii="楷体" w:hAnsi="楷体" w:eastAsia="楷体" w:cs="楷体"/>
                <w:b/>
                <w:bCs/>
                <w:szCs w:val="21"/>
                <w:lang w:val="en-US" w:eastAsia="zh-CN"/>
              </w:rPr>
              <w:t>2</w:t>
            </w:r>
            <w:r>
              <w:rPr>
                <w:rFonts w:hint="eastAsia" w:ascii="楷体" w:hAnsi="楷体" w:eastAsia="楷体" w:cs="楷体"/>
                <w:b/>
                <w:bCs/>
                <w:szCs w:val="21"/>
              </w:rPr>
              <w:t>）赎回费：</w:t>
            </w:r>
            <w:r>
              <w:rPr>
                <w:rFonts w:hint="eastAsia" w:ascii="楷体" w:hAnsi="楷体" w:eastAsia="楷体" w:cs="楷体"/>
                <w:szCs w:val="21"/>
              </w:rPr>
              <w:t>【/】</w:t>
            </w:r>
          </w:p>
          <w:p w14:paraId="77259BBD">
            <w:pPr>
              <w:numPr>
                <w:ilvl w:val="12"/>
                <w:numId w:val="0"/>
              </w:numPr>
              <w:rPr>
                <w:rFonts w:hint="eastAsia" w:ascii="楷体" w:hAnsi="楷体" w:eastAsia="楷体" w:cs="楷体"/>
                <w:b/>
                <w:bCs/>
                <w:color w:val="000000"/>
                <w:szCs w:val="21"/>
              </w:rPr>
            </w:pPr>
            <w:r>
              <w:rPr>
                <w:rFonts w:hint="eastAsia" w:ascii="楷体" w:hAnsi="楷体" w:eastAsia="楷体" w:cs="楷体"/>
                <w:szCs w:val="21"/>
              </w:rPr>
              <w:t>3、上银理财有权根据相关法律和国家政策规定调整产品费率，调整产品费率的公告将通过《产品说明书》</w:t>
            </w:r>
            <w:r>
              <w:rPr>
                <w:rFonts w:hint="eastAsia" w:ascii="楷体" w:hAnsi="楷体" w:eastAsia="楷体" w:cs="楷体"/>
              </w:rPr>
              <w:t>“信息披露”约定的方式向投资者披露</w:t>
            </w:r>
            <w:r>
              <w:rPr>
                <w:rFonts w:hint="eastAsia" w:ascii="楷体" w:hAnsi="楷体" w:eastAsia="楷体" w:cs="楷体"/>
                <w:szCs w:val="21"/>
              </w:rPr>
              <w:t>。投资者若不接受，可根据实际情况按照公告约定提前赎回本理财产品。</w:t>
            </w:r>
          </w:p>
        </w:tc>
      </w:tr>
      <w:tr w14:paraId="0A21F26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7D663E1E">
            <w:pPr>
              <w:rPr>
                <w:rFonts w:hint="eastAsia" w:ascii="楷体" w:hAnsi="楷体" w:eastAsia="楷体" w:cs="楷体"/>
                <w:b/>
                <w:bCs/>
              </w:rPr>
            </w:pPr>
            <w:r>
              <w:rPr>
                <w:rFonts w:hint="eastAsia" w:ascii="楷体" w:hAnsi="楷体" w:eastAsia="楷体" w:cs="楷体"/>
                <w:b/>
                <w:bCs/>
              </w:rPr>
              <w:t>本金及理财收益</w:t>
            </w:r>
          </w:p>
        </w:tc>
        <w:tc>
          <w:tcPr>
            <w:tcW w:w="6146" w:type="dxa"/>
          </w:tcPr>
          <w:p w14:paraId="4FC6B31C">
            <w:pPr>
              <w:numPr>
                <w:ilvl w:val="12"/>
                <w:numId w:val="0"/>
              </w:numPr>
              <w:rPr>
                <w:rFonts w:hint="eastAsia" w:ascii="楷体" w:hAnsi="楷体" w:eastAsia="楷体" w:cs="楷体"/>
                <w:b/>
                <w:bCs/>
                <w:szCs w:val="21"/>
              </w:rPr>
            </w:pPr>
            <w:r>
              <w:rPr>
                <w:rFonts w:hint="eastAsia" w:ascii="楷体" w:hAnsi="楷体" w:eastAsia="楷体" w:cs="楷体"/>
                <w:szCs w:val="21"/>
              </w:rPr>
              <w:t>本理财产品不保障本金和收益，详见《产品说明书》</w:t>
            </w:r>
            <w:r>
              <w:rPr>
                <w:rFonts w:hint="eastAsia" w:ascii="楷体" w:hAnsi="楷体" w:eastAsia="楷体" w:cs="楷体"/>
                <w:b/>
                <w:bCs/>
                <w:szCs w:val="21"/>
              </w:rPr>
              <w:t>“产品的收益、费用及税费”。</w:t>
            </w:r>
          </w:p>
        </w:tc>
      </w:tr>
      <w:tr w14:paraId="2A1F383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14:paraId="7952B21E">
            <w:pPr>
              <w:rPr>
                <w:rFonts w:hint="eastAsia" w:ascii="楷体" w:hAnsi="楷体" w:eastAsia="楷体" w:cs="楷体"/>
                <w:b/>
                <w:bCs/>
              </w:rPr>
            </w:pPr>
            <w:r>
              <w:rPr>
                <w:rFonts w:hint="eastAsia" w:ascii="楷体" w:hAnsi="楷体" w:eastAsia="楷体" w:cs="楷体"/>
                <w:b/>
                <w:bCs/>
              </w:rPr>
              <w:t>收益计算基础</w:t>
            </w:r>
          </w:p>
        </w:tc>
        <w:tc>
          <w:tcPr>
            <w:tcW w:w="6146" w:type="dxa"/>
          </w:tcPr>
          <w:p w14:paraId="55CAB358">
            <w:pPr>
              <w:numPr>
                <w:ilvl w:val="12"/>
                <w:numId w:val="0"/>
              </w:numPr>
              <w:rPr>
                <w:rFonts w:hint="eastAsia" w:ascii="楷体" w:hAnsi="楷体" w:eastAsia="楷体" w:cs="楷体"/>
                <w:szCs w:val="21"/>
              </w:rPr>
            </w:pPr>
            <w:r>
              <w:rPr>
                <w:rFonts w:hint="eastAsia" w:ascii="楷体" w:hAnsi="楷体" w:eastAsia="楷体" w:cs="楷体"/>
                <w:szCs w:val="21"/>
              </w:rPr>
              <w:t>365天</w:t>
            </w:r>
          </w:p>
        </w:tc>
      </w:tr>
      <w:tr w14:paraId="390C57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2418EAF5">
            <w:pPr>
              <w:rPr>
                <w:rFonts w:hint="eastAsia" w:ascii="楷体" w:hAnsi="楷体" w:eastAsia="楷体" w:cs="楷体"/>
                <w:b/>
                <w:bCs/>
              </w:rPr>
            </w:pPr>
            <w:r>
              <w:rPr>
                <w:rFonts w:hint="eastAsia" w:ascii="楷体" w:hAnsi="楷体" w:eastAsia="楷体" w:cs="楷体"/>
                <w:b/>
                <w:bCs/>
              </w:rPr>
              <w:t>其他税费</w:t>
            </w:r>
          </w:p>
        </w:tc>
        <w:tc>
          <w:tcPr>
            <w:tcW w:w="6146" w:type="dxa"/>
          </w:tcPr>
          <w:p w14:paraId="6ADB4730">
            <w:pPr>
              <w:rPr>
                <w:rFonts w:hint="eastAsia" w:ascii="楷体" w:hAnsi="楷体" w:eastAsia="楷体" w:cs="楷体"/>
                <w:szCs w:val="21"/>
              </w:rPr>
            </w:pPr>
            <w:r>
              <w:rPr>
                <w:rFonts w:hint="eastAsia" w:ascii="楷体" w:hAnsi="楷体" w:eastAsia="楷体" w:cs="楷体"/>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14:paraId="668B2F0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683B6C5C">
            <w:pPr>
              <w:rPr>
                <w:rFonts w:hint="eastAsia" w:ascii="楷体" w:hAnsi="楷体" w:eastAsia="楷体" w:cs="楷体"/>
                <w:b/>
                <w:bCs/>
              </w:rPr>
            </w:pPr>
            <w:r>
              <w:rPr>
                <w:rFonts w:hint="eastAsia" w:ascii="楷体" w:hAnsi="楷体" w:eastAsia="楷体" w:cs="楷体"/>
                <w:b/>
                <w:bCs/>
              </w:rPr>
              <w:t>理财产品管理人</w:t>
            </w:r>
          </w:p>
        </w:tc>
        <w:tc>
          <w:tcPr>
            <w:tcW w:w="6146" w:type="dxa"/>
          </w:tcPr>
          <w:p w14:paraId="7E418C5A">
            <w:pPr>
              <w:rPr>
                <w:rFonts w:hint="eastAsia" w:ascii="楷体" w:hAnsi="楷体" w:eastAsia="楷体" w:cs="楷体"/>
                <w:szCs w:val="21"/>
              </w:rPr>
            </w:pPr>
            <w:r>
              <w:rPr>
                <w:rFonts w:hint="eastAsia" w:ascii="楷体" w:hAnsi="楷体" w:eastAsia="楷体" w:cs="楷体"/>
              </w:rPr>
              <w:t>上银理财有限责任公司</w:t>
            </w:r>
          </w:p>
        </w:tc>
      </w:tr>
      <w:tr w14:paraId="0222BE4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2BEF1B6">
            <w:pPr>
              <w:rPr>
                <w:rFonts w:hint="eastAsia" w:ascii="楷体" w:hAnsi="楷体" w:eastAsia="楷体" w:cs="楷体"/>
                <w:b/>
                <w:bCs/>
              </w:rPr>
            </w:pPr>
            <w:r>
              <w:rPr>
                <w:rFonts w:hint="eastAsia" w:ascii="楷体" w:hAnsi="楷体" w:eastAsia="楷体" w:cs="楷体"/>
                <w:b/>
                <w:bCs/>
              </w:rPr>
              <w:t>理财产品托管人</w:t>
            </w:r>
          </w:p>
        </w:tc>
        <w:tc>
          <w:tcPr>
            <w:tcW w:w="6146" w:type="dxa"/>
          </w:tcPr>
          <w:p w14:paraId="506A6F5C">
            <w:pPr>
              <w:rPr>
                <w:rFonts w:hint="eastAsia" w:ascii="楷体" w:hAnsi="楷体" w:eastAsia="楷体" w:cs="楷体"/>
                <w:szCs w:val="21"/>
              </w:rPr>
            </w:pPr>
            <w:r>
              <w:rPr>
                <w:rFonts w:hint="eastAsia" w:ascii="楷体" w:hAnsi="楷体" w:eastAsia="楷体" w:cs="楷体"/>
              </w:rPr>
              <w:t>【苏州银行股份有限公司】</w:t>
            </w:r>
          </w:p>
        </w:tc>
      </w:tr>
      <w:tr w14:paraId="38146C1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BEC372A">
            <w:pPr>
              <w:rPr>
                <w:rFonts w:hint="eastAsia" w:ascii="楷体" w:hAnsi="楷体" w:eastAsia="楷体" w:cs="楷体"/>
                <w:b/>
                <w:bCs/>
              </w:rPr>
            </w:pPr>
            <w:r>
              <w:rPr>
                <w:rFonts w:hint="eastAsia" w:ascii="楷体" w:hAnsi="楷体" w:eastAsia="楷体" w:cs="楷体"/>
                <w:b/>
                <w:bCs/>
                <w:szCs w:val="21"/>
              </w:rPr>
              <w:t>销售机构</w:t>
            </w:r>
          </w:p>
        </w:tc>
        <w:tc>
          <w:tcPr>
            <w:tcW w:w="6146" w:type="dxa"/>
          </w:tcPr>
          <w:p w14:paraId="25070E66">
            <w:pPr>
              <w:rPr>
                <w:rFonts w:hint="eastAsia" w:ascii="楷体" w:hAnsi="楷体" w:eastAsia="楷体" w:cs="楷体"/>
                <w:szCs w:val="21"/>
              </w:rPr>
            </w:pPr>
            <w:r>
              <w:rPr>
                <w:rFonts w:hint="eastAsia" w:ascii="楷体" w:hAnsi="楷体" w:eastAsia="楷体" w:cs="楷体"/>
                <w:szCs w:val="21"/>
              </w:rPr>
              <w:t>【浙江绍兴瑞丰农村商业银行股份有限公司、浙江龙游农村商业银行股份有限公司、浙江淳安农村商业银行股份有限公司、宁波北仑农村商业银行股份有限公司、浙江义乌农村商业银行股份有限公司、浙江杭州余杭农村商业银行股份有限公司、浙江舟山定海海洋农村商业银行股份有限公司、浙江舟山普陀农村商业银行股份有限公司、中山农村商业银行股份有限公司、苏州银行股份有限公司、吉林银行股份有限公司、浙江德清农村商业银行股份有限公司、宁波镇海农村商业银行股份有限公司、浙江平湖农村商业银行股份有限公司、宁波鄞州农村商业银行股份有限公司、绍兴银行股份有限公司、浙江桐庐农村商业银行股份有限公司、桂林银行股份有限公司、浙江青田农村商业银行股份有限公司、浙江嘉善农村商业银行股份有限公司、浙江衢州衢江农村商业银行股份有限公司、浙江上虞农村商业银行股份有限公司、浙江长兴农村商业银行股份有限公司、浙江常山农村商业银行股份有限公司、浙江台州路桥农村商业银行股份有限公司、浙江乐清农村商业银行股份有限公司、浙江江山农村商业银行股份有限公司、湖州吴兴农村商业银行股份有限公司、厦门银行股份有限公司】</w:t>
            </w:r>
          </w:p>
        </w:tc>
      </w:tr>
      <w:tr w14:paraId="5E0AD2D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087B06E7">
            <w:pPr>
              <w:rPr>
                <w:rFonts w:hint="eastAsia" w:ascii="楷体" w:hAnsi="楷体" w:eastAsia="楷体" w:cs="楷体"/>
                <w:b/>
                <w:bCs/>
              </w:rPr>
            </w:pPr>
            <w:r>
              <w:rPr>
                <w:rFonts w:hint="eastAsia" w:ascii="楷体" w:hAnsi="楷体" w:eastAsia="楷体" w:cs="楷体"/>
                <w:b/>
                <w:bCs/>
                <w:szCs w:val="21"/>
              </w:rPr>
              <w:t>其他规定</w:t>
            </w:r>
          </w:p>
        </w:tc>
        <w:tc>
          <w:tcPr>
            <w:tcW w:w="6146" w:type="dxa"/>
            <w:vAlign w:val="center"/>
          </w:tcPr>
          <w:p w14:paraId="36FC60B5">
            <w:pPr>
              <w:rPr>
                <w:rFonts w:hint="eastAsia" w:ascii="楷体" w:hAnsi="楷体" w:eastAsia="楷体" w:cs="楷体"/>
                <w:szCs w:val="21"/>
              </w:rPr>
            </w:pPr>
            <w:r>
              <w:rPr>
                <w:rFonts w:hint="eastAsia" w:ascii="楷体" w:hAnsi="楷体" w:eastAsia="楷体" w:cs="楷体"/>
                <w:b w:val="0"/>
                <w:bCs w:val="0"/>
                <w:highlight w:val="none"/>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highlight w:val="none"/>
                <w:u w:val="none"/>
                <w:lang w:eastAsia="zh-CN"/>
              </w:rPr>
              <w:t>，</w:t>
            </w:r>
            <w:r>
              <w:rPr>
                <w:rFonts w:hint="eastAsia" w:ascii="楷体" w:hAnsi="楷体" w:eastAsia="楷体" w:cs="楷体"/>
                <w:b w:val="0"/>
                <w:bCs w:val="0"/>
                <w:highlight w:val="none"/>
                <w:u w:val="none"/>
              </w:rPr>
              <w:t>利息部分不计入认购本金</w:t>
            </w:r>
            <w:r>
              <w:rPr>
                <w:rFonts w:hint="eastAsia" w:ascii="楷体" w:hAnsi="楷体" w:eastAsia="楷体" w:cs="楷体"/>
                <w:b w:val="0"/>
                <w:bCs w:val="0"/>
                <w:highlight w:val="none"/>
                <w:u w:val="none"/>
                <w:lang w:eastAsia="zh-CN"/>
              </w:rPr>
              <w:t>。</w:t>
            </w:r>
          </w:p>
        </w:tc>
      </w:tr>
    </w:tbl>
    <w:p w14:paraId="45FA8009">
      <w:pPr>
        <w:rPr>
          <w:rFonts w:hint="eastAsia" w:ascii="楷体" w:hAnsi="楷体" w:eastAsia="楷体" w:cs="楷体"/>
        </w:rPr>
      </w:pPr>
    </w:p>
    <w:p w14:paraId="2E12C61F">
      <w:pPr>
        <w:pStyle w:val="2"/>
        <w:widowControl/>
        <w:spacing w:before="120" w:after="120" w:line="240" w:lineRule="auto"/>
        <w:jc w:val="left"/>
        <w:rPr>
          <w:rFonts w:hint="eastAsia" w:ascii="楷体" w:hAnsi="楷体" w:eastAsia="楷体" w:cs="楷体"/>
          <w:sz w:val="28"/>
          <w:szCs w:val="28"/>
        </w:rPr>
      </w:pPr>
      <w:bookmarkStart w:id="7" w:name="_Toc98680958"/>
      <w:r>
        <w:rPr>
          <w:rFonts w:hint="eastAsia" w:ascii="楷体" w:hAnsi="楷体" w:eastAsia="楷体" w:cs="楷体"/>
          <w:bCs w:val="0"/>
          <w:sz w:val="28"/>
          <w:szCs w:val="28"/>
        </w:rPr>
        <w:t>四、</w:t>
      </w:r>
      <w:bookmarkEnd w:id="7"/>
      <w:r>
        <w:rPr>
          <w:rFonts w:hint="eastAsia" w:ascii="楷体" w:hAnsi="楷体" w:eastAsia="楷体" w:cs="楷体"/>
          <w:sz w:val="28"/>
          <w:szCs w:val="28"/>
        </w:rPr>
        <w:t>投资目标、范围和比例</w:t>
      </w:r>
      <w:bookmarkStart w:id="8" w:name="_Toc98680959"/>
    </w:p>
    <w:p w14:paraId="38AE951F">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（一）投资目标</w:t>
      </w:r>
    </w:p>
    <w:p w14:paraId="6CA44490">
      <w:pPr>
        <w:pStyle w:val="3"/>
        <w:keepNext w:val="0"/>
        <w:keepLines w:val="0"/>
        <w:widowControl/>
        <w:spacing w:before="0" w:after="0" w:line="360" w:lineRule="auto"/>
        <w:ind w:firstLine="420" w:firstLineChars="200"/>
        <w:rPr>
          <w:rFonts w:hint="eastAsia" w:ascii="楷体" w:hAnsi="楷体" w:eastAsia="楷体" w:cs="楷体"/>
          <w:b w:val="0"/>
          <w:bCs w:val="0"/>
          <w:sz w:val="21"/>
        </w:rPr>
      </w:pPr>
      <w:r>
        <w:rPr>
          <w:rFonts w:hint="eastAsia" w:ascii="楷体" w:hAnsi="楷体" w:eastAsia="楷体" w:cs="楷体"/>
          <w:b w:val="0"/>
          <w:bCs w:val="0"/>
          <w:sz w:val="21"/>
        </w:rPr>
        <w:t>本理财产品是以服务客户财富储备增值或针对老年人提供金融服务为目的发起设立的产品，主要投资于固定收益类资产，包括货币市场工具、债券、非标准化债权资产等。本理财产品将结合宏观经济走势、利率走势的判断，加强信用风险把控，做好固定收益类资产的配置，通过稳健的投资策略，力争为投资者创造资产的稳健增值。</w:t>
      </w:r>
    </w:p>
    <w:p w14:paraId="3F42B2A6">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（二）投资范围</w:t>
      </w:r>
    </w:p>
    <w:p w14:paraId="4C370343">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rPr>
        <w:t>投资于各类资产，包括但不限于：</w:t>
      </w:r>
    </w:p>
    <w:p w14:paraId="586451E4">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 </w:t>
      </w:r>
      <w:r>
        <w:rPr>
          <w:rFonts w:hint="eastAsia" w:ascii="楷体" w:hAnsi="楷体" w:eastAsia="楷体" w:cs="楷体"/>
          <w:szCs w:val="21"/>
          <w:u w:val="none"/>
        </w:rPr>
        <w:t>固定收益类资产</w:t>
      </w:r>
    </w:p>
    <w:p w14:paraId="33F05863">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货币市场工具：现金、银行存款、大额存单、资金拆借、债券回购、货币基金等。</w:t>
      </w:r>
    </w:p>
    <w:p w14:paraId="65E86C2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14:paraId="7AEAB700">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标准化债权资产：信托贷款、信贷资产转让、收受益权、委托债权、应收账款、债权融资类产品、同业借款、收益凭证、债权投资计划和资产支持计划、信贷资产流转和收益权转让产品、其他非标准化债权类投资，以及监管部门认可的其他金融投资工具。</w:t>
      </w:r>
    </w:p>
    <w:p w14:paraId="6E77D2F4">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 w:hAnsi="楷体" w:eastAsia="楷体" w:cs="楷体"/>
          <w:szCs w:val="21"/>
          <w:lang w:val="en-US" w:eastAsia="zh-CN"/>
        </w:rPr>
        <w:t xml:space="preserve">2. </w:t>
      </w:r>
      <w:r>
        <w:rPr>
          <w:rFonts w:hint="eastAsia" w:ascii="楷体_GB2312" w:hAnsi="宋体" w:eastAsia="楷体_GB2312" w:cstheme="minorBidi"/>
          <w:szCs w:val="21"/>
          <w:highlight w:val="none"/>
          <w:u w:val="none"/>
        </w:rPr>
        <w:t>商品及金融衍生品类资产</w:t>
      </w:r>
    </w:p>
    <w:p w14:paraId="653B6361">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_GB2312" w:hAnsi="宋体" w:eastAsia="楷体_GB2312" w:cstheme="minorBidi"/>
          <w:szCs w:val="21"/>
          <w:highlight w:val="none"/>
          <w:u w:val="none"/>
        </w:rPr>
        <w:t>商品型基金、商品现货、商品期货、股指期货、国债期货、外汇期货、利率互换、收益互换、远期、掉期、期权、信用风险缓释工具、信用保护工具、债券借贷等各类衍生工具等。</w:t>
      </w:r>
    </w:p>
    <w:p w14:paraId="0C01B904">
      <w:pPr>
        <w:numPr>
          <w:ilvl w:val="12"/>
          <w:numId w:val="0"/>
        </w:numPr>
        <w:spacing w:line="360" w:lineRule="auto"/>
        <w:ind w:firstLine="420" w:firstLineChars="200"/>
        <w:contextualSpacing/>
        <w:rPr>
          <w:rFonts w:hint="eastAsia" w:ascii="楷体" w:hAnsi="楷体" w:eastAsia="楷体" w:cs="楷体"/>
          <w:szCs w:val="21"/>
          <w:lang w:val="en-US" w:eastAsia="zh-CN"/>
        </w:rPr>
      </w:pPr>
      <w:r>
        <w:rPr>
          <w:rFonts w:hint="eastAsia" w:ascii="楷体" w:hAnsi="楷体" w:eastAsia="楷体" w:cs="楷体"/>
          <w:szCs w:val="21"/>
          <w:lang w:val="en-US" w:eastAsia="zh-CN"/>
        </w:rPr>
        <w:t>3</w:t>
      </w:r>
      <w:r>
        <w:rPr>
          <w:rFonts w:hint="eastAsia" w:ascii="楷体" w:hAnsi="楷体" w:eastAsia="楷体" w:cs="楷体"/>
          <w:szCs w:val="21"/>
        </w:rPr>
        <w:t>.</w:t>
      </w:r>
      <w:r>
        <w:rPr>
          <w:rFonts w:hint="eastAsia" w:ascii="楷体" w:hAnsi="楷体" w:eastAsia="楷体" w:cs="楷体"/>
          <w:szCs w:val="21"/>
          <w:lang w:val="en-US" w:eastAsia="zh-CN"/>
        </w:rPr>
        <w:t xml:space="preserve"> </w:t>
      </w:r>
      <w:r>
        <w:rPr>
          <w:rFonts w:hint="eastAsia" w:ascii="楷体" w:hAnsi="楷体" w:eastAsia="楷体" w:cs="楷体"/>
          <w:szCs w:val="21"/>
        </w:rPr>
        <w:t>其它</w:t>
      </w:r>
      <w:r>
        <w:rPr>
          <w:rFonts w:hint="eastAsia" w:ascii="楷体" w:hAnsi="楷体" w:eastAsia="楷体" w:cs="楷体"/>
          <w:szCs w:val="21"/>
          <w:lang w:val="en-US" w:eastAsia="zh-CN"/>
        </w:rPr>
        <w:t>资产</w:t>
      </w:r>
    </w:p>
    <w:p w14:paraId="34CF56D9">
      <w:pPr>
        <w:numPr>
          <w:ilvl w:val="0"/>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优先股、权益性质的永续债等。</w:t>
      </w:r>
    </w:p>
    <w:p w14:paraId="6F558C5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u w:val="none"/>
          <w:lang w:val="en-US" w:eastAsia="zh-CN"/>
        </w:rPr>
        <w:t>注：</w:t>
      </w:r>
      <w:r>
        <w:rPr>
          <w:rFonts w:hint="eastAsia" w:ascii="楷体_GB2312" w:hAnsi="宋体" w:eastAsia="楷体_GB2312" w:cstheme="minorBidi"/>
          <w:b/>
          <w:bCs/>
          <w:szCs w:val="21"/>
          <w:u w:val="none"/>
          <w:lang w:val="en-US" w:eastAsia="zh-CN"/>
        </w:rPr>
        <w:t>理财产品投资于金融衍生品类资产前，需先获得相应的交易资格，</w:t>
      </w:r>
      <w:r>
        <w:rPr>
          <w:rFonts w:hint="eastAsia" w:ascii="楷体_GB2312" w:hAnsi="宋体" w:eastAsia="楷体_GB2312" w:cstheme="minorBidi"/>
          <w:b/>
          <w:bCs/>
          <w:szCs w:val="21"/>
          <w:highlight w:val="none"/>
          <w:u w:val="none"/>
          <w:lang w:val="en-US" w:eastAsia="zh-CN"/>
        </w:rPr>
        <w:t>根据获取资格类型开展相应的</w:t>
      </w:r>
      <w:r>
        <w:rPr>
          <w:rFonts w:hint="eastAsia" w:ascii="楷体_GB2312" w:hAnsi="宋体" w:eastAsia="楷体_GB2312" w:cstheme="minorBidi"/>
          <w:b/>
          <w:bCs/>
          <w:szCs w:val="21"/>
          <w:highlight w:val="none"/>
          <w:u w:val="none"/>
          <w:lang w:eastAsia="zh-CN"/>
        </w:rPr>
        <w:t>衍生品交易</w:t>
      </w:r>
      <w:r>
        <w:rPr>
          <w:rFonts w:hint="eastAsia" w:ascii="楷体_GB2312" w:hAnsi="宋体" w:eastAsia="楷体_GB2312" w:cstheme="minorBidi"/>
          <w:b w:val="0"/>
          <w:bCs w:val="0"/>
          <w:szCs w:val="21"/>
          <w:u w:val="none"/>
          <w:lang w:val="en-US" w:eastAsia="zh-CN"/>
        </w:rPr>
        <w:t>；</w:t>
      </w:r>
      <w:r>
        <w:rPr>
          <w:rFonts w:hint="eastAsia" w:ascii="楷体" w:hAnsi="楷体" w:eastAsia="楷体" w:cs="楷体"/>
          <w:szCs w:val="21"/>
        </w:rPr>
        <w:t>资产管理产品包括但不限于信托计划、证券公司及其资产管理公司资产管理计划、基金公司资产管理计划、保险资产管理公司投资计划</w:t>
      </w:r>
      <w:r>
        <w:rPr>
          <w:rFonts w:hint="eastAsia" w:ascii="楷体_GB2312" w:hAnsi="宋体" w:eastAsia="楷体_GB2312" w:cstheme="minorBidi"/>
          <w:szCs w:val="21"/>
          <w:u w:val="none"/>
        </w:rPr>
        <w:t>、期货公司资产管理计划等</w:t>
      </w:r>
      <w:r>
        <w:rPr>
          <w:rFonts w:hint="eastAsia" w:ascii="楷体" w:hAnsi="楷体" w:eastAsia="楷体" w:cs="楷体"/>
          <w:szCs w:val="21"/>
        </w:rPr>
        <w:t>。</w:t>
      </w:r>
    </w:p>
    <w:p w14:paraId="0E36DCAA">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14:paraId="2287FC4E">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w:t>
      </w:r>
      <w:r>
        <w:rPr>
          <w:rFonts w:hint="eastAsia" w:ascii="楷体" w:hAnsi="楷体" w:eastAsia="楷体" w:cs="楷体"/>
          <w:b/>
          <w:szCs w:val="21"/>
        </w:rPr>
        <w:t>本理财产品可能与理财产品管理人/托管人及其关联方管理的投资组合之间互为交易对手或从事其他类型的关联交易。</w:t>
      </w:r>
      <w:r>
        <w:rPr>
          <w:rFonts w:hint="eastAsia" w:ascii="楷体" w:hAnsi="楷体" w:eastAsia="楷体" w:cs="楷体"/>
          <w:b/>
          <w:bCs/>
          <w:szCs w:val="21"/>
        </w:rPr>
        <w:t>本产品实际发生的关联交易（无论是否在上述列举范围内）以管理人按照相关法律法规、规章和监管规定进行的相关披露为准。</w:t>
      </w:r>
    </w:p>
    <w:p w14:paraId="1A3D0CDA">
      <w:pPr>
        <w:pStyle w:val="3"/>
        <w:keepNext w:val="0"/>
        <w:keepLines w:val="0"/>
        <w:widowControl/>
        <w:spacing w:before="0" w:after="0" w:line="360" w:lineRule="auto"/>
        <w:ind w:firstLine="422" w:firstLineChars="200"/>
        <w:rPr>
          <w:rFonts w:ascii="楷体" w:hAnsi="楷体" w:eastAsia="楷体"/>
          <w:color w:val="000000"/>
          <w:sz w:val="21"/>
        </w:rPr>
      </w:pPr>
      <w:r>
        <w:rPr>
          <w:rFonts w:hint="eastAsia" w:ascii="楷体" w:hAnsi="楷体" w:eastAsia="楷体"/>
          <w:color w:val="000000"/>
          <w:sz w:val="21"/>
        </w:rPr>
        <w:t>（三）</w:t>
      </w:r>
      <w:r>
        <w:rPr>
          <w:rFonts w:ascii="楷体" w:hAnsi="楷体" w:eastAsia="楷体"/>
          <w:color w:val="000000"/>
          <w:sz w:val="21"/>
        </w:rPr>
        <w:t>投资比例</w:t>
      </w:r>
    </w:p>
    <w:p w14:paraId="4A31828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各投资品种的计划配置比例如下：</w:t>
      </w:r>
    </w:p>
    <w:tbl>
      <w:tblPr>
        <w:tblStyle w:val="11"/>
        <w:tblW w:w="77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639"/>
        <w:gridCol w:w="5157"/>
      </w:tblGrid>
      <w:tr w14:paraId="2B0C9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14:paraId="349585DE">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投资品种  </w:t>
            </w:r>
          </w:p>
        </w:tc>
        <w:tc>
          <w:tcPr>
            <w:tcW w:w="5157" w:type="dxa"/>
            <w:shd w:val="clear" w:color="auto" w:fill="auto"/>
            <w:tcMar>
              <w:top w:w="45" w:type="dxa"/>
              <w:left w:w="105" w:type="dxa"/>
              <w:bottom w:w="0" w:type="dxa"/>
              <w:right w:w="120" w:type="dxa"/>
            </w:tcMar>
          </w:tcPr>
          <w:p w14:paraId="65D2B9F8">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计划配置比例</w:t>
            </w:r>
          </w:p>
        </w:tc>
      </w:tr>
      <w:tr w14:paraId="331D7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14:paraId="4B6E80FA">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固定收益类资产</w:t>
            </w:r>
          </w:p>
        </w:tc>
        <w:tc>
          <w:tcPr>
            <w:tcW w:w="5157" w:type="dxa"/>
            <w:shd w:val="clear" w:color="auto" w:fill="auto"/>
            <w:tcMar>
              <w:top w:w="45" w:type="dxa"/>
              <w:left w:w="105" w:type="dxa"/>
              <w:bottom w:w="0" w:type="dxa"/>
              <w:right w:w="120" w:type="dxa"/>
            </w:tcMar>
          </w:tcPr>
          <w:p w14:paraId="56D93CE9">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不低于80%</w:t>
            </w:r>
          </w:p>
        </w:tc>
      </w:tr>
      <w:tr w14:paraId="15DFD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14:paraId="4A15AB41">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highlight w:val="none"/>
                <w:u w:val="none"/>
              </w:rPr>
              <w:t>商品及金融衍生品类资产</w:t>
            </w:r>
            <w:r>
              <w:rPr>
                <w:rFonts w:hint="eastAsia" w:ascii="楷体" w:hAnsi="楷体" w:eastAsia="楷体" w:cs="楷体"/>
                <w:b/>
                <w:bCs/>
                <w:kern w:val="2"/>
                <w:sz w:val="21"/>
                <w:szCs w:val="21"/>
                <w:highlight w:val="none"/>
                <w:u w:val="none"/>
                <w:lang w:eastAsia="zh-CN"/>
              </w:rPr>
              <w:t>、</w:t>
            </w:r>
            <w:r>
              <w:rPr>
                <w:rFonts w:hint="eastAsia" w:ascii="楷体" w:hAnsi="楷体" w:eastAsia="楷体" w:cs="楷体"/>
                <w:b/>
                <w:bCs/>
                <w:kern w:val="2"/>
                <w:sz w:val="21"/>
                <w:szCs w:val="21"/>
              </w:rPr>
              <w:t>其它资产</w:t>
            </w:r>
            <w:r>
              <w:rPr>
                <w:rFonts w:hint="eastAsia" w:ascii="楷体" w:hAnsi="楷体" w:eastAsia="楷体" w:cs="楷体"/>
                <w:b/>
                <w:bCs/>
                <w:kern w:val="2"/>
                <w:sz w:val="21"/>
                <w:szCs w:val="21"/>
                <w:lang w:val="en-US" w:eastAsia="zh-CN"/>
              </w:rPr>
              <w:t>合计</w:t>
            </w:r>
          </w:p>
        </w:tc>
        <w:tc>
          <w:tcPr>
            <w:tcW w:w="5157" w:type="dxa"/>
            <w:shd w:val="clear" w:color="auto" w:fill="auto"/>
            <w:tcMar>
              <w:top w:w="45" w:type="dxa"/>
              <w:left w:w="105" w:type="dxa"/>
              <w:bottom w:w="0" w:type="dxa"/>
              <w:right w:w="120" w:type="dxa"/>
            </w:tcMar>
          </w:tcPr>
          <w:p w14:paraId="7CF92E82">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不高于20%</w:t>
            </w:r>
          </w:p>
        </w:tc>
      </w:tr>
    </w:tbl>
    <w:p w14:paraId="5CA1144A">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注：理财产品投资于金融衍生品类资产前，需先获得相应的交易资格，根据获取资格类型开展相应的衍生品交易。本产品可能投资不存在活跃交易市场，并且需要采用估值技术确定公允价值的资产，且投资上述资产的比例达到理财产品净资产50%以上。</w:t>
      </w:r>
    </w:p>
    <w:p w14:paraId="20040A6F">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相关法律法规和监管部门对以上投资范围和配置比例有另行规定的，按照监管最新规定执行。如监管对投资比例无其他明确规定和要求的，由产品管理人与托管人协商确定计算方法。</w:t>
      </w:r>
    </w:p>
    <w:p w14:paraId="17E3FC1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14:paraId="7C21F1EC">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（四）投资策略</w:t>
      </w:r>
    </w:p>
    <w:p w14:paraId="1B47CBCA">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14:paraId="4E876021">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1.大类资产配置</w:t>
      </w:r>
    </w:p>
    <w:p w14:paraId="779BCB6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14:paraId="1E90E57C">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w:t>
      </w:r>
      <w:r>
        <w:rPr>
          <w:rFonts w:hint="eastAsia" w:ascii="楷体" w:hAnsi="楷体" w:eastAsia="楷体" w:cs="楷体"/>
          <w:szCs w:val="21"/>
          <w:lang w:eastAsia="zh-CN"/>
        </w:rPr>
        <w:t>.</w:t>
      </w:r>
      <w:r>
        <w:rPr>
          <w:rFonts w:hint="eastAsia" w:ascii="楷体" w:hAnsi="楷体" w:eastAsia="楷体" w:cs="楷体"/>
          <w:szCs w:val="21"/>
        </w:rPr>
        <w:t>利率预期策略与组合久期管理</w:t>
      </w:r>
    </w:p>
    <w:p w14:paraId="5DBA6857">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通过对宏观经济走势的研究，对市场利率波动与趋势做出预期和判断，并在综合考虑组合流动性的前提下，调整组合的资产配置久期。</w:t>
      </w:r>
    </w:p>
    <w:p w14:paraId="6869E772">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w:t>
      </w:r>
      <w:r>
        <w:rPr>
          <w:rFonts w:hint="eastAsia" w:ascii="楷体" w:hAnsi="楷体" w:eastAsia="楷体" w:cs="楷体"/>
          <w:szCs w:val="21"/>
          <w:lang w:eastAsia="zh-CN"/>
        </w:rPr>
        <w:t>.</w:t>
      </w:r>
      <w:r>
        <w:rPr>
          <w:rFonts w:hint="eastAsia" w:ascii="楷体" w:hAnsi="楷体" w:eastAsia="楷体" w:cs="楷体"/>
          <w:szCs w:val="21"/>
        </w:rPr>
        <w:t>交易策略</w:t>
      </w:r>
    </w:p>
    <w:p w14:paraId="12F69C5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根据对市场利率波动与趋势的判断选取高流动性的金融工具进行波段交易，以期获得交易性收益。</w:t>
      </w:r>
    </w:p>
    <w:p w14:paraId="35E8AF5B">
      <w:pPr>
        <w:pStyle w:val="3"/>
        <w:keepNext w:val="0"/>
        <w:keepLines w:val="0"/>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w:t>
      </w:r>
      <w:r>
        <w:rPr>
          <w:rFonts w:hint="eastAsia" w:ascii="楷体" w:hAnsi="楷体" w:eastAsia="楷体" w:cs="楷体"/>
          <w:sz w:val="21"/>
        </w:rPr>
        <w:t>五</w:t>
      </w:r>
      <w:r>
        <w:rPr>
          <w:rFonts w:hint="eastAsia" w:ascii="楷体" w:hAnsi="楷体" w:eastAsia="楷体" w:cs="楷体"/>
          <w:color w:val="000000"/>
          <w:sz w:val="21"/>
        </w:rPr>
        <w:t>）</w:t>
      </w:r>
      <w:r>
        <w:rPr>
          <w:rFonts w:hint="eastAsia" w:ascii="楷体" w:hAnsi="楷体" w:eastAsia="楷体" w:cs="楷体"/>
          <w:sz w:val="21"/>
        </w:rPr>
        <w:t>投资限制 </w:t>
      </w:r>
    </w:p>
    <w:p w14:paraId="5DF89EB0">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1.对本产品的投资限制如下：</w:t>
      </w:r>
    </w:p>
    <w:p w14:paraId="5887B2F5">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（1）本理财产品投资于单只证券、单只公募证券投资基金的市值不超过本产品净资产的10%。</w:t>
      </w:r>
    </w:p>
    <w:p w14:paraId="3FAF43B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（2）管理人发行的全部公募理财产品投资单只证券或者单只公募证券投资基金的市值不得超过该证券市值或者公募证券投资基金市值的30%。</w:t>
      </w:r>
    </w:p>
    <w:p w14:paraId="0A3861F2">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非因管理人主观因素致使不符合前述比例限制的，管理人将在流动性受限资产可出售、可转让或者恢复交易的10个交易日内调整至符合相关要求。</w:t>
      </w:r>
    </w:p>
    <w:p w14:paraId="71783143">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2.本理财产品总资产/理财产品净资产不超过200%（如监管有最新规定的参照监管规定调整）。</w:t>
      </w:r>
    </w:p>
    <w:p w14:paraId="5AFED3CF">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3.本产品不得直接或间接投资于未上市企业股权及其受（收）益权。</w:t>
      </w:r>
    </w:p>
    <w:p w14:paraId="01CAA877">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4.相关法律法规和监管部门对以上投资范围和配置比例有另行规定的，按照监管最新规定执行。</w:t>
      </w:r>
    </w:p>
    <w:p w14:paraId="4A44AA27">
      <w:pPr>
        <w:pStyle w:val="2"/>
        <w:spacing w:before="120" w:after="120" w:line="240" w:lineRule="auto"/>
        <w:rPr>
          <w:rFonts w:ascii="楷体" w:hAnsi="楷体" w:eastAsia="楷体"/>
          <w:sz w:val="28"/>
          <w:szCs w:val="28"/>
        </w:rPr>
      </w:pPr>
      <w:r>
        <w:rPr>
          <w:rFonts w:hint="eastAsia" w:ascii="楷体" w:hAnsi="楷体" w:eastAsia="楷体"/>
          <w:sz w:val="28"/>
          <w:szCs w:val="28"/>
        </w:rPr>
        <w:t>五</w:t>
      </w:r>
      <w:r>
        <w:rPr>
          <w:rFonts w:ascii="楷体" w:hAnsi="楷体" w:eastAsia="楷体"/>
          <w:sz w:val="28"/>
          <w:szCs w:val="28"/>
        </w:rPr>
        <w:t>、</w:t>
      </w:r>
      <w:r>
        <w:rPr>
          <w:rFonts w:hint="eastAsia" w:ascii="楷体" w:hAnsi="楷体" w:eastAsia="楷体"/>
          <w:sz w:val="28"/>
          <w:szCs w:val="28"/>
        </w:rPr>
        <w:t>产品认购和赎回</w:t>
      </w:r>
    </w:p>
    <w:p w14:paraId="0F3F023E">
      <w:pPr>
        <w:pStyle w:val="3"/>
        <w:spacing w:before="0" w:after="0" w:line="360" w:lineRule="auto"/>
        <w:ind w:firstLine="422" w:firstLineChars="200"/>
        <w:rPr>
          <w:rFonts w:ascii="楷体" w:hAnsi="楷体" w:eastAsia="楷体"/>
          <w:sz w:val="21"/>
        </w:rPr>
      </w:pPr>
      <w:r>
        <w:rPr>
          <w:rFonts w:hint="eastAsia" w:ascii="楷体" w:hAnsi="楷体" w:eastAsia="楷体"/>
          <w:sz w:val="21"/>
        </w:rPr>
        <w:t>（一）</w:t>
      </w:r>
      <w:r>
        <w:rPr>
          <w:rFonts w:ascii="楷体" w:hAnsi="楷体" w:eastAsia="楷体"/>
          <w:sz w:val="21"/>
        </w:rPr>
        <w:t>理财产品认购</w:t>
      </w:r>
    </w:p>
    <w:p w14:paraId="0B961C7B">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1.认购期</w:t>
      </w:r>
    </w:p>
    <w:p w14:paraId="07037155">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rPr>
        <w:t>本产品认购期为【2026】年【02】月【26】日【08:00】至【2026】年【03】月【05】日【19:00】。</w:t>
      </w:r>
      <w:r>
        <w:rPr>
          <w:rFonts w:hint="eastAsia" w:ascii="楷体" w:hAnsi="楷体" w:eastAsia="楷体" w:cs="楷体"/>
          <w:b/>
          <w:bCs/>
        </w:rPr>
        <w:t>销售机构实际受理时间可能与《产品说明书》不一致，具体以销售机构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。管理人可在认购期内公告延长或提前终止产品认购期，实际认购期以管理人公告为准。</w:t>
      </w:r>
    </w:p>
    <w:p w14:paraId="72F4F8C7">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2.认购价格</w:t>
      </w:r>
    </w:p>
    <w:p w14:paraId="06040F4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本产品初始份额净值为1元人民币/份。</w:t>
      </w:r>
    </w:p>
    <w:p w14:paraId="6A8440E8">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3.产品规模</w:t>
      </w:r>
    </w:p>
    <w:p w14:paraId="68FC7DAF">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产品最低发行规模为【1.00万元】，如认购金额不足【1.00万元】，管理人有权宣布理财产品不成立。</w:t>
      </w:r>
    </w:p>
    <w:p w14:paraId="637ADEAF">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产品发行规模上限为【30.00亿元】，认购期届满前，如产品发行规模达到规模上限，</w:t>
      </w:r>
      <w:r>
        <w:rPr>
          <w:rFonts w:hint="eastAsia" w:ascii="楷体" w:hAnsi="楷体" w:eastAsia="楷体" w:cs="楷体"/>
        </w:rPr>
        <w:t>管理人有权暂停</w:t>
      </w:r>
      <w:r>
        <w:rPr>
          <w:rFonts w:hint="eastAsia" w:ascii="楷体" w:hAnsi="楷体" w:eastAsia="楷体" w:cs="楷体"/>
          <w:szCs w:val="21"/>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14:paraId="56F67E15">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4.认购金额</w:t>
      </w:r>
    </w:p>
    <w:p w14:paraId="5E874F71">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在理财产品认购期内，本理财产品客户首次认购的最低金额为【1.00元】，超出部分应为【1.00元】的整数倍。最低追加认购金额为【1.00元】，超出部分应为【1.00元】的整数倍。</w:t>
      </w:r>
      <w:r>
        <w:rPr>
          <w:rFonts w:hint="eastAsia" w:ascii="楷体" w:hAnsi="楷体" w:eastAsia="楷体" w:cs="楷体"/>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14:paraId="6C1A2D0F">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5.认购费用</w:t>
      </w:r>
    </w:p>
    <w:p w14:paraId="17125F90">
      <w:pPr>
        <w:spacing w:line="360" w:lineRule="auto"/>
        <w:ind w:firstLine="420" w:firstLineChars="200"/>
        <w:contextualSpacing/>
        <w:rPr>
          <w:rFonts w:hint="eastAsia" w:ascii="楷体" w:hAnsi="楷体" w:eastAsia="楷体" w:cs="楷体"/>
        </w:rPr>
      </w:pPr>
      <w:r>
        <w:rPr>
          <w:rFonts w:hint="eastAsia" w:ascii="楷体" w:hAnsi="楷体" w:eastAsia="楷体" w:cs="楷体"/>
        </w:rPr>
        <w:t>本理财产品认购费率：【/】。</w:t>
      </w:r>
    </w:p>
    <w:p w14:paraId="5BC08044">
      <w:pPr>
        <w:spacing w:line="360" w:lineRule="auto"/>
        <w:ind w:firstLine="420" w:firstLineChars="200"/>
        <w:contextualSpacing/>
        <w:rPr>
          <w:rFonts w:hint="eastAsia" w:ascii="楷体" w:hAnsi="楷体" w:eastAsia="楷体" w:cs="楷体"/>
        </w:rPr>
      </w:pPr>
      <w:r>
        <w:rPr>
          <w:rFonts w:hint="eastAsia" w:ascii="楷体" w:hAnsi="楷体" w:eastAsia="楷体" w:cs="楷体"/>
        </w:rPr>
        <w:t>该费用</w:t>
      </w:r>
      <w:r>
        <w:rPr>
          <w:rFonts w:hint="eastAsia" w:ascii="楷体" w:hAnsi="楷体" w:eastAsia="楷体" w:cs="楷体"/>
          <w:szCs w:val="21"/>
        </w:rPr>
        <w:t>由投资者承担并于认购份额时一次性支付。</w:t>
      </w:r>
    </w:p>
    <w:p w14:paraId="4B6C3880">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6.认购数量限制</w:t>
      </w:r>
    </w:p>
    <w:p w14:paraId="22A381C8">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本理财产品单户累计最大购买金额为【5,000.00万元】，且单一投资者持有份额不得超过产品总份额50%。投资者认购确认后可能导致其持有份额超过产品总份额50%的，管理人有权拒绝或暂停认购。非因管理人主观因素导致突破该比例限制的，在单一投资者持有比例降至50%以下之前，管理人不再接受该投资者对本产品的认购申请。</w:t>
      </w:r>
    </w:p>
    <w:p w14:paraId="6DF4D880">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7.认购方式及确认</w:t>
      </w:r>
    </w:p>
    <w:p w14:paraId="4C8E7530">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（1）本理财产品采取金额认购的方式。</w:t>
      </w:r>
    </w:p>
    <w:p w14:paraId="0CA4981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确认日根据投资者的认购申请为投资者成功登记认购份额，则视为投资者的认购申请生效，并以管理人的登记记录为准。投资者应在本理财产品成立后及时查询最终成交确认情况和认购的份额。</w:t>
      </w:r>
    </w:p>
    <w:p w14:paraId="51A953E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（3）认购撤单</w:t>
      </w:r>
    </w:p>
    <w:p w14:paraId="7CDD07A3">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投资者可通过销售机构和管理人认可的方式办理撤销本理财产品份额，投资者在认购期内的撤单规则，以销售机构受理规则为准。</w:t>
      </w:r>
    </w:p>
    <w:p w14:paraId="31AD78E5">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（4）投资者在募集期内认购本理财产品被受理后，销售机构有权冻结或预扣认购款项，</w:t>
      </w:r>
      <w:r>
        <w:rPr>
          <w:rFonts w:hint="eastAsia" w:ascii="楷体" w:hAnsi="楷体" w:eastAsia="楷体" w:cs="楷体"/>
          <w:b/>
          <w:bCs/>
          <w:szCs w:val="21"/>
        </w:rPr>
        <w:t>冻结或预扣期间管理人不向投资者计付利息，销售机构是否计付利息以销售机构计息规则为准，</w:t>
      </w:r>
      <w:r>
        <w:rPr>
          <w:rFonts w:hint="eastAsia" w:ascii="楷体" w:hAnsi="楷体" w:eastAsia="楷体" w:cs="楷体"/>
          <w:b/>
          <w:bCs/>
        </w:rPr>
        <w:t>利息部分不计入认购本金</w:t>
      </w:r>
      <w:r>
        <w:rPr>
          <w:rFonts w:hint="eastAsia" w:ascii="楷体" w:hAnsi="楷体" w:eastAsia="楷体" w:cs="楷体"/>
          <w:b/>
          <w:bCs/>
          <w:szCs w:val="21"/>
        </w:rPr>
        <w:t>。</w:t>
      </w:r>
    </w:p>
    <w:p w14:paraId="41A0D34B">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8.认购份额的计算</w:t>
      </w:r>
    </w:p>
    <w:p w14:paraId="421CBE6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本理财产品认购份额的具体计算方法如下：</w:t>
      </w:r>
    </w:p>
    <w:p w14:paraId="54672215">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认购份额＝认购金额÷（1+认购费率）÷产品初始份额净值</w:t>
      </w:r>
    </w:p>
    <w:p w14:paraId="33C646E0">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认购份额采用四舍五入法保留至小数点后2位。</w:t>
      </w:r>
    </w:p>
    <w:p w14:paraId="3CEA03BF">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示例：</w:t>
      </w:r>
      <w:r>
        <w:rPr>
          <w:rFonts w:hint="eastAsia" w:ascii="楷体" w:hAnsi="楷体" w:eastAsia="楷体" w:cs="楷体"/>
        </w:rPr>
        <w:t>【假定某投资者投资100元人民币认购本理财产品，认购费率为0.00%，则其可得到的认购份额计算如下：</w:t>
      </w:r>
      <w:r>
        <w:rPr>
          <w:rFonts w:hint="eastAsia" w:ascii="楷体" w:hAnsi="楷体" w:eastAsia="楷体" w:cs="楷体"/>
        </w:rPr>
        <w:br w:type="textWrapping"/>
      </w:r>
      <w:r>
        <w:rPr>
          <w:rFonts w:hint="eastAsia" w:ascii="楷体" w:hAnsi="楷体" w:eastAsia="楷体" w:cs="楷体"/>
        </w:rPr>
        <w:t xml:space="preserve">    认购份额＝100÷（1+0.00%）÷1.00元/份＝100份】</w:t>
      </w:r>
    </w:p>
    <w:p w14:paraId="5683B5B7">
      <w:pPr>
        <w:spacing w:line="360" w:lineRule="auto"/>
        <w:ind w:firstLine="420" w:firstLineChars="200"/>
        <w:contextualSpacing/>
        <w:rPr>
          <w:rFonts w:hint="eastAsia" w:ascii="楷体" w:hAnsi="楷体" w:eastAsia="楷体" w:cs="楷体"/>
        </w:rPr>
      </w:pPr>
      <w:r>
        <w:rPr>
          <w:rFonts w:hint="eastAsia" w:ascii="楷体" w:hAnsi="楷体" w:eastAsia="楷体" w:cs="楷体"/>
        </w:rPr>
        <w:t>（二）产品的其他交易规则</w:t>
      </w:r>
    </w:p>
    <w:p w14:paraId="6B352E23">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14:paraId="36E34B73">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2.份额冻结：管理人、销售机构可协助司法机关等因执行公务需要冻结客户的理财份额。</w:t>
      </w:r>
    </w:p>
    <w:p w14:paraId="5C4366C4">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3.强制赎回：管理人、销售机构可协助司法机关等因执行公务需要，凭有关执行文件强制将客户本产品理财份额赎回，赎回的金额将划入该客户原授权指定账户。</w:t>
      </w:r>
    </w:p>
    <w:bookmarkEnd w:id="8"/>
    <w:p w14:paraId="53694C19">
      <w:pPr>
        <w:pStyle w:val="2"/>
        <w:spacing w:before="120" w:after="120" w:line="240" w:lineRule="auto"/>
        <w:rPr>
          <w:rFonts w:ascii="楷体" w:hAnsi="楷体" w:eastAsia="楷体"/>
          <w:sz w:val="28"/>
          <w:szCs w:val="28"/>
        </w:rPr>
      </w:pPr>
      <w:r>
        <w:rPr>
          <w:rFonts w:hint="eastAsia" w:ascii="楷体" w:hAnsi="楷体" w:eastAsia="楷体"/>
          <w:sz w:val="28"/>
          <w:szCs w:val="28"/>
        </w:rPr>
        <w:t>六</w:t>
      </w:r>
      <w:r>
        <w:rPr>
          <w:rFonts w:ascii="楷体" w:hAnsi="楷体" w:eastAsia="楷体"/>
          <w:sz w:val="28"/>
          <w:szCs w:val="28"/>
        </w:rPr>
        <w:t>、</w:t>
      </w:r>
      <w:r>
        <w:rPr>
          <w:rFonts w:hint="eastAsia" w:ascii="楷体" w:hAnsi="楷体" w:eastAsia="楷体"/>
          <w:sz w:val="28"/>
          <w:szCs w:val="28"/>
        </w:rPr>
        <w:t>理财</w:t>
      </w:r>
      <w:r>
        <w:rPr>
          <w:rFonts w:ascii="楷体" w:hAnsi="楷体" w:eastAsia="楷体"/>
          <w:sz w:val="28"/>
          <w:szCs w:val="28"/>
        </w:rPr>
        <w:t>产品估值</w:t>
      </w:r>
    </w:p>
    <w:p w14:paraId="01ECBFAA">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rPr>
        <w:t>。</w:t>
      </w:r>
      <w:r>
        <w:rPr>
          <w:rFonts w:hint="eastAsia" w:ascii="楷体" w:hAnsi="楷体" w:eastAsia="楷体" w:cs="楷体"/>
        </w:rPr>
        <w:t>管理人在估值日扣除理财产品承担的各项费用、税费（如有）后，计算理财产品份额净值和</w:t>
      </w:r>
      <w:r>
        <w:rPr>
          <w:rFonts w:hint="eastAsia" w:ascii="楷体" w:hAnsi="楷体" w:eastAsia="楷体" w:cs="楷体"/>
          <w:szCs w:val="21"/>
        </w:rPr>
        <w:t>理财产品份额累计净值</w:t>
      </w:r>
      <w:r>
        <w:rPr>
          <w:rFonts w:hint="eastAsia" w:ascii="楷体" w:hAnsi="楷体" w:eastAsia="楷体" w:cs="楷体"/>
        </w:rPr>
        <w:t>，并于估值日后的三个工作日内通过“信息披露”约定的渠道发布。</w:t>
      </w:r>
      <w:r>
        <w:rPr>
          <w:rFonts w:hint="eastAsia" w:ascii="楷体" w:hAnsi="楷体" w:eastAsia="楷体" w:cs="楷体"/>
          <w:szCs w:val="21"/>
        </w:rPr>
        <w:t>管理人有权对以上产品估值规则进行修改，并通过《产品说明书》“信息披露”约定的方式进行披露。</w:t>
      </w:r>
    </w:p>
    <w:p w14:paraId="37C59A71">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理财产品某一类份额的份额净值指1份理财产品份额以人民币计价的价格。</w:t>
      </w:r>
    </w:p>
    <w:p w14:paraId="72C3CED0">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理财产品某一类份额的份额净值＝理财产品该类份额资产净值÷理财产品该类份额总份额</w:t>
      </w:r>
    </w:p>
    <w:p w14:paraId="1BE28F98">
      <w:pPr>
        <w:spacing w:line="360" w:lineRule="auto"/>
        <w:ind w:firstLine="422" w:firstLineChars="200"/>
        <w:contextualSpacing/>
        <w:outlineLvl w:val="1"/>
        <w:rPr>
          <w:rFonts w:hint="eastAsia" w:ascii="楷体" w:hAnsi="楷体" w:eastAsia="楷体" w:cs="楷体"/>
          <w:b/>
          <w:bCs/>
          <w:szCs w:val="21"/>
        </w:rPr>
      </w:pPr>
      <w:r>
        <w:rPr>
          <w:rFonts w:hint="eastAsia" w:ascii="楷体" w:hAnsi="楷体" w:eastAsia="楷体" w:cs="楷体"/>
          <w:b/>
          <w:bCs/>
          <w:szCs w:val="21"/>
        </w:rPr>
        <w:t xml:space="preserve">（一）估值原则 </w:t>
      </w:r>
    </w:p>
    <w:p w14:paraId="5465547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1.适配性原则：金融资产的估值方法与理财产品的类型相匹配。 </w:t>
      </w:r>
    </w:p>
    <w:p w14:paraId="09B50B7A">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2.审慎性原则：审慎确认和计量金融资产的公允价值，不高估公允价值收益，不低估公允价值损失。 </w:t>
      </w:r>
    </w:p>
    <w:p w14:paraId="4B949164">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3.充分性原则：估值过程中充分考虑金融资产的性质、重要性级及复杂程度等因素。 </w:t>
      </w:r>
    </w:p>
    <w:p w14:paraId="47C247AF">
      <w:pPr>
        <w:spacing w:line="360" w:lineRule="auto"/>
        <w:ind w:firstLine="420" w:firstLineChars="200"/>
        <w:contextualSpacing/>
        <w:rPr>
          <w:rFonts w:ascii="楷体_GB2312" w:hAnsi="宋体" w:eastAsia="楷体_GB2312"/>
          <w:b/>
          <w:bCs/>
          <w:szCs w:val="21"/>
        </w:rPr>
      </w:pPr>
      <w:r>
        <w:rPr>
          <w:rFonts w:hint="eastAsia" w:ascii="楷体" w:hAnsi="楷体" w:eastAsia="楷体" w:cs="楷体"/>
          <w:szCs w:val="21"/>
        </w:rPr>
        <w:t>4.清晰性原则：估值方法应清晰明了，便于理解和应用，能清晰反应金融资产的性质。</w:t>
      </w:r>
    </w:p>
    <w:p w14:paraId="3A54C1B4">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（二）估值方法</w:t>
      </w:r>
    </w:p>
    <w:p w14:paraId="29AFE691">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szCs w:val="21"/>
        </w:rPr>
        <w:t>1.</w:t>
      </w:r>
      <w:r>
        <w:rPr>
          <w:rFonts w:hint="eastAsia" w:ascii="楷体" w:hAnsi="楷体" w:eastAsia="楷体" w:cs="楷体"/>
          <w:bCs/>
          <w:szCs w:val="21"/>
        </w:rPr>
        <w:t>理财产品直接持有的在证券交易所和全国银行间市场交易的债券，（1）若投资以收取合同现金流量为目的并持有到期的，可使用摊余成本法计量。（2）理财产品直接持有的除（1）以外的在证券交易所和全国银行间市场交易的债券，以公允价值计量，主要依据第三方估值机构（中债、中证等）提供的估值数据，对本组合持有的债券进行估值，具体第三方估值机构由管理人和托管行具体协商确定。如监管另有规定的，按照监管的最新规定进行调整。如本产品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14:paraId="652F1336">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bCs/>
          <w:szCs w:val="21"/>
        </w:rPr>
        <w:t>2.未上市期间的有价证券（如有）应区分如下情况处理：</w:t>
      </w:r>
    </w:p>
    <w:p w14:paraId="4FABEE1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首次公开发行未上市或未挂牌转让的债券，采用估值技术确定公允价值，在估值技术难以可靠计量公允价值的情况下，按成本估值。</w:t>
      </w:r>
    </w:p>
    <w:p w14:paraId="1E905CFD">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3.交易所上市未实行净价交易的债券按估值日收盘全价或第三方估值机构提供的相应品种当日的估值全价减去收盘价或估值全价中所含的债券应收利息得到的净价进行估值。</w:t>
      </w:r>
    </w:p>
    <w:p w14:paraId="1951DF5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4.可转换私募债券（如有）和可交换私募债券（如有）未转股前按照公允价值估值。</w:t>
      </w:r>
    </w:p>
    <w:p w14:paraId="5271BA20">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5.投资于信托计划、资产管理计划等的资产：</w:t>
      </w:r>
    </w:p>
    <w:p w14:paraId="4F67D512">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（1）按合同约定的估值方案，以信托计划的受托人、资产管理计划的管理人等和资产托管人共同确认的最新估值数据对本组合持有的资管计划进行估值。</w:t>
      </w:r>
    </w:p>
    <w:p w14:paraId="55770D1E">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所持有的非标准化债权资产、同业类资产，以收取合同现金流量为目的并持有到期的，按照企业会计准则要求，以摊余成本法计量，否则按照估值技术确定其公允价值。如监管另有规定的，按照监管的最新规定进行调整。</w:t>
      </w:r>
    </w:p>
    <w:p w14:paraId="2EC209B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6.债券回购和拆借按买入成本列示，按照票面利率或者商定利率每日计提收益。</w:t>
      </w:r>
    </w:p>
    <w:p w14:paraId="28C1A42A">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7.投资证券投资基金的估值方法：</w:t>
      </w:r>
    </w:p>
    <w:p w14:paraId="6201CDAA">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（1）对于交易所上市的ETF基金、定期开放式基金、封闭式基金，按其所在证券交易所的收盘价估值；</w:t>
      </w:r>
    </w:p>
    <w:p w14:paraId="37479EEF">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（2）对于交易所上市的开放式基金（LOF），按所投资基金的基金管理人披露且可取得的最新净值（如无当日则为上一交易日）进行估值；</w:t>
      </w:r>
    </w:p>
    <w:p w14:paraId="4CF3D77A">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14:paraId="6DE08A81">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（4）对于未在交易所上市的场外基金，按可取得的最新净值（如无当日则为上一交易日）的基金单位净值估值；</w:t>
      </w:r>
    </w:p>
    <w:p w14:paraId="1B37B46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（5）对于未在交易所上市的货币市场基金，按基金管理公司披露的可取得的最新净值（如无当日则为上一交易日）每万份收益计提收益；</w:t>
      </w:r>
    </w:p>
    <w:p w14:paraId="388806EE">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14:paraId="1365955E">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14:paraId="1FA8FC3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不满足上述条件的，可根据优先股的股息支付条款，采用现金流折现模型等估值模型，或第三方估值机构提供的价格数据估值,当上述价格难以获取且认为成本能够近似体现公允价值，可采用成本法估值。</w:t>
      </w:r>
    </w:p>
    <w:p w14:paraId="68941942">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szCs w:val="21"/>
        </w:rPr>
        <w:t>9.</w:t>
      </w:r>
      <w:r>
        <w:rPr>
          <w:rFonts w:hint="eastAsia" w:ascii="楷体" w:hAnsi="楷体" w:eastAsia="楷体" w:cs="楷体"/>
          <w:b w:val="0"/>
          <w:bCs w:val="0"/>
          <w:szCs w:val="21"/>
          <w:u w:val="none"/>
        </w:rPr>
        <w:t>衍生金融工具估值</w:t>
      </w:r>
      <w:r>
        <w:rPr>
          <w:rFonts w:hint="eastAsia" w:ascii="楷体" w:hAnsi="楷体" w:eastAsia="楷体" w:cs="楷体"/>
          <w:b w:val="0"/>
          <w:bCs w:val="0"/>
          <w:szCs w:val="21"/>
          <w:u w:val="none"/>
          <w:lang w:eastAsia="zh-CN"/>
        </w:rPr>
        <w:t>：</w:t>
      </w:r>
    </w:p>
    <w:p w14:paraId="0D2A25A4">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14:paraId="3D967691">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对于非交易所交易的衍生金融工具，可依据第三方机构提供的价格数据或采取相应衍生金融工具估值模型确定公允价值。</w:t>
      </w:r>
    </w:p>
    <w:p w14:paraId="017B57AA">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b w:val="0"/>
          <w:bCs w:val="0"/>
          <w:szCs w:val="21"/>
          <w:u w:val="none"/>
          <w:lang w:val="en-US" w:eastAsia="zh-CN"/>
        </w:rPr>
        <w:t>10.</w:t>
      </w:r>
      <w:r>
        <w:rPr>
          <w:rFonts w:hint="eastAsia" w:ascii="楷体" w:hAnsi="楷体" w:eastAsia="楷体" w:cs="楷体"/>
          <w:szCs w:val="21"/>
        </w:rPr>
        <w:t>若理财产品存续期间持有其他投资品种，以理财产品管理人和理财产品托管人共同认可的方法估值。</w:t>
      </w:r>
    </w:p>
    <w:p w14:paraId="03B91660">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1</w:t>
      </w:r>
      <w:r>
        <w:rPr>
          <w:rFonts w:hint="eastAsia" w:ascii="楷体" w:hAnsi="楷体" w:eastAsia="楷体" w:cs="楷体"/>
          <w:szCs w:val="21"/>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14:paraId="222E1D9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2</w:t>
      </w:r>
      <w:r>
        <w:rPr>
          <w:rFonts w:hint="eastAsia" w:ascii="楷体" w:hAnsi="楷体" w:eastAsia="楷体" w:cs="楷体"/>
          <w:szCs w:val="21"/>
        </w:rPr>
        <w:t>.对于以上估值方法，相关法律法规以及监管部门有另行规定的，按照监管最新规定执行。如监管并无明确规定和要求的，由产品管理人与托管人协商确定计算方法。</w:t>
      </w:r>
    </w:p>
    <w:p w14:paraId="43D7D79D">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3</w:t>
      </w:r>
      <w:r>
        <w:rPr>
          <w:rFonts w:hint="eastAsia" w:ascii="楷体" w:hAnsi="楷体" w:eastAsia="楷体" w:cs="楷体"/>
          <w:szCs w:val="21"/>
        </w:rPr>
        <w:t>.按以上估值方法进行估值时，所造成的误差不作为理财产品单位资产净值错误处理。</w:t>
      </w:r>
    </w:p>
    <w:p w14:paraId="5A89D79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4</w:t>
      </w:r>
      <w:r>
        <w:rPr>
          <w:rFonts w:hint="eastAsia" w:ascii="楷体" w:hAnsi="楷体" w:eastAsia="楷体" w:cs="楷体"/>
          <w:szCs w:val="21"/>
        </w:rPr>
        <w:t>.扣除项：应由理财产品承担的固定投资管理费用、托管费、销售管理费和税款（如有）。</w:t>
      </w:r>
    </w:p>
    <w:p w14:paraId="238FC911">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暂停估值的情形</w:t>
      </w:r>
    </w:p>
    <w:p w14:paraId="238478C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1.因不可抗力或其他情形致使理财产品管理人、理财产品托管人无法准确评估资产价值时；</w:t>
      </w:r>
    </w:p>
    <w:p w14:paraId="0FA64F2D">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14:paraId="2A137711">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3.占理财产品相当比例的投资品种的估值出现重大转变，而管理人为保障投资者的利益，已决定延迟估值；</w:t>
      </w:r>
    </w:p>
    <w:p w14:paraId="61D0FC68">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4.投资管理人、理财产品托管人有合理理由认为将影响本理财产品估值的其他情形发生。</w:t>
      </w:r>
    </w:p>
    <w:p w14:paraId="301FF92A">
      <w:pPr>
        <w:pStyle w:val="3"/>
        <w:spacing w:before="0" w:after="0" w:line="360" w:lineRule="auto"/>
        <w:ind w:firstLine="422" w:firstLineChars="200"/>
        <w:rPr>
          <w:rFonts w:ascii="楷体" w:hAnsi="楷体" w:eastAsia="楷体"/>
          <w:sz w:val="21"/>
        </w:rPr>
      </w:pPr>
      <w:r>
        <w:rPr>
          <w:rFonts w:hint="eastAsia" w:ascii="楷体" w:hAnsi="楷体" w:eastAsia="楷体"/>
          <w:sz w:val="21"/>
        </w:rPr>
        <w:t>（四）</w:t>
      </w:r>
      <w:r>
        <w:rPr>
          <w:rFonts w:ascii="楷体" w:hAnsi="楷体" w:eastAsia="楷体"/>
          <w:sz w:val="21"/>
        </w:rPr>
        <w:t>估值错误的处理</w:t>
      </w:r>
    </w:p>
    <w:p w14:paraId="2A0BDA3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理财产品管理人和理财产品托管人将采取必要、适当、合理的措施确保理财产品估值的准确性、及时性。</w:t>
      </w:r>
    </w:p>
    <w:p w14:paraId="1151A6EE">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1.估值错误处理原则</w:t>
      </w:r>
    </w:p>
    <w:p w14:paraId="33E0E853">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（1）由于理财产品管理人或理财产品托管人自身的过错造成估值错误，导致投资者遭受损失的，由估值错误责任方按照各自过错程度对该估值错误导致投资者遭受的直接损失给予赔偿，承担赔偿责任。</w:t>
      </w:r>
    </w:p>
    <w:p w14:paraId="615B79B7">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14:paraId="0BE95E2E">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14:paraId="01FE12C7">
      <w:pPr>
        <w:spacing w:line="360" w:lineRule="auto"/>
        <w:ind w:firstLine="422" w:firstLineChars="200"/>
        <w:contextualSpacing/>
        <w:rPr>
          <w:rFonts w:ascii="楷体_GB2312" w:hAnsi="宋体" w:eastAsia="楷体_GB2312"/>
          <w:b/>
          <w:bCs/>
          <w:szCs w:val="21"/>
        </w:rPr>
      </w:pPr>
      <w:r>
        <w:rPr>
          <w:rFonts w:hint="eastAsia" w:ascii="楷体" w:hAnsi="楷体" w:eastAsia="楷体" w:cs="楷体"/>
          <w:b/>
          <w:bCs/>
          <w:szCs w:val="21"/>
        </w:rPr>
        <w:t>（4）当估值出现错误时，因估值错误而获得不当得利的投资者负有及时返还不当得利的义务</w:t>
      </w:r>
      <w:r>
        <w:rPr>
          <w:rFonts w:ascii="楷体_GB2312" w:hAnsi="宋体" w:eastAsia="楷体_GB2312"/>
          <w:b/>
          <w:bCs/>
          <w:szCs w:val="21"/>
        </w:rPr>
        <w:t>。</w:t>
      </w:r>
    </w:p>
    <w:p w14:paraId="3C1F2A49">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（5）按法律法规规定的其他原则处理估值错误。</w:t>
      </w:r>
    </w:p>
    <w:p w14:paraId="79C34F97">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2.估值错误处理程序</w:t>
      </w:r>
    </w:p>
    <w:p w14:paraId="71A8B4C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估值错误被发现后，理财产品管理人和理财产品托管人应当及时进行处理，处理的程序如下：</w:t>
      </w:r>
    </w:p>
    <w:p w14:paraId="78108D63">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（1）查明估值错误发生的原因，列明所有的管理人和托管人并根据估值错误发生的原因确定估值错误的责任方；</w:t>
      </w:r>
    </w:p>
    <w:p w14:paraId="15AABEAF">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（2）根据估值错误处理原则对因估值错误造成的损失进行评估；</w:t>
      </w:r>
    </w:p>
    <w:p w14:paraId="7D4D67C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（3）根据理财产品管理人和理财产品托管人协商的方法，由理财产品管理人和理财产品托管人共同进行更正，由估值错误的责任方进行赔偿损失。</w:t>
      </w:r>
    </w:p>
    <w:p w14:paraId="0C34B542">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（五）特殊情况的处理</w:t>
      </w:r>
    </w:p>
    <w:p w14:paraId="20FA403E">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1.理财产品投资管理人、理财产品托管人按本说明书估值方法进行估值时，所造成的误差不作为估值错误处理；</w:t>
      </w:r>
    </w:p>
    <w:p w14:paraId="4798336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14:paraId="0B42FD44">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14:paraId="28F396B0">
      <w:pPr>
        <w:pStyle w:val="2"/>
        <w:spacing w:before="120" w:after="120" w:line="240" w:lineRule="auto"/>
        <w:rPr>
          <w:rFonts w:ascii="楷体" w:hAnsi="楷体" w:eastAsia="楷体"/>
          <w:sz w:val="28"/>
          <w:szCs w:val="28"/>
        </w:rPr>
      </w:pPr>
      <w:bookmarkStart w:id="9" w:name="_Toc98680963"/>
      <w:r>
        <w:rPr>
          <w:rFonts w:hint="eastAsia" w:ascii="楷体" w:hAnsi="楷体" w:eastAsia="楷体"/>
          <w:sz w:val="28"/>
          <w:szCs w:val="28"/>
        </w:rPr>
        <w:t>七</w:t>
      </w:r>
      <w:r>
        <w:rPr>
          <w:rFonts w:ascii="楷体" w:hAnsi="楷体" w:eastAsia="楷体"/>
          <w:sz w:val="28"/>
          <w:szCs w:val="28"/>
        </w:rPr>
        <w:t>、</w:t>
      </w:r>
      <w:r>
        <w:rPr>
          <w:rFonts w:hint="eastAsia" w:ascii="楷体" w:hAnsi="楷体" w:eastAsia="楷体"/>
          <w:sz w:val="28"/>
          <w:szCs w:val="28"/>
        </w:rPr>
        <w:t>产品管理人、托管人</w:t>
      </w:r>
      <w:r>
        <w:rPr>
          <w:rFonts w:hint="eastAsia" w:ascii="楷体" w:hAnsi="楷体" w:eastAsia="楷体"/>
          <w:sz w:val="28"/>
          <w:szCs w:val="28"/>
          <w:lang w:eastAsia="zh-CN"/>
        </w:rPr>
        <w:t>、</w:t>
      </w:r>
      <w:r>
        <w:rPr>
          <w:rFonts w:ascii="楷体" w:hAnsi="楷体" w:eastAsia="楷体"/>
          <w:sz w:val="28"/>
          <w:szCs w:val="28"/>
        </w:rPr>
        <w:t>销售</w:t>
      </w:r>
      <w:r>
        <w:rPr>
          <w:rFonts w:hint="eastAsia" w:ascii="楷体" w:hAnsi="楷体" w:eastAsia="楷体"/>
          <w:sz w:val="28"/>
          <w:szCs w:val="28"/>
        </w:rPr>
        <w:t>机构</w:t>
      </w:r>
      <w:bookmarkEnd w:id="9"/>
      <w:r>
        <w:rPr>
          <w:rFonts w:hint="eastAsia" w:ascii="楷体" w:hAnsi="楷体" w:eastAsia="楷体" w:cs="楷体"/>
          <w:sz w:val="28"/>
          <w:szCs w:val="28"/>
          <w:lang w:val="en-US" w:eastAsia="zh-CN"/>
        </w:rPr>
        <w:t>和投资合作机构</w:t>
      </w:r>
    </w:p>
    <w:p w14:paraId="4C13E48E">
      <w:pPr>
        <w:pStyle w:val="3"/>
        <w:spacing w:before="0" w:after="0" w:line="360" w:lineRule="auto"/>
        <w:ind w:firstLine="422" w:firstLineChars="200"/>
        <w:rPr>
          <w:rFonts w:hint="eastAsia" w:ascii="楷体" w:hAnsi="楷体" w:eastAsia="楷体" w:cs="楷体"/>
        </w:rPr>
      </w:pPr>
      <w:bookmarkStart w:id="10" w:name="_Toc98680964"/>
      <w:r>
        <w:rPr>
          <w:rFonts w:hint="eastAsia" w:ascii="楷体" w:hAnsi="楷体" w:eastAsia="楷体" w:cs="楷体"/>
          <w:sz w:val="21"/>
        </w:rPr>
        <w:t>（一）产品管理人</w:t>
      </w:r>
      <w:bookmarkEnd w:id="10"/>
    </w:p>
    <w:p w14:paraId="7F88A8D9">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本理财产品的产品管理人为上银理财有限责任公司。</w:t>
      </w:r>
    </w:p>
    <w:p w14:paraId="3DD5A499">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14:paraId="4E0E9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19B7D5BB">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14:paraId="60585EFB">
            <w:pPr>
              <w:contextualSpacing/>
              <w:rPr>
                <w:rFonts w:hint="eastAsia" w:ascii="楷体" w:hAnsi="楷体" w:eastAsia="楷体" w:cs="楷体"/>
                <w:szCs w:val="21"/>
              </w:rPr>
            </w:pPr>
            <w:r>
              <w:rPr>
                <w:rFonts w:hint="eastAsia" w:ascii="楷体" w:hAnsi="楷体" w:eastAsia="楷体" w:cs="楷体"/>
                <w:szCs w:val="21"/>
              </w:rPr>
              <w:t>上银理财有限责任公司</w:t>
            </w:r>
          </w:p>
        </w:tc>
      </w:tr>
      <w:tr w14:paraId="10E6B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62BC059A">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14:paraId="7DA2AFFE">
            <w:pPr>
              <w:contextualSpacing/>
              <w:rPr>
                <w:rFonts w:hint="eastAsia" w:ascii="楷体" w:hAnsi="楷体" w:eastAsia="楷体" w:cs="楷体"/>
                <w:szCs w:val="21"/>
              </w:rPr>
            </w:pPr>
            <w:r>
              <w:rPr>
                <w:rFonts w:hint="eastAsia" w:ascii="楷体" w:hAnsi="楷体" w:eastAsia="楷体" w:cs="楷体"/>
                <w:szCs w:val="21"/>
              </w:rPr>
              <w:t>上海市黄浦区中山南路666弄2幢2号</w:t>
            </w:r>
          </w:p>
        </w:tc>
      </w:tr>
      <w:tr w14:paraId="7175A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3E757654">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14:paraId="4CE8E376">
            <w:pPr>
              <w:contextualSpacing/>
              <w:rPr>
                <w:rFonts w:hint="eastAsia" w:ascii="楷体" w:hAnsi="楷体" w:eastAsia="楷体" w:cs="楷体"/>
                <w:szCs w:val="21"/>
              </w:rPr>
            </w:pPr>
            <w:r>
              <w:rPr>
                <w:rFonts w:hint="eastAsia" w:ascii="楷体" w:hAnsi="楷体" w:eastAsia="楷体" w:cs="楷体"/>
                <w:szCs w:val="21"/>
              </w:rPr>
              <w:t>上银理财有限责任公司负责本理财产品的投资运作和产品管理。</w:t>
            </w:r>
          </w:p>
        </w:tc>
      </w:tr>
    </w:tbl>
    <w:p w14:paraId="1021D98A">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投资者在此授权并同意上银理财享有以下权利：</w:t>
      </w:r>
    </w:p>
    <w:p w14:paraId="4959D8E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1.按照本理财产品销售文件的约定，管理、运用和处分理财产品资金；</w:t>
      </w:r>
    </w:p>
    <w:p w14:paraId="2FD1B1B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2.按照本理财产品销售文件的约定，及时、足额获得固定投资管理费和本《产品说明书》约定的其他费用（如有）；</w:t>
      </w:r>
    </w:p>
    <w:p w14:paraId="14E02880">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3.管理人以其固有财产先行垫付因处理本理财产品相关事务所支出的理财产品费用及税费的，对理财产品资金享有优先受偿的权利；</w:t>
      </w:r>
    </w:p>
    <w:p w14:paraId="69D31FB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4.管理人有权根据本理财产品销售文件的约定提前终止或延长本理财产品的期限；</w:t>
      </w:r>
    </w:p>
    <w:p w14:paraId="3252D120">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5.管理人有权单方调整本理财产品的销售起点金额及递增金额、投资者认购和赎回的数量限制、投资者持有本产品的最高限额、最低限额、产品规模上限、业绩比较基准、费率等要素；</w:t>
      </w:r>
    </w:p>
    <w:p w14:paraId="08EE5B72">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6.管理人有权按照法律规定和监管机构的要求将投资者的信息向有权部门或相关机构披露；</w:t>
      </w:r>
    </w:p>
    <w:p w14:paraId="7B86B78F">
      <w:pPr>
        <w:widowControl/>
        <w:snapToGrid w:val="0"/>
        <w:spacing w:line="360" w:lineRule="auto"/>
        <w:ind w:firstLine="420" w:firstLineChars="200"/>
        <w:jc w:val="left"/>
        <w:rPr>
          <w:rFonts w:hint="eastAsia" w:ascii="楷体" w:hAnsi="楷体" w:eastAsia="楷体" w:cs="楷体"/>
          <w:szCs w:val="21"/>
        </w:rPr>
      </w:pPr>
      <w:r>
        <w:rPr>
          <w:rFonts w:hint="eastAsia" w:ascii="楷体" w:hAnsi="楷体" w:eastAsia="楷体" w:cs="楷体"/>
          <w:szCs w:val="21"/>
        </w:rPr>
        <w:t xml:space="preserve">7.管理人有权决定非标准化债权资产投资的管理、合同条款变更、赎回、处置与披露事宜，并有权指令信托受托人按管理人指令执行，包括但不限于：有权决定非标准化债权资产及其底层资产投放的先决条件是否放弃或延后、有权决定非标准化债权投资的相关罚息的降低或免除、有权决定是否同意非标准化债权资产的债务人提前还款（含全部及部分）或展期及展期条件、有权决定投后监管的执行、有权决定违约救济措施的选择。 </w:t>
      </w:r>
    </w:p>
    <w:p w14:paraId="6B70D211">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14:paraId="047425F5">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9.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14:paraId="1BCCFD70">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10.在法律法规、监管政策允许的前提下调整估值日；</w:t>
      </w:r>
    </w:p>
    <w:p w14:paraId="676E1B7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11.法律法规、监管政策和本理财产品销售文件约定的其他权利。</w:t>
      </w:r>
    </w:p>
    <w:p w14:paraId="56795833">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（二）托管人</w:t>
      </w:r>
    </w:p>
    <w:p w14:paraId="362772A0">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本理财产品的托管人为【苏州银行股份有限公司】。</w:t>
      </w:r>
    </w:p>
    <w:p w14:paraId="0BFC2176">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14:paraId="31264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589CC067">
            <w:pPr>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14:paraId="7F3672AE">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14:paraId="5B4D6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4EFA3EFD">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14:paraId="6AB14EBA">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14:paraId="7A016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4B9C28B1">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14:paraId="4699E21A">
            <w:pPr>
              <w:contextualSpacing/>
              <w:rPr>
                <w:rFonts w:hint="eastAsia" w:ascii="楷体" w:hAnsi="楷体" w:eastAsia="楷体" w:cs="楷体"/>
                <w:szCs w:val="21"/>
              </w:rPr>
            </w:pPr>
            <w:r>
              <w:rPr>
                <w:rFonts w:hint="eastAsia" w:ascii="楷体" w:hAnsi="楷体" w:eastAsia="楷体" w:cs="楷体"/>
                <w:szCs w:val="21"/>
                <w:lang w:bidi="ar"/>
              </w:rPr>
              <w:t>由托管人机构提供包括账户开立、资金保管、资金清算、估值核算等理财产品托管服务。</w:t>
            </w:r>
          </w:p>
        </w:tc>
      </w:tr>
    </w:tbl>
    <w:p w14:paraId="3B831B7F">
      <w:pPr>
        <w:pStyle w:val="3"/>
        <w:spacing w:before="0" w:after="0" w:line="360" w:lineRule="auto"/>
        <w:ind w:firstLine="422" w:firstLineChars="200"/>
        <w:rPr>
          <w:rFonts w:ascii="楷体" w:hAnsi="楷体" w:eastAsia="楷体"/>
          <w:sz w:val="21"/>
        </w:rPr>
      </w:pPr>
      <w:r>
        <w:rPr>
          <w:rFonts w:hint="eastAsia" w:ascii="楷体" w:hAnsi="楷体" w:eastAsia="楷体"/>
          <w:sz w:val="21"/>
        </w:rPr>
        <w:t>（三）销售机构</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02D03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3434F6C">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696CED49">
            <w:pPr>
              <w:contextualSpacing/>
              <w:rPr>
                <w:rFonts w:hint="eastAsia" w:ascii="楷体" w:hAnsi="楷体" w:eastAsia="楷体" w:cs="楷体"/>
                <w:szCs w:val="21"/>
              </w:rPr>
            </w:pPr>
            <w:r>
              <w:rPr>
                <w:rFonts w:hint="eastAsia" w:ascii="楷体" w:hAnsi="楷体" w:eastAsia="楷体" w:cs="楷体"/>
                <w:szCs w:val="21"/>
              </w:rPr>
              <w:t>【浙江绍兴瑞丰农村商业银行股份有限公司】</w:t>
            </w:r>
          </w:p>
        </w:tc>
      </w:tr>
      <w:tr w14:paraId="6AEE4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8BB809E">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4EC8FE23">
            <w:pPr>
              <w:contextualSpacing/>
              <w:rPr>
                <w:rFonts w:hint="eastAsia" w:ascii="楷体" w:hAnsi="楷体" w:eastAsia="楷体" w:cs="楷体"/>
                <w:szCs w:val="21"/>
              </w:rPr>
            </w:pPr>
            <w:r>
              <w:rPr>
                <w:rFonts w:hint="eastAsia" w:ascii="楷体" w:hAnsi="楷体" w:eastAsia="楷体" w:cs="楷体"/>
                <w:szCs w:val="21"/>
              </w:rPr>
              <w:t>【浙江省绍兴市柯桥区柯桥笛扬路1363号】</w:t>
            </w:r>
          </w:p>
        </w:tc>
      </w:tr>
      <w:tr w14:paraId="2FAA8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34CE671">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09F72E4C">
            <w:pPr>
              <w:contextualSpacing/>
              <w:rPr>
                <w:rFonts w:hint="eastAsia" w:ascii="楷体" w:hAnsi="楷体" w:eastAsia="楷体" w:cs="楷体"/>
                <w:szCs w:val="21"/>
              </w:rPr>
            </w:pPr>
            <w:r>
              <w:rPr>
                <w:rFonts w:hint="eastAsia" w:ascii="楷体" w:hAnsi="楷体" w:eastAsia="楷体" w:cs="楷体"/>
                <w:szCs w:val="21"/>
              </w:rPr>
              <w:t>【4008896596】</w:t>
            </w:r>
          </w:p>
        </w:tc>
      </w:tr>
      <w:tr w14:paraId="19D28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603D5CA">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76336C6B">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4F17BBB6"/>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4728B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4A0BE46">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4E3C7670">
            <w:pPr>
              <w:contextualSpacing/>
              <w:rPr>
                <w:rFonts w:hint="eastAsia" w:ascii="楷体" w:hAnsi="楷体" w:eastAsia="楷体" w:cs="楷体"/>
                <w:szCs w:val="21"/>
              </w:rPr>
            </w:pPr>
            <w:r>
              <w:rPr>
                <w:rFonts w:hint="eastAsia" w:ascii="楷体" w:hAnsi="楷体" w:eastAsia="楷体" w:cs="楷体"/>
                <w:szCs w:val="21"/>
              </w:rPr>
              <w:t>【浙江龙游农村商业银行股份有限公司】</w:t>
            </w:r>
          </w:p>
        </w:tc>
      </w:tr>
      <w:tr w14:paraId="79F1A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48506E4">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588B3F5C">
            <w:pPr>
              <w:contextualSpacing/>
              <w:rPr>
                <w:rFonts w:hint="eastAsia" w:ascii="楷体" w:hAnsi="楷体" w:eastAsia="楷体" w:cs="楷体"/>
                <w:szCs w:val="21"/>
              </w:rPr>
            </w:pPr>
            <w:r>
              <w:rPr>
                <w:rFonts w:hint="eastAsia" w:ascii="楷体" w:hAnsi="楷体" w:eastAsia="楷体" w:cs="楷体"/>
                <w:szCs w:val="21"/>
              </w:rPr>
              <w:t>【浙江省衢州市龙游县龙洲街道荣昌大道683、685、687号】</w:t>
            </w:r>
          </w:p>
        </w:tc>
      </w:tr>
      <w:tr w14:paraId="6DAC7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94436A7">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45690809">
            <w:pPr>
              <w:contextualSpacing/>
              <w:rPr>
                <w:rFonts w:hint="eastAsia" w:ascii="楷体" w:hAnsi="楷体" w:eastAsia="楷体" w:cs="楷体"/>
                <w:szCs w:val="21"/>
              </w:rPr>
            </w:pPr>
            <w:r>
              <w:rPr>
                <w:rFonts w:hint="eastAsia" w:ascii="楷体" w:hAnsi="楷体" w:eastAsia="楷体" w:cs="楷体"/>
                <w:szCs w:val="21"/>
              </w:rPr>
              <w:t>【4008896596】</w:t>
            </w:r>
          </w:p>
        </w:tc>
      </w:tr>
      <w:tr w14:paraId="7D2E6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D5E0F6C">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66F9A900">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14B048C2"/>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72FC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973A8C5">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5CDF9F1A">
            <w:pPr>
              <w:contextualSpacing/>
              <w:rPr>
                <w:rFonts w:hint="eastAsia" w:ascii="楷体" w:hAnsi="楷体" w:eastAsia="楷体" w:cs="楷体"/>
                <w:szCs w:val="21"/>
              </w:rPr>
            </w:pPr>
            <w:r>
              <w:rPr>
                <w:rFonts w:hint="eastAsia" w:ascii="楷体" w:hAnsi="楷体" w:eastAsia="楷体" w:cs="楷体"/>
                <w:szCs w:val="21"/>
              </w:rPr>
              <w:t>【浙江淳安农村商业银行股份有限公司】</w:t>
            </w:r>
          </w:p>
        </w:tc>
      </w:tr>
      <w:tr w14:paraId="701AE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1236AFA">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3391574F">
            <w:pPr>
              <w:contextualSpacing/>
              <w:rPr>
                <w:rFonts w:hint="eastAsia" w:ascii="楷体" w:hAnsi="楷体" w:eastAsia="楷体" w:cs="楷体"/>
                <w:szCs w:val="21"/>
              </w:rPr>
            </w:pPr>
            <w:r>
              <w:rPr>
                <w:rFonts w:hint="eastAsia" w:ascii="楷体" w:hAnsi="楷体" w:eastAsia="楷体" w:cs="楷体"/>
                <w:szCs w:val="21"/>
              </w:rPr>
              <w:t>【浙江省杭州市淳安县千岛湖镇阳光路960号】</w:t>
            </w:r>
          </w:p>
        </w:tc>
      </w:tr>
      <w:tr w14:paraId="03146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5B1F83A">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2582048E">
            <w:pPr>
              <w:contextualSpacing/>
              <w:rPr>
                <w:rFonts w:hint="eastAsia" w:ascii="楷体" w:hAnsi="楷体" w:eastAsia="楷体" w:cs="楷体"/>
                <w:szCs w:val="21"/>
              </w:rPr>
            </w:pPr>
            <w:r>
              <w:rPr>
                <w:rFonts w:hint="eastAsia" w:ascii="楷体" w:hAnsi="楷体" w:eastAsia="楷体" w:cs="楷体"/>
                <w:szCs w:val="21"/>
              </w:rPr>
              <w:t>【0571-650965】</w:t>
            </w:r>
          </w:p>
        </w:tc>
      </w:tr>
      <w:tr w14:paraId="1C888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2ABA5E7">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768DCD85">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5364B572"/>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1AB6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D955EAB">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465F6450">
            <w:pPr>
              <w:contextualSpacing/>
              <w:rPr>
                <w:rFonts w:hint="eastAsia" w:ascii="楷体" w:hAnsi="楷体" w:eastAsia="楷体" w:cs="楷体"/>
                <w:szCs w:val="21"/>
              </w:rPr>
            </w:pPr>
            <w:r>
              <w:rPr>
                <w:rFonts w:hint="eastAsia" w:ascii="楷体" w:hAnsi="楷体" w:eastAsia="楷体" w:cs="楷体"/>
                <w:szCs w:val="21"/>
              </w:rPr>
              <w:t>【宁波北仑农村商业银行股份有限公司】</w:t>
            </w:r>
          </w:p>
        </w:tc>
      </w:tr>
      <w:tr w14:paraId="3AA80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708D97C">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2E00BAAF">
            <w:pPr>
              <w:contextualSpacing/>
              <w:rPr>
                <w:rFonts w:hint="eastAsia" w:ascii="楷体" w:hAnsi="楷体" w:eastAsia="楷体" w:cs="楷体"/>
                <w:szCs w:val="21"/>
              </w:rPr>
            </w:pPr>
            <w:r>
              <w:rPr>
                <w:rFonts w:hint="eastAsia" w:ascii="楷体" w:hAnsi="楷体" w:eastAsia="楷体" w:cs="楷体"/>
                <w:szCs w:val="21"/>
              </w:rPr>
              <w:t>【浙江省宁波市北仑区新碶宝山路69号（凤凰国际商务广场）1幢69号、63号（凤凰国际商务广场）1幢（2-26层）】</w:t>
            </w:r>
          </w:p>
        </w:tc>
      </w:tr>
      <w:tr w14:paraId="50E24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5B07529">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355D115A">
            <w:pPr>
              <w:contextualSpacing/>
              <w:rPr>
                <w:rFonts w:hint="eastAsia" w:ascii="楷体" w:hAnsi="楷体" w:eastAsia="楷体" w:cs="楷体"/>
                <w:szCs w:val="21"/>
              </w:rPr>
            </w:pPr>
            <w:r>
              <w:rPr>
                <w:rFonts w:hint="eastAsia" w:ascii="楷体" w:hAnsi="楷体" w:eastAsia="楷体" w:cs="楷体"/>
                <w:szCs w:val="21"/>
              </w:rPr>
              <w:t>【4008896596】</w:t>
            </w:r>
          </w:p>
        </w:tc>
      </w:tr>
      <w:tr w14:paraId="729DC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8C32EEF">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2D160C40">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101CD144"/>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07BEA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AB0468C">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273F24B3">
            <w:pPr>
              <w:contextualSpacing/>
              <w:rPr>
                <w:rFonts w:hint="eastAsia" w:ascii="楷体" w:hAnsi="楷体" w:eastAsia="楷体" w:cs="楷体"/>
                <w:szCs w:val="21"/>
              </w:rPr>
            </w:pPr>
            <w:r>
              <w:rPr>
                <w:rFonts w:hint="eastAsia" w:ascii="楷体" w:hAnsi="楷体" w:eastAsia="楷体" w:cs="楷体"/>
                <w:szCs w:val="21"/>
              </w:rPr>
              <w:t>【浙江义乌农村商业银行股份有限公司】</w:t>
            </w:r>
          </w:p>
        </w:tc>
      </w:tr>
      <w:tr w14:paraId="49228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8E00D76">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0879587D">
            <w:pPr>
              <w:contextualSpacing/>
              <w:rPr>
                <w:rFonts w:hint="eastAsia" w:ascii="楷体" w:hAnsi="楷体" w:eastAsia="楷体" w:cs="楷体"/>
                <w:szCs w:val="21"/>
              </w:rPr>
            </w:pPr>
            <w:r>
              <w:rPr>
                <w:rFonts w:hint="eastAsia" w:ascii="楷体" w:hAnsi="楷体" w:eastAsia="楷体" w:cs="楷体"/>
                <w:szCs w:val="21"/>
              </w:rPr>
              <w:t>【浙江省义乌市福田街道城北路677号】</w:t>
            </w:r>
          </w:p>
        </w:tc>
      </w:tr>
      <w:tr w14:paraId="4AE7A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09EC8C1">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26C53B57">
            <w:pPr>
              <w:contextualSpacing/>
              <w:rPr>
                <w:rFonts w:hint="eastAsia" w:ascii="楷体" w:hAnsi="楷体" w:eastAsia="楷体" w:cs="楷体"/>
                <w:szCs w:val="21"/>
              </w:rPr>
            </w:pPr>
            <w:r>
              <w:rPr>
                <w:rFonts w:hint="eastAsia" w:ascii="楷体" w:hAnsi="楷体" w:eastAsia="楷体" w:cs="楷体"/>
                <w:szCs w:val="21"/>
              </w:rPr>
              <w:t>【4008896596】</w:t>
            </w:r>
          </w:p>
        </w:tc>
      </w:tr>
      <w:tr w14:paraId="1ABFF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57D4C46">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09D7FCA9">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7EF6A0C4"/>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32CD5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628187B">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6AE86881">
            <w:pPr>
              <w:contextualSpacing/>
              <w:rPr>
                <w:rFonts w:hint="eastAsia" w:ascii="楷体" w:hAnsi="楷体" w:eastAsia="楷体" w:cs="楷体"/>
                <w:szCs w:val="21"/>
              </w:rPr>
            </w:pPr>
            <w:r>
              <w:rPr>
                <w:rFonts w:hint="eastAsia" w:ascii="楷体" w:hAnsi="楷体" w:eastAsia="楷体" w:cs="楷体"/>
                <w:szCs w:val="21"/>
              </w:rPr>
              <w:t>【浙江杭州余杭农村商业银行股份有限公司】</w:t>
            </w:r>
          </w:p>
        </w:tc>
      </w:tr>
      <w:tr w14:paraId="5DC59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E583778">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35FC8ACF">
            <w:pPr>
              <w:contextualSpacing/>
              <w:rPr>
                <w:rFonts w:hint="eastAsia" w:ascii="楷体" w:hAnsi="楷体" w:eastAsia="楷体" w:cs="楷体"/>
                <w:szCs w:val="21"/>
              </w:rPr>
            </w:pPr>
            <w:r>
              <w:rPr>
                <w:rFonts w:hint="eastAsia" w:ascii="楷体" w:hAnsi="楷体" w:eastAsia="楷体" w:cs="楷体"/>
                <w:szCs w:val="21"/>
              </w:rPr>
              <w:t>【浙江省杭州市临平区南苑街道南大街72号】</w:t>
            </w:r>
          </w:p>
        </w:tc>
      </w:tr>
      <w:tr w14:paraId="75A51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C86D694">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53271451">
            <w:pPr>
              <w:contextualSpacing/>
              <w:rPr>
                <w:rFonts w:hint="eastAsia" w:ascii="楷体" w:hAnsi="楷体" w:eastAsia="楷体" w:cs="楷体"/>
                <w:szCs w:val="21"/>
              </w:rPr>
            </w:pPr>
            <w:r>
              <w:rPr>
                <w:rFonts w:hint="eastAsia" w:ascii="楷体" w:hAnsi="楷体" w:eastAsia="楷体" w:cs="楷体"/>
                <w:szCs w:val="21"/>
              </w:rPr>
              <w:t>【4008896596】</w:t>
            </w:r>
          </w:p>
        </w:tc>
      </w:tr>
      <w:tr w14:paraId="10CD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CA1C092">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684BF1E6">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5587D47F"/>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02808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BCC94E6">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594DD983">
            <w:pPr>
              <w:contextualSpacing/>
              <w:rPr>
                <w:rFonts w:hint="eastAsia" w:ascii="楷体" w:hAnsi="楷体" w:eastAsia="楷体" w:cs="楷体"/>
                <w:szCs w:val="21"/>
              </w:rPr>
            </w:pPr>
            <w:r>
              <w:rPr>
                <w:rFonts w:hint="eastAsia" w:ascii="楷体" w:hAnsi="楷体" w:eastAsia="楷体" w:cs="楷体"/>
                <w:szCs w:val="21"/>
              </w:rPr>
              <w:t>【浙江舟山定海海洋农村商业银行股份有限公司】</w:t>
            </w:r>
          </w:p>
        </w:tc>
      </w:tr>
      <w:tr w14:paraId="24E0C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5BEB214">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5FC095B8">
            <w:pPr>
              <w:contextualSpacing/>
              <w:rPr>
                <w:rFonts w:hint="eastAsia" w:ascii="楷体" w:hAnsi="楷体" w:eastAsia="楷体" w:cs="楷体"/>
                <w:szCs w:val="21"/>
              </w:rPr>
            </w:pPr>
            <w:r>
              <w:rPr>
                <w:rFonts w:hint="eastAsia" w:ascii="楷体" w:hAnsi="楷体" w:eastAsia="楷体" w:cs="楷体"/>
                <w:szCs w:val="21"/>
              </w:rPr>
              <w:t>【浙江省舟山市定海区环城东路81号】</w:t>
            </w:r>
          </w:p>
        </w:tc>
      </w:tr>
      <w:tr w14:paraId="12052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39814DC">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5CB42FCF">
            <w:pPr>
              <w:contextualSpacing/>
              <w:rPr>
                <w:rFonts w:hint="eastAsia" w:ascii="楷体" w:hAnsi="楷体" w:eastAsia="楷体" w:cs="楷体"/>
                <w:szCs w:val="21"/>
              </w:rPr>
            </w:pPr>
            <w:r>
              <w:rPr>
                <w:rFonts w:hint="eastAsia" w:ascii="楷体" w:hAnsi="楷体" w:eastAsia="楷体" w:cs="楷体"/>
                <w:szCs w:val="21"/>
              </w:rPr>
              <w:t>【4008896596】</w:t>
            </w:r>
          </w:p>
        </w:tc>
      </w:tr>
      <w:tr w14:paraId="4B446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26FD3F3">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6AAD894B">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067C1BCD"/>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34821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330A84E">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54CFF6D6">
            <w:pPr>
              <w:contextualSpacing/>
              <w:rPr>
                <w:rFonts w:hint="eastAsia" w:ascii="楷体" w:hAnsi="楷体" w:eastAsia="楷体" w:cs="楷体"/>
                <w:szCs w:val="21"/>
              </w:rPr>
            </w:pPr>
            <w:r>
              <w:rPr>
                <w:rFonts w:hint="eastAsia" w:ascii="楷体" w:hAnsi="楷体" w:eastAsia="楷体" w:cs="楷体"/>
                <w:szCs w:val="21"/>
              </w:rPr>
              <w:t>【浙江舟山普陀农村商业银行股份有限公司】</w:t>
            </w:r>
          </w:p>
        </w:tc>
      </w:tr>
      <w:tr w14:paraId="78D66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A73035B">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350337C5">
            <w:pPr>
              <w:contextualSpacing/>
              <w:rPr>
                <w:rFonts w:hint="eastAsia" w:ascii="楷体" w:hAnsi="楷体" w:eastAsia="楷体" w:cs="楷体"/>
                <w:szCs w:val="21"/>
              </w:rPr>
            </w:pPr>
            <w:r>
              <w:rPr>
                <w:rFonts w:hint="eastAsia" w:ascii="楷体" w:hAnsi="楷体" w:eastAsia="楷体" w:cs="楷体"/>
                <w:szCs w:val="21"/>
              </w:rPr>
              <w:t>【浙江省舟山市普陀区东港街道麒麟街225号（自贸试验区内）】</w:t>
            </w:r>
          </w:p>
        </w:tc>
      </w:tr>
      <w:tr w14:paraId="1B2B2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054892F">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60544012">
            <w:pPr>
              <w:contextualSpacing/>
              <w:rPr>
                <w:rFonts w:hint="eastAsia" w:ascii="楷体" w:hAnsi="楷体" w:eastAsia="楷体" w:cs="楷体"/>
                <w:szCs w:val="21"/>
              </w:rPr>
            </w:pPr>
            <w:r>
              <w:rPr>
                <w:rFonts w:hint="eastAsia" w:ascii="楷体" w:hAnsi="楷体" w:eastAsia="楷体" w:cs="楷体"/>
                <w:szCs w:val="21"/>
              </w:rPr>
              <w:t>【4008896596】</w:t>
            </w:r>
          </w:p>
        </w:tc>
      </w:tr>
      <w:tr w14:paraId="131A3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6090619">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3C915B43">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3B0406B3"/>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6B97D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83BB6FD">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15D73BBD">
            <w:pPr>
              <w:contextualSpacing/>
              <w:rPr>
                <w:rFonts w:hint="eastAsia" w:ascii="楷体" w:hAnsi="楷体" w:eastAsia="楷体" w:cs="楷体"/>
                <w:szCs w:val="21"/>
              </w:rPr>
            </w:pPr>
            <w:r>
              <w:rPr>
                <w:rFonts w:hint="eastAsia" w:ascii="楷体" w:hAnsi="楷体" w:eastAsia="楷体" w:cs="楷体"/>
                <w:szCs w:val="21"/>
              </w:rPr>
              <w:t>【中山农村商业银行股份有限公司】</w:t>
            </w:r>
          </w:p>
        </w:tc>
      </w:tr>
      <w:tr w14:paraId="04FC6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97C8576">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37608558">
            <w:pPr>
              <w:contextualSpacing/>
              <w:rPr>
                <w:rFonts w:hint="eastAsia" w:ascii="楷体" w:hAnsi="楷体" w:eastAsia="楷体" w:cs="楷体"/>
                <w:szCs w:val="21"/>
              </w:rPr>
            </w:pPr>
            <w:r>
              <w:rPr>
                <w:rFonts w:hint="eastAsia" w:ascii="楷体" w:hAnsi="楷体" w:eastAsia="楷体" w:cs="楷体"/>
                <w:szCs w:val="21"/>
              </w:rPr>
              <w:t>【广东省中山市东区中山三路26号之一】</w:t>
            </w:r>
          </w:p>
        </w:tc>
      </w:tr>
      <w:tr w14:paraId="1584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21A6982">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57A520ED">
            <w:pPr>
              <w:contextualSpacing/>
              <w:rPr>
                <w:rFonts w:hint="eastAsia" w:ascii="楷体" w:hAnsi="楷体" w:eastAsia="楷体" w:cs="楷体"/>
                <w:szCs w:val="21"/>
              </w:rPr>
            </w:pPr>
            <w:r>
              <w:rPr>
                <w:rFonts w:hint="eastAsia" w:ascii="楷体" w:hAnsi="楷体" w:eastAsia="楷体" w:cs="楷体"/>
                <w:szCs w:val="21"/>
              </w:rPr>
              <w:t>【020-96138】</w:t>
            </w:r>
          </w:p>
        </w:tc>
      </w:tr>
      <w:tr w14:paraId="6FB1E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FF29D86">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0632B9A9">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1254764C"/>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29810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14:paraId="71470F20">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7977F70C">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14:paraId="29839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554204E">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7F54CDA8">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14:paraId="3F27B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43FFA88">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277D6345">
            <w:pPr>
              <w:contextualSpacing/>
              <w:rPr>
                <w:rFonts w:hint="eastAsia" w:ascii="楷体" w:hAnsi="楷体" w:eastAsia="楷体" w:cs="楷体"/>
                <w:szCs w:val="21"/>
              </w:rPr>
            </w:pPr>
            <w:r>
              <w:rPr>
                <w:rFonts w:hint="eastAsia" w:ascii="楷体" w:hAnsi="楷体" w:eastAsia="楷体" w:cs="楷体"/>
                <w:szCs w:val="21"/>
              </w:rPr>
              <w:t>【96067】</w:t>
            </w:r>
          </w:p>
        </w:tc>
      </w:tr>
      <w:tr w14:paraId="4E00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FC9B9E6">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027FA93A">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180B7DA3"/>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7B46B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F2F1D07">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74EE439F">
            <w:pPr>
              <w:contextualSpacing/>
              <w:rPr>
                <w:rFonts w:hint="eastAsia" w:ascii="楷体" w:hAnsi="楷体" w:eastAsia="楷体" w:cs="楷体"/>
                <w:szCs w:val="21"/>
              </w:rPr>
            </w:pPr>
            <w:r>
              <w:rPr>
                <w:rFonts w:hint="eastAsia" w:ascii="楷体" w:hAnsi="楷体" w:eastAsia="楷体" w:cs="楷体"/>
                <w:szCs w:val="21"/>
              </w:rPr>
              <w:t>【吉林银行股份有限公司】</w:t>
            </w:r>
          </w:p>
        </w:tc>
      </w:tr>
      <w:tr w14:paraId="1BD0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4CA0CCD">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68EE296D">
            <w:pPr>
              <w:contextualSpacing/>
              <w:rPr>
                <w:rFonts w:hint="eastAsia" w:ascii="楷体" w:hAnsi="楷体" w:eastAsia="楷体" w:cs="楷体"/>
                <w:szCs w:val="21"/>
              </w:rPr>
            </w:pPr>
            <w:r>
              <w:rPr>
                <w:rFonts w:hint="eastAsia" w:ascii="楷体" w:hAnsi="楷体" w:eastAsia="楷体" w:cs="楷体"/>
                <w:szCs w:val="21"/>
              </w:rPr>
              <w:t>【吉林省长春市南关区人民大街10666号】</w:t>
            </w:r>
          </w:p>
        </w:tc>
      </w:tr>
      <w:tr w14:paraId="203B2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88B2CC4">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5E5B40E8">
            <w:pPr>
              <w:contextualSpacing/>
              <w:rPr>
                <w:rFonts w:hint="eastAsia" w:ascii="楷体" w:hAnsi="楷体" w:eastAsia="楷体" w:cs="楷体"/>
                <w:szCs w:val="21"/>
              </w:rPr>
            </w:pPr>
            <w:r>
              <w:rPr>
                <w:rFonts w:hint="eastAsia" w:ascii="楷体" w:hAnsi="楷体" w:eastAsia="楷体" w:cs="楷体"/>
                <w:szCs w:val="21"/>
              </w:rPr>
              <w:t>【4008896666】</w:t>
            </w:r>
          </w:p>
        </w:tc>
      </w:tr>
      <w:tr w14:paraId="131CD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7FE81DE">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44F43B9C">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0C20E0B0"/>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602A9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14:paraId="2E49B0FD">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79C0F423">
            <w:pPr>
              <w:contextualSpacing/>
              <w:rPr>
                <w:rFonts w:hint="eastAsia" w:ascii="楷体" w:hAnsi="楷体" w:eastAsia="楷体" w:cs="楷体"/>
                <w:szCs w:val="21"/>
              </w:rPr>
            </w:pPr>
            <w:r>
              <w:rPr>
                <w:rFonts w:hint="eastAsia" w:ascii="楷体" w:hAnsi="楷体" w:eastAsia="楷体" w:cs="楷体"/>
                <w:szCs w:val="21"/>
              </w:rPr>
              <w:t>【浙江德清农村商业银行股份有限公司】</w:t>
            </w:r>
          </w:p>
        </w:tc>
      </w:tr>
      <w:tr w14:paraId="276F1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7E6D093">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2830A836">
            <w:pPr>
              <w:contextualSpacing/>
              <w:rPr>
                <w:rFonts w:hint="eastAsia" w:ascii="楷体" w:hAnsi="楷体" w:eastAsia="楷体" w:cs="楷体"/>
                <w:szCs w:val="21"/>
              </w:rPr>
            </w:pPr>
            <w:r>
              <w:rPr>
                <w:rFonts w:hint="eastAsia" w:ascii="楷体" w:hAnsi="楷体" w:eastAsia="楷体" w:cs="楷体"/>
                <w:szCs w:val="21"/>
              </w:rPr>
              <w:t>【浙江省德清县武康街道沈长圩街50号】</w:t>
            </w:r>
          </w:p>
        </w:tc>
      </w:tr>
      <w:tr w14:paraId="47C33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E2CADA3">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1181F7FE">
            <w:pPr>
              <w:contextualSpacing/>
              <w:rPr>
                <w:rFonts w:hint="eastAsia" w:ascii="楷体" w:hAnsi="楷体" w:eastAsia="楷体" w:cs="楷体"/>
                <w:szCs w:val="21"/>
              </w:rPr>
            </w:pPr>
            <w:r>
              <w:rPr>
                <w:rFonts w:hint="eastAsia" w:ascii="楷体" w:hAnsi="楷体" w:eastAsia="楷体" w:cs="楷体"/>
                <w:szCs w:val="21"/>
              </w:rPr>
              <w:t>【0572-8434389】</w:t>
            </w:r>
          </w:p>
        </w:tc>
      </w:tr>
      <w:tr w14:paraId="05650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495EA39">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4F82E3CB">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4197C0F4"/>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6B2B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72D8210">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18C35850">
            <w:pPr>
              <w:contextualSpacing/>
              <w:rPr>
                <w:rFonts w:hint="eastAsia" w:ascii="楷体" w:hAnsi="楷体" w:eastAsia="楷体" w:cs="楷体"/>
                <w:szCs w:val="21"/>
              </w:rPr>
            </w:pPr>
            <w:r>
              <w:rPr>
                <w:rFonts w:hint="eastAsia" w:ascii="楷体" w:hAnsi="楷体" w:eastAsia="楷体" w:cs="楷体"/>
                <w:szCs w:val="21"/>
              </w:rPr>
              <w:t>【宁波镇海农村商业银行股份有限公司】</w:t>
            </w:r>
          </w:p>
        </w:tc>
      </w:tr>
      <w:tr w14:paraId="1D04E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3298DB3">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3DD2D326">
            <w:pPr>
              <w:contextualSpacing/>
              <w:rPr>
                <w:rFonts w:hint="eastAsia" w:ascii="楷体" w:hAnsi="楷体" w:eastAsia="楷体" w:cs="楷体"/>
                <w:szCs w:val="21"/>
              </w:rPr>
            </w:pPr>
            <w:r>
              <w:rPr>
                <w:rFonts w:hint="eastAsia" w:ascii="楷体" w:hAnsi="楷体" w:eastAsia="楷体" w:cs="楷体"/>
                <w:szCs w:val="21"/>
              </w:rPr>
              <w:t>【浙江省宁波市镇海区骆驼街道镇海大道中段788号】</w:t>
            </w:r>
          </w:p>
        </w:tc>
      </w:tr>
      <w:tr w14:paraId="63F52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BE0B510">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48C6641E">
            <w:pPr>
              <w:contextualSpacing/>
              <w:rPr>
                <w:rFonts w:hint="eastAsia" w:ascii="楷体" w:hAnsi="楷体" w:eastAsia="楷体" w:cs="楷体"/>
                <w:szCs w:val="21"/>
              </w:rPr>
            </w:pPr>
            <w:r>
              <w:rPr>
                <w:rFonts w:hint="eastAsia" w:ascii="楷体" w:hAnsi="楷体" w:eastAsia="楷体" w:cs="楷体"/>
                <w:szCs w:val="21"/>
              </w:rPr>
              <w:t>【0571-96596】</w:t>
            </w:r>
          </w:p>
        </w:tc>
      </w:tr>
      <w:tr w14:paraId="5FC5D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6C1F58F">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2B0A40CB">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6BD32E23"/>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620A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B550963">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6D299084">
            <w:pPr>
              <w:contextualSpacing/>
              <w:rPr>
                <w:rFonts w:hint="eastAsia" w:ascii="楷体" w:hAnsi="楷体" w:eastAsia="楷体" w:cs="楷体"/>
                <w:szCs w:val="21"/>
              </w:rPr>
            </w:pPr>
            <w:r>
              <w:rPr>
                <w:rFonts w:hint="eastAsia" w:ascii="楷体" w:hAnsi="楷体" w:eastAsia="楷体" w:cs="楷体"/>
                <w:szCs w:val="21"/>
              </w:rPr>
              <w:t>【浙江平湖农村商业银行股份有限公司】</w:t>
            </w:r>
          </w:p>
        </w:tc>
      </w:tr>
      <w:tr w14:paraId="2C24D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D56E255">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1DB1E0FD">
            <w:pPr>
              <w:contextualSpacing/>
              <w:rPr>
                <w:rFonts w:hint="eastAsia" w:ascii="楷体" w:hAnsi="楷体" w:eastAsia="楷体" w:cs="楷体"/>
                <w:szCs w:val="21"/>
              </w:rPr>
            </w:pPr>
            <w:r>
              <w:rPr>
                <w:rFonts w:hint="eastAsia" w:ascii="楷体" w:hAnsi="楷体" w:eastAsia="楷体" w:cs="楷体"/>
                <w:szCs w:val="21"/>
              </w:rPr>
              <w:t>【浙江省平湖市当湖街道胜利路518号】</w:t>
            </w:r>
          </w:p>
        </w:tc>
      </w:tr>
      <w:tr w14:paraId="71A78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64496CD">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42143909">
            <w:pPr>
              <w:contextualSpacing/>
              <w:rPr>
                <w:rFonts w:hint="eastAsia" w:ascii="楷体" w:hAnsi="楷体" w:eastAsia="楷体" w:cs="楷体"/>
                <w:szCs w:val="21"/>
              </w:rPr>
            </w:pPr>
            <w:r>
              <w:rPr>
                <w:rFonts w:hint="eastAsia" w:ascii="楷体" w:hAnsi="楷体" w:eastAsia="楷体" w:cs="楷体"/>
                <w:szCs w:val="21"/>
              </w:rPr>
              <w:t>【4008896596】</w:t>
            </w:r>
          </w:p>
        </w:tc>
      </w:tr>
      <w:tr w14:paraId="357C6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443AE7E">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2099C955">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72355FF6"/>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0E3F6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14:paraId="72DD25F1">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2DA1B726">
            <w:pPr>
              <w:contextualSpacing/>
              <w:rPr>
                <w:rFonts w:hint="eastAsia" w:ascii="楷体" w:hAnsi="楷体" w:eastAsia="楷体" w:cs="楷体"/>
                <w:szCs w:val="21"/>
              </w:rPr>
            </w:pPr>
            <w:r>
              <w:rPr>
                <w:rFonts w:hint="eastAsia" w:ascii="楷体" w:hAnsi="楷体" w:eastAsia="楷体" w:cs="楷体"/>
                <w:szCs w:val="21"/>
              </w:rPr>
              <w:t>【宁波鄞州农村商业银行股份有限公司】</w:t>
            </w:r>
          </w:p>
        </w:tc>
      </w:tr>
      <w:tr w14:paraId="5755B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E8B4F9F">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75274121">
            <w:pPr>
              <w:contextualSpacing/>
              <w:rPr>
                <w:rFonts w:hint="eastAsia" w:ascii="楷体" w:hAnsi="楷体" w:eastAsia="楷体" w:cs="楷体"/>
                <w:szCs w:val="21"/>
              </w:rPr>
            </w:pPr>
            <w:r>
              <w:rPr>
                <w:rFonts w:hint="eastAsia" w:ascii="楷体" w:hAnsi="楷体" w:eastAsia="楷体" w:cs="楷体"/>
                <w:szCs w:val="21"/>
              </w:rPr>
              <w:t>【浙江省宁波市鄞州区民惠西路88号】</w:t>
            </w:r>
          </w:p>
        </w:tc>
      </w:tr>
      <w:tr w14:paraId="0202D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706F61E">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38B19828">
            <w:pPr>
              <w:contextualSpacing/>
              <w:rPr>
                <w:rFonts w:hint="eastAsia" w:ascii="楷体" w:hAnsi="楷体" w:eastAsia="楷体" w:cs="楷体"/>
                <w:szCs w:val="21"/>
              </w:rPr>
            </w:pPr>
            <w:r>
              <w:rPr>
                <w:rFonts w:hint="eastAsia" w:ascii="楷体" w:hAnsi="楷体" w:eastAsia="楷体" w:cs="楷体"/>
                <w:szCs w:val="21"/>
              </w:rPr>
              <w:t>【956058】</w:t>
            </w:r>
          </w:p>
        </w:tc>
      </w:tr>
      <w:tr w14:paraId="40772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2720A47">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1C4B768D">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01F60C2B"/>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068B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3D48F76">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2730DED9">
            <w:pPr>
              <w:contextualSpacing/>
              <w:rPr>
                <w:rFonts w:hint="eastAsia" w:ascii="楷体" w:hAnsi="楷体" w:eastAsia="楷体" w:cs="楷体"/>
                <w:szCs w:val="21"/>
              </w:rPr>
            </w:pPr>
            <w:r>
              <w:rPr>
                <w:rFonts w:hint="eastAsia" w:ascii="楷体" w:hAnsi="楷体" w:eastAsia="楷体" w:cs="楷体"/>
                <w:szCs w:val="21"/>
              </w:rPr>
              <w:t>【绍兴银行股份有限公司】</w:t>
            </w:r>
          </w:p>
        </w:tc>
      </w:tr>
      <w:tr w14:paraId="2CE28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907E41C">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0DA8EA98">
            <w:pPr>
              <w:contextualSpacing/>
              <w:rPr>
                <w:rFonts w:hint="eastAsia" w:ascii="楷体" w:hAnsi="楷体" w:eastAsia="楷体" w:cs="楷体"/>
                <w:szCs w:val="21"/>
              </w:rPr>
            </w:pPr>
            <w:r>
              <w:rPr>
                <w:rFonts w:hint="eastAsia" w:ascii="楷体" w:hAnsi="楷体" w:eastAsia="楷体" w:cs="楷体"/>
                <w:szCs w:val="21"/>
              </w:rPr>
              <w:t>【浙江省绍兴市越城区中兴南路1号】</w:t>
            </w:r>
          </w:p>
        </w:tc>
      </w:tr>
      <w:tr w14:paraId="5A4CA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66BCE2B">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77FB61A4">
            <w:pPr>
              <w:contextualSpacing/>
              <w:rPr>
                <w:rFonts w:hint="eastAsia" w:ascii="楷体" w:hAnsi="楷体" w:eastAsia="楷体" w:cs="楷体"/>
                <w:szCs w:val="21"/>
              </w:rPr>
            </w:pPr>
            <w:r>
              <w:rPr>
                <w:rFonts w:hint="eastAsia" w:ascii="楷体" w:hAnsi="楷体" w:eastAsia="楷体" w:cs="楷体"/>
                <w:szCs w:val="21"/>
              </w:rPr>
              <w:t>【4000896528】</w:t>
            </w:r>
          </w:p>
        </w:tc>
      </w:tr>
      <w:tr w14:paraId="280E9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1B6E10E">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3B746E27">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42305CA6"/>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2DDE1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14:paraId="04EA1C32">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2E103366">
            <w:pPr>
              <w:contextualSpacing/>
              <w:rPr>
                <w:rFonts w:hint="eastAsia" w:ascii="楷体" w:hAnsi="楷体" w:eastAsia="楷体" w:cs="楷体"/>
                <w:szCs w:val="21"/>
              </w:rPr>
            </w:pPr>
            <w:r>
              <w:rPr>
                <w:rFonts w:hint="eastAsia" w:ascii="楷体" w:hAnsi="楷体" w:eastAsia="楷体" w:cs="楷体"/>
                <w:szCs w:val="21"/>
              </w:rPr>
              <w:t>【浙江桐庐农村商业银行股份有限公司】</w:t>
            </w:r>
          </w:p>
        </w:tc>
      </w:tr>
      <w:tr w14:paraId="479A8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75A5EEB">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36DE2C57">
            <w:pPr>
              <w:contextualSpacing/>
              <w:rPr>
                <w:rFonts w:hint="eastAsia" w:ascii="楷体" w:hAnsi="楷体" w:eastAsia="楷体" w:cs="楷体"/>
                <w:szCs w:val="21"/>
              </w:rPr>
            </w:pPr>
            <w:r>
              <w:rPr>
                <w:rFonts w:hint="eastAsia" w:ascii="楷体" w:hAnsi="楷体" w:eastAsia="楷体" w:cs="楷体"/>
                <w:szCs w:val="21"/>
              </w:rPr>
              <w:t>【浙江省杭州市桐庐县城迎春南路278号】</w:t>
            </w:r>
          </w:p>
        </w:tc>
      </w:tr>
      <w:tr w14:paraId="43472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0ACA769">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31ACE14A">
            <w:pPr>
              <w:contextualSpacing/>
              <w:rPr>
                <w:rFonts w:hint="eastAsia" w:ascii="楷体" w:hAnsi="楷体" w:eastAsia="楷体" w:cs="楷体"/>
                <w:szCs w:val="21"/>
              </w:rPr>
            </w:pPr>
            <w:r>
              <w:rPr>
                <w:rFonts w:hint="eastAsia" w:ascii="楷体" w:hAnsi="楷体" w:eastAsia="楷体" w:cs="楷体"/>
                <w:szCs w:val="21"/>
              </w:rPr>
              <w:t>【4008896596】</w:t>
            </w:r>
          </w:p>
        </w:tc>
      </w:tr>
      <w:tr w14:paraId="440E2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C699054">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0DD12B63">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33652E01"/>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71AB7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E8FDF2E">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2E457C33">
            <w:pPr>
              <w:contextualSpacing/>
              <w:rPr>
                <w:rFonts w:hint="eastAsia" w:ascii="楷体" w:hAnsi="楷体" w:eastAsia="楷体" w:cs="楷体"/>
                <w:szCs w:val="21"/>
              </w:rPr>
            </w:pPr>
            <w:r>
              <w:rPr>
                <w:rFonts w:hint="eastAsia" w:ascii="楷体" w:hAnsi="楷体" w:eastAsia="楷体" w:cs="楷体"/>
                <w:szCs w:val="21"/>
              </w:rPr>
              <w:t>【桂林银行股份有限公司】</w:t>
            </w:r>
          </w:p>
        </w:tc>
      </w:tr>
      <w:tr w14:paraId="69794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2264120">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38CEEE54">
            <w:pPr>
              <w:contextualSpacing/>
              <w:rPr>
                <w:rFonts w:hint="eastAsia" w:ascii="楷体" w:hAnsi="楷体" w:eastAsia="楷体" w:cs="楷体"/>
                <w:szCs w:val="21"/>
              </w:rPr>
            </w:pPr>
            <w:r>
              <w:rPr>
                <w:rFonts w:hint="eastAsia" w:ascii="楷体" w:hAnsi="楷体" w:eastAsia="楷体" w:cs="楷体"/>
                <w:szCs w:val="21"/>
              </w:rPr>
              <w:t>【广西省桂林市临桂区公园北路8号】</w:t>
            </w:r>
          </w:p>
        </w:tc>
      </w:tr>
      <w:tr w14:paraId="0ED65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E3F1AC8">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33C57EFF">
            <w:pPr>
              <w:contextualSpacing/>
              <w:rPr>
                <w:rFonts w:hint="eastAsia" w:ascii="楷体" w:hAnsi="楷体" w:eastAsia="楷体" w:cs="楷体"/>
                <w:szCs w:val="21"/>
              </w:rPr>
            </w:pPr>
            <w:r>
              <w:rPr>
                <w:rFonts w:hint="eastAsia" w:ascii="楷体" w:hAnsi="楷体" w:eastAsia="楷体" w:cs="楷体"/>
                <w:szCs w:val="21"/>
              </w:rPr>
              <w:t>【400-86-96299】</w:t>
            </w:r>
          </w:p>
        </w:tc>
      </w:tr>
      <w:tr w14:paraId="6821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F6B4AFE">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064BC06E">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2273334D"/>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34C1B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C93922A">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448F0F27">
            <w:pPr>
              <w:contextualSpacing/>
              <w:rPr>
                <w:rFonts w:hint="eastAsia" w:ascii="楷体" w:hAnsi="楷体" w:eastAsia="楷体" w:cs="楷体"/>
                <w:szCs w:val="21"/>
              </w:rPr>
            </w:pPr>
            <w:r>
              <w:rPr>
                <w:rFonts w:hint="eastAsia" w:ascii="楷体" w:hAnsi="楷体" w:eastAsia="楷体" w:cs="楷体"/>
                <w:szCs w:val="21"/>
              </w:rPr>
              <w:t>【浙江青田农村商业银行股份有限公司】</w:t>
            </w:r>
          </w:p>
        </w:tc>
      </w:tr>
      <w:tr w14:paraId="60E53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9EEA858">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5118A1F4">
            <w:pPr>
              <w:contextualSpacing/>
              <w:rPr>
                <w:rFonts w:hint="eastAsia" w:ascii="楷体" w:hAnsi="楷体" w:eastAsia="楷体" w:cs="楷体"/>
                <w:szCs w:val="21"/>
              </w:rPr>
            </w:pPr>
            <w:r>
              <w:rPr>
                <w:rFonts w:hint="eastAsia" w:ascii="楷体" w:hAnsi="楷体" w:eastAsia="楷体" w:cs="楷体"/>
                <w:szCs w:val="21"/>
              </w:rPr>
              <w:t>【浙江省青田县鹤城街道鹤城东路180号】</w:t>
            </w:r>
          </w:p>
        </w:tc>
      </w:tr>
      <w:tr w14:paraId="21233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B235767">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41FE0C73">
            <w:pPr>
              <w:contextualSpacing/>
              <w:rPr>
                <w:rFonts w:hint="eastAsia" w:ascii="楷体" w:hAnsi="楷体" w:eastAsia="楷体" w:cs="楷体"/>
                <w:szCs w:val="21"/>
              </w:rPr>
            </w:pPr>
            <w:r>
              <w:rPr>
                <w:rFonts w:hint="eastAsia" w:ascii="楷体" w:hAnsi="楷体" w:eastAsia="楷体" w:cs="楷体"/>
                <w:szCs w:val="21"/>
              </w:rPr>
              <w:t>【4008896596】</w:t>
            </w:r>
          </w:p>
        </w:tc>
      </w:tr>
      <w:tr w14:paraId="0EB9E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3799A59">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3466E317">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6C622C64"/>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45F50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4C2FE49">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2F6E8B2F">
            <w:pPr>
              <w:contextualSpacing/>
              <w:rPr>
                <w:rFonts w:hint="eastAsia" w:ascii="楷体" w:hAnsi="楷体" w:eastAsia="楷体" w:cs="楷体"/>
                <w:szCs w:val="21"/>
              </w:rPr>
            </w:pPr>
            <w:r>
              <w:rPr>
                <w:rFonts w:hint="eastAsia" w:ascii="楷体" w:hAnsi="楷体" w:eastAsia="楷体" w:cs="楷体"/>
                <w:szCs w:val="21"/>
              </w:rPr>
              <w:t>【浙江嘉善农村商业银行股份有限公司】</w:t>
            </w:r>
          </w:p>
        </w:tc>
      </w:tr>
      <w:tr w14:paraId="1D779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61FB799">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452BFB77">
            <w:pPr>
              <w:contextualSpacing/>
              <w:rPr>
                <w:rFonts w:hint="eastAsia" w:ascii="楷体" w:hAnsi="楷体" w:eastAsia="楷体" w:cs="楷体"/>
                <w:szCs w:val="21"/>
              </w:rPr>
            </w:pPr>
            <w:r>
              <w:rPr>
                <w:rFonts w:hint="eastAsia" w:ascii="楷体" w:hAnsi="楷体" w:eastAsia="楷体" w:cs="楷体"/>
                <w:szCs w:val="21"/>
              </w:rPr>
              <w:t>【浙江省嘉兴市嘉善县罗星街道车站南路999号】</w:t>
            </w:r>
          </w:p>
        </w:tc>
      </w:tr>
      <w:tr w14:paraId="3BE5E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0C66BC0">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4275EC4A">
            <w:pPr>
              <w:contextualSpacing/>
              <w:rPr>
                <w:rFonts w:hint="eastAsia" w:ascii="楷体" w:hAnsi="楷体" w:eastAsia="楷体" w:cs="楷体"/>
                <w:szCs w:val="21"/>
              </w:rPr>
            </w:pPr>
            <w:r>
              <w:rPr>
                <w:rFonts w:hint="eastAsia" w:ascii="楷体" w:hAnsi="楷体" w:eastAsia="楷体" w:cs="楷体"/>
                <w:szCs w:val="21"/>
              </w:rPr>
              <w:t>【4008896596】</w:t>
            </w:r>
          </w:p>
        </w:tc>
      </w:tr>
      <w:tr w14:paraId="36636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F1497F5">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0F1CE1DE">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6DB3F2A1"/>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2D454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96C0029">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03365A79">
            <w:pPr>
              <w:contextualSpacing/>
              <w:rPr>
                <w:rFonts w:hint="eastAsia" w:ascii="楷体" w:hAnsi="楷体" w:eastAsia="楷体" w:cs="楷体"/>
                <w:szCs w:val="21"/>
              </w:rPr>
            </w:pPr>
            <w:r>
              <w:rPr>
                <w:rFonts w:hint="eastAsia" w:ascii="楷体" w:hAnsi="楷体" w:eastAsia="楷体" w:cs="楷体"/>
                <w:szCs w:val="21"/>
              </w:rPr>
              <w:t>【浙江衢州衢江农村商业银行股份有限公司】</w:t>
            </w:r>
          </w:p>
        </w:tc>
      </w:tr>
      <w:tr w14:paraId="0F7F5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FF38D6D">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09D23472">
            <w:pPr>
              <w:contextualSpacing/>
              <w:rPr>
                <w:rFonts w:hint="eastAsia" w:ascii="楷体" w:hAnsi="楷体" w:eastAsia="楷体" w:cs="楷体"/>
                <w:szCs w:val="21"/>
              </w:rPr>
            </w:pPr>
            <w:r>
              <w:rPr>
                <w:rFonts w:hint="eastAsia" w:ascii="楷体" w:hAnsi="楷体" w:eastAsia="楷体" w:cs="楷体"/>
                <w:szCs w:val="21"/>
              </w:rPr>
              <w:t>【浙江省衢州市衢江区樟潭街道信安东路37号】</w:t>
            </w:r>
          </w:p>
        </w:tc>
      </w:tr>
      <w:tr w14:paraId="7738D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EAFF11A">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214364AB">
            <w:pPr>
              <w:contextualSpacing/>
              <w:rPr>
                <w:rFonts w:hint="eastAsia" w:ascii="楷体" w:hAnsi="楷体" w:eastAsia="楷体" w:cs="楷体"/>
                <w:szCs w:val="21"/>
              </w:rPr>
            </w:pPr>
            <w:r>
              <w:rPr>
                <w:rFonts w:hint="eastAsia" w:ascii="楷体" w:hAnsi="楷体" w:eastAsia="楷体" w:cs="楷体"/>
                <w:szCs w:val="21"/>
              </w:rPr>
              <w:t>【4008896596】</w:t>
            </w:r>
          </w:p>
        </w:tc>
      </w:tr>
      <w:tr w14:paraId="765F4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4DCE103">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4ABC7DD5">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161E4B32"/>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1E078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A80138B">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6B29911D">
            <w:pPr>
              <w:contextualSpacing/>
              <w:rPr>
                <w:rFonts w:hint="eastAsia" w:ascii="楷体" w:hAnsi="楷体" w:eastAsia="楷体" w:cs="楷体"/>
                <w:szCs w:val="21"/>
              </w:rPr>
            </w:pPr>
            <w:r>
              <w:rPr>
                <w:rFonts w:hint="eastAsia" w:ascii="楷体" w:hAnsi="楷体" w:eastAsia="楷体" w:cs="楷体"/>
                <w:szCs w:val="21"/>
              </w:rPr>
              <w:t>【浙江上虞农村商业银行股份有限公司】</w:t>
            </w:r>
          </w:p>
        </w:tc>
      </w:tr>
      <w:tr w14:paraId="7EBE0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B5F9DCD">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203A8F08">
            <w:pPr>
              <w:contextualSpacing/>
              <w:rPr>
                <w:rFonts w:hint="eastAsia" w:ascii="楷体" w:hAnsi="楷体" w:eastAsia="楷体" w:cs="楷体"/>
                <w:szCs w:val="21"/>
              </w:rPr>
            </w:pPr>
            <w:r>
              <w:rPr>
                <w:rFonts w:hint="eastAsia" w:ascii="楷体" w:hAnsi="楷体" w:eastAsia="楷体" w:cs="楷体"/>
                <w:szCs w:val="21"/>
              </w:rPr>
              <w:t>【浙江省百官街道德盛路55号】</w:t>
            </w:r>
          </w:p>
        </w:tc>
      </w:tr>
      <w:tr w14:paraId="7A985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DD803E7">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63BB778C">
            <w:pPr>
              <w:contextualSpacing/>
              <w:rPr>
                <w:rFonts w:hint="eastAsia" w:ascii="楷体" w:hAnsi="楷体" w:eastAsia="楷体" w:cs="楷体"/>
                <w:szCs w:val="21"/>
              </w:rPr>
            </w:pPr>
            <w:r>
              <w:rPr>
                <w:rFonts w:hint="eastAsia" w:ascii="楷体" w:hAnsi="楷体" w:eastAsia="楷体" w:cs="楷体"/>
                <w:szCs w:val="21"/>
              </w:rPr>
              <w:t>【4008896596】</w:t>
            </w:r>
          </w:p>
        </w:tc>
      </w:tr>
      <w:tr w14:paraId="799A2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D6A1D64">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52CDC27B">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2D87C250"/>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59D47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1009A5E">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59203056">
            <w:pPr>
              <w:contextualSpacing/>
              <w:rPr>
                <w:rFonts w:hint="eastAsia" w:ascii="楷体" w:hAnsi="楷体" w:eastAsia="楷体" w:cs="楷体"/>
                <w:szCs w:val="21"/>
              </w:rPr>
            </w:pPr>
            <w:r>
              <w:rPr>
                <w:rFonts w:hint="eastAsia" w:ascii="楷体" w:hAnsi="楷体" w:eastAsia="楷体" w:cs="楷体"/>
                <w:szCs w:val="21"/>
              </w:rPr>
              <w:t>【浙江长兴农村商业银行股份有限公司】</w:t>
            </w:r>
          </w:p>
        </w:tc>
      </w:tr>
      <w:tr w14:paraId="40DB2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80AC685">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762DFD87">
            <w:pPr>
              <w:contextualSpacing/>
              <w:rPr>
                <w:rFonts w:hint="eastAsia" w:ascii="楷体" w:hAnsi="楷体" w:eastAsia="楷体" w:cs="楷体"/>
                <w:szCs w:val="21"/>
              </w:rPr>
            </w:pPr>
            <w:r>
              <w:rPr>
                <w:rFonts w:hint="eastAsia" w:ascii="楷体" w:hAnsi="楷体" w:eastAsia="楷体" w:cs="楷体"/>
                <w:szCs w:val="21"/>
              </w:rPr>
              <w:t>【浙江省湖州市长兴县太湖街道明珠路1298号】</w:t>
            </w:r>
          </w:p>
        </w:tc>
      </w:tr>
      <w:tr w14:paraId="0DA5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94604E1">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347A47FC">
            <w:pPr>
              <w:contextualSpacing/>
              <w:rPr>
                <w:rFonts w:hint="eastAsia" w:ascii="楷体" w:hAnsi="楷体" w:eastAsia="楷体" w:cs="楷体"/>
                <w:szCs w:val="21"/>
              </w:rPr>
            </w:pPr>
            <w:r>
              <w:rPr>
                <w:rFonts w:hint="eastAsia" w:ascii="楷体" w:hAnsi="楷体" w:eastAsia="楷体" w:cs="楷体"/>
                <w:szCs w:val="21"/>
              </w:rPr>
              <w:t>【4008896596】</w:t>
            </w:r>
          </w:p>
        </w:tc>
      </w:tr>
      <w:tr w14:paraId="7434D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75AC775">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216E8BA2">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328A72C2"/>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64DE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8F2C0C9">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7CC5E9EC">
            <w:pPr>
              <w:contextualSpacing/>
              <w:rPr>
                <w:rFonts w:hint="eastAsia" w:ascii="楷体" w:hAnsi="楷体" w:eastAsia="楷体" w:cs="楷体"/>
                <w:szCs w:val="21"/>
              </w:rPr>
            </w:pPr>
            <w:r>
              <w:rPr>
                <w:rFonts w:hint="eastAsia" w:ascii="楷体" w:hAnsi="楷体" w:eastAsia="楷体" w:cs="楷体"/>
                <w:szCs w:val="21"/>
              </w:rPr>
              <w:t>【浙江常山农村商业银行股份有限公司】</w:t>
            </w:r>
          </w:p>
        </w:tc>
      </w:tr>
      <w:tr w14:paraId="2FE21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34288A0">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344F5668">
            <w:pPr>
              <w:contextualSpacing/>
              <w:rPr>
                <w:rFonts w:hint="eastAsia" w:ascii="楷体" w:hAnsi="楷体" w:eastAsia="楷体" w:cs="楷体"/>
                <w:szCs w:val="21"/>
              </w:rPr>
            </w:pPr>
            <w:r>
              <w:rPr>
                <w:rFonts w:hint="eastAsia" w:ascii="楷体" w:hAnsi="楷体" w:eastAsia="楷体" w:cs="楷体"/>
                <w:szCs w:val="21"/>
              </w:rPr>
              <w:t>【浙江省衢州市常山县紫港街道文教东路258号】</w:t>
            </w:r>
          </w:p>
        </w:tc>
      </w:tr>
      <w:tr w14:paraId="3B96F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3BF9371">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001113A8">
            <w:pPr>
              <w:contextualSpacing/>
              <w:rPr>
                <w:rFonts w:hint="eastAsia" w:ascii="楷体" w:hAnsi="楷体" w:eastAsia="楷体" w:cs="楷体"/>
                <w:szCs w:val="21"/>
              </w:rPr>
            </w:pPr>
            <w:r>
              <w:rPr>
                <w:rFonts w:hint="eastAsia" w:ascii="楷体" w:hAnsi="楷体" w:eastAsia="楷体" w:cs="楷体"/>
                <w:szCs w:val="21"/>
              </w:rPr>
              <w:t>【0571-96596】</w:t>
            </w:r>
          </w:p>
        </w:tc>
      </w:tr>
      <w:tr w14:paraId="5C6AA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9B873E7">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78DAC437">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4B8BBFAF"/>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6D0AF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357D0CF">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4C1C3173">
            <w:pPr>
              <w:contextualSpacing/>
              <w:rPr>
                <w:rFonts w:hint="eastAsia" w:ascii="楷体" w:hAnsi="楷体" w:eastAsia="楷体" w:cs="楷体"/>
                <w:szCs w:val="21"/>
              </w:rPr>
            </w:pPr>
            <w:r>
              <w:rPr>
                <w:rFonts w:hint="eastAsia" w:ascii="楷体" w:hAnsi="楷体" w:eastAsia="楷体" w:cs="楷体"/>
                <w:szCs w:val="21"/>
              </w:rPr>
              <w:t>【浙江台州路桥农村商业银行股份有限公司】</w:t>
            </w:r>
          </w:p>
        </w:tc>
      </w:tr>
      <w:tr w14:paraId="55090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5003B90">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426183AD">
            <w:pPr>
              <w:contextualSpacing/>
              <w:rPr>
                <w:rFonts w:hint="eastAsia" w:ascii="楷体" w:hAnsi="楷体" w:eastAsia="楷体" w:cs="楷体"/>
                <w:szCs w:val="21"/>
              </w:rPr>
            </w:pPr>
            <w:r>
              <w:rPr>
                <w:rFonts w:hint="eastAsia" w:ascii="楷体" w:hAnsi="楷体" w:eastAsia="楷体" w:cs="楷体"/>
                <w:szCs w:val="21"/>
              </w:rPr>
              <w:t>【浙江省台州市路桥区路北街道中心大道5789号】</w:t>
            </w:r>
          </w:p>
        </w:tc>
      </w:tr>
      <w:tr w14:paraId="6513B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A0B71BF">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5C7E2FFF">
            <w:pPr>
              <w:contextualSpacing/>
              <w:rPr>
                <w:rFonts w:hint="eastAsia" w:ascii="楷体" w:hAnsi="楷体" w:eastAsia="楷体" w:cs="楷体"/>
                <w:szCs w:val="21"/>
              </w:rPr>
            </w:pPr>
            <w:r>
              <w:rPr>
                <w:rFonts w:hint="eastAsia" w:ascii="楷体" w:hAnsi="楷体" w:eastAsia="楷体" w:cs="楷体"/>
                <w:szCs w:val="21"/>
              </w:rPr>
              <w:t>【4008896596】</w:t>
            </w:r>
          </w:p>
        </w:tc>
      </w:tr>
      <w:tr w14:paraId="342F9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E48AFF8">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7F4F7EF6">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6E1DB1FB"/>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2A51C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98A1924">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536B00C7">
            <w:pPr>
              <w:contextualSpacing/>
              <w:rPr>
                <w:rFonts w:hint="eastAsia" w:ascii="楷体" w:hAnsi="楷体" w:eastAsia="楷体" w:cs="楷体"/>
                <w:szCs w:val="21"/>
              </w:rPr>
            </w:pPr>
            <w:r>
              <w:rPr>
                <w:rFonts w:hint="eastAsia" w:ascii="楷体" w:hAnsi="楷体" w:eastAsia="楷体" w:cs="楷体"/>
                <w:szCs w:val="21"/>
              </w:rPr>
              <w:t>【浙江乐清农村商业银行股份有限公司】</w:t>
            </w:r>
          </w:p>
        </w:tc>
      </w:tr>
      <w:tr w14:paraId="390D5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CD05515">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68CC59F0">
            <w:pPr>
              <w:contextualSpacing/>
              <w:rPr>
                <w:rFonts w:hint="eastAsia" w:ascii="楷体" w:hAnsi="楷体" w:eastAsia="楷体" w:cs="楷体"/>
                <w:szCs w:val="21"/>
              </w:rPr>
            </w:pPr>
            <w:r>
              <w:rPr>
                <w:rFonts w:hint="eastAsia" w:ascii="楷体" w:hAnsi="楷体" w:eastAsia="楷体" w:cs="楷体"/>
                <w:szCs w:val="21"/>
              </w:rPr>
              <w:t>【浙江省乐清市城南街道伯乐西路99号】</w:t>
            </w:r>
          </w:p>
        </w:tc>
      </w:tr>
      <w:tr w14:paraId="24F8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3741CA0">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4F41E58F">
            <w:pPr>
              <w:contextualSpacing/>
              <w:rPr>
                <w:rFonts w:hint="eastAsia" w:ascii="楷体" w:hAnsi="楷体" w:eastAsia="楷体" w:cs="楷体"/>
                <w:szCs w:val="21"/>
              </w:rPr>
            </w:pPr>
            <w:r>
              <w:rPr>
                <w:rFonts w:hint="eastAsia" w:ascii="楷体" w:hAnsi="楷体" w:eastAsia="楷体" w:cs="楷体"/>
                <w:szCs w:val="21"/>
              </w:rPr>
              <w:t>【4008896596】</w:t>
            </w:r>
          </w:p>
        </w:tc>
      </w:tr>
      <w:tr w14:paraId="65E37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E3966A7">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484BC818">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72083918"/>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3A72D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DE42113">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2819EC2D">
            <w:pPr>
              <w:contextualSpacing/>
              <w:rPr>
                <w:rFonts w:hint="eastAsia" w:ascii="楷体" w:hAnsi="楷体" w:eastAsia="楷体" w:cs="楷体"/>
                <w:szCs w:val="21"/>
              </w:rPr>
            </w:pPr>
            <w:r>
              <w:rPr>
                <w:rFonts w:hint="eastAsia" w:ascii="楷体" w:hAnsi="楷体" w:eastAsia="楷体" w:cs="楷体"/>
                <w:szCs w:val="21"/>
              </w:rPr>
              <w:t>【浙江江山农村商业银行股份有限公司】</w:t>
            </w:r>
          </w:p>
        </w:tc>
      </w:tr>
      <w:tr w14:paraId="5683F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9C72CA7">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01837D2D">
            <w:pPr>
              <w:contextualSpacing/>
              <w:rPr>
                <w:rFonts w:hint="eastAsia" w:ascii="楷体" w:hAnsi="楷体" w:eastAsia="楷体" w:cs="楷体"/>
                <w:szCs w:val="21"/>
              </w:rPr>
            </w:pPr>
            <w:r>
              <w:rPr>
                <w:rFonts w:hint="eastAsia" w:ascii="楷体" w:hAnsi="楷体" w:eastAsia="楷体" w:cs="楷体"/>
                <w:szCs w:val="21"/>
              </w:rPr>
              <w:t>【浙江省江山区江滨路188号】</w:t>
            </w:r>
          </w:p>
        </w:tc>
      </w:tr>
      <w:tr w14:paraId="50D0B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2904FEC">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3D02151A">
            <w:pPr>
              <w:contextualSpacing/>
              <w:rPr>
                <w:rFonts w:hint="eastAsia" w:ascii="楷体" w:hAnsi="楷体" w:eastAsia="楷体" w:cs="楷体"/>
                <w:szCs w:val="21"/>
              </w:rPr>
            </w:pPr>
            <w:r>
              <w:rPr>
                <w:rFonts w:hint="eastAsia" w:ascii="楷体" w:hAnsi="楷体" w:eastAsia="楷体" w:cs="楷体"/>
                <w:szCs w:val="21"/>
              </w:rPr>
              <w:t>【4008896596】</w:t>
            </w:r>
          </w:p>
        </w:tc>
      </w:tr>
      <w:tr w14:paraId="7BD24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0540E85">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7CE8ACE1">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2E39813A"/>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17B82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92422B7">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244C231F">
            <w:pPr>
              <w:contextualSpacing/>
              <w:rPr>
                <w:rFonts w:hint="eastAsia" w:ascii="楷体" w:hAnsi="楷体" w:eastAsia="楷体" w:cs="楷体"/>
                <w:szCs w:val="21"/>
              </w:rPr>
            </w:pPr>
            <w:r>
              <w:rPr>
                <w:rFonts w:hint="eastAsia" w:ascii="楷体" w:hAnsi="楷体" w:eastAsia="楷体" w:cs="楷体"/>
                <w:szCs w:val="21"/>
              </w:rPr>
              <w:t>【湖州吴兴农村商业银行股份有限公司】</w:t>
            </w:r>
          </w:p>
        </w:tc>
      </w:tr>
      <w:tr w14:paraId="4D59F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B90D1EB">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70398428">
            <w:pPr>
              <w:contextualSpacing/>
              <w:rPr>
                <w:rFonts w:hint="eastAsia" w:ascii="楷体" w:hAnsi="楷体" w:eastAsia="楷体" w:cs="楷体"/>
                <w:szCs w:val="21"/>
              </w:rPr>
            </w:pPr>
            <w:r>
              <w:rPr>
                <w:rFonts w:hint="eastAsia" w:ascii="楷体" w:hAnsi="楷体" w:eastAsia="楷体" w:cs="楷体"/>
                <w:szCs w:val="21"/>
              </w:rPr>
              <w:t>【浙江省湖州市东街55号】</w:t>
            </w:r>
          </w:p>
        </w:tc>
      </w:tr>
      <w:tr w14:paraId="6CE6E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69DF97F">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15A67E7C">
            <w:pPr>
              <w:contextualSpacing/>
              <w:rPr>
                <w:rFonts w:hint="eastAsia" w:ascii="楷体" w:hAnsi="楷体" w:eastAsia="楷体" w:cs="楷体"/>
                <w:szCs w:val="21"/>
              </w:rPr>
            </w:pPr>
            <w:r>
              <w:rPr>
                <w:rFonts w:hint="eastAsia" w:ascii="楷体" w:hAnsi="楷体" w:eastAsia="楷体" w:cs="楷体"/>
                <w:szCs w:val="21"/>
              </w:rPr>
              <w:t>【4008896596】</w:t>
            </w:r>
          </w:p>
        </w:tc>
      </w:tr>
      <w:tr w14:paraId="7B696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A7FD6D7">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692C39DB">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0CDC11E7"/>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7CD48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3EE1E73">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14:paraId="01D3B24B">
            <w:pPr>
              <w:contextualSpacing/>
              <w:rPr>
                <w:rFonts w:hint="eastAsia" w:ascii="楷体" w:hAnsi="楷体" w:eastAsia="楷体" w:cs="楷体"/>
                <w:szCs w:val="21"/>
              </w:rPr>
            </w:pPr>
            <w:r>
              <w:rPr>
                <w:rFonts w:hint="eastAsia" w:ascii="楷体" w:hAnsi="楷体" w:eastAsia="楷体" w:cs="楷体"/>
                <w:szCs w:val="21"/>
              </w:rPr>
              <w:t>【厦门银行股份有限公司】</w:t>
            </w:r>
          </w:p>
        </w:tc>
      </w:tr>
      <w:tr w14:paraId="2C099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6B32E60">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14:paraId="5C63FECB">
            <w:pPr>
              <w:contextualSpacing/>
              <w:rPr>
                <w:rFonts w:hint="eastAsia" w:ascii="楷体" w:hAnsi="楷体" w:eastAsia="楷体" w:cs="楷体"/>
                <w:szCs w:val="21"/>
              </w:rPr>
            </w:pPr>
            <w:r>
              <w:rPr>
                <w:rFonts w:hint="eastAsia" w:ascii="楷体" w:hAnsi="楷体" w:eastAsia="楷体" w:cs="楷体"/>
                <w:szCs w:val="21"/>
              </w:rPr>
              <w:t>【福建省厦门市思明区湖滨北路101号商业银行大厦】</w:t>
            </w:r>
          </w:p>
        </w:tc>
      </w:tr>
      <w:tr w14:paraId="18606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2FA561F">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14:paraId="2159B8E1">
            <w:pPr>
              <w:contextualSpacing/>
              <w:rPr>
                <w:rFonts w:hint="eastAsia" w:ascii="楷体" w:hAnsi="楷体" w:eastAsia="楷体" w:cs="楷体"/>
                <w:szCs w:val="21"/>
              </w:rPr>
            </w:pPr>
            <w:r>
              <w:rPr>
                <w:rFonts w:hint="eastAsia" w:ascii="楷体" w:hAnsi="楷体" w:eastAsia="楷体" w:cs="楷体"/>
                <w:szCs w:val="21"/>
              </w:rPr>
              <w:t>【4008588888】</w:t>
            </w:r>
          </w:p>
        </w:tc>
      </w:tr>
      <w:tr w14:paraId="6888F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8D95AF4">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14:paraId="264C6E1E">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321CFC36">
      <w:pPr>
        <w:pStyle w:val="3"/>
        <w:numPr>
          <w:ilvl w:val="0"/>
          <w:numId w:val="9"/>
        </w:numPr>
        <w:spacing w:before="0" w:after="0" w:line="360" w:lineRule="auto"/>
        <w:ind w:firstLine="422" w:firstLineChars="200"/>
        <w:rPr>
          <w:rFonts w:ascii="楷体" w:hAnsi="楷体" w:eastAsia="楷体"/>
          <w:sz w:val="21"/>
        </w:rPr>
      </w:pPr>
      <w:r>
        <w:rPr>
          <w:rFonts w:hint="eastAsia" w:ascii="楷体" w:hAnsi="楷体" w:eastAsia="楷体"/>
          <w:sz w:val="21"/>
          <w:lang w:val="en-US" w:eastAsia="zh-CN"/>
        </w:rPr>
        <w:t>投资</w:t>
      </w:r>
      <w:r>
        <w:rPr>
          <w:rFonts w:hint="eastAsia" w:ascii="楷体" w:hAnsi="楷体" w:eastAsia="楷体"/>
          <w:sz w:val="21"/>
        </w:rPr>
        <w:t>合作机构</w:t>
      </w:r>
    </w:p>
    <w:p w14:paraId="293387FB">
      <w:pPr>
        <w:snapToGrid/>
        <w:spacing w:line="360" w:lineRule="auto"/>
        <w:ind w:firstLine="420" w:firstLineChars="200"/>
        <w:contextualSpacing/>
        <w:rPr>
          <w:rFonts w:hint="eastAsia" w:ascii="楷体" w:hAnsi="楷体" w:eastAsia="楷体" w:cs="楷体"/>
          <w:b w:val="0"/>
          <w:bCs w:val="0"/>
          <w:szCs w:val="21"/>
        </w:rPr>
      </w:pPr>
      <w:r>
        <w:rPr>
          <w:rFonts w:hint="eastAsia" w:ascii="楷体" w:hAnsi="楷体" w:eastAsia="楷体" w:cs="楷体"/>
          <w:szCs w:val="21"/>
        </w:rPr>
        <w:t>本理财产品</w:t>
      </w:r>
      <w:r>
        <w:rPr>
          <w:rFonts w:hint="eastAsia" w:ascii="楷体" w:hAnsi="楷体" w:eastAsia="楷体" w:cs="楷体"/>
          <w:b w:val="0"/>
          <w:bCs w:val="0"/>
          <w:szCs w:val="21"/>
        </w:rPr>
        <w:t>投资合作机构可能包括但不限于</w:t>
      </w:r>
      <w:r>
        <w:rPr>
          <w:rFonts w:hint="eastAsia" w:ascii="楷体" w:hAnsi="楷体" w:eastAsia="楷体" w:cs="楷体"/>
          <w:b w:val="0"/>
          <w:bCs w:val="0"/>
          <w:szCs w:val="21"/>
          <w:lang w:eastAsia="zh-CN"/>
        </w:rPr>
        <w:t>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w:t>
      </w:r>
      <w:r>
        <w:rPr>
          <w:rFonts w:hint="eastAsia" w:ascii="楷体" w:hAnsi="楷体" w:eastAsia="楷体" w:cs="楷体"/>
          <w:b w:val="0"/>
          <w:bCs w:val="0"/>
          <w:szCs w:val="21"/>
        </w:rPr>
        <w:t>等。</w:t>
      </w:r>
    </w:p>
    <w:p w14:paraId="29B5D36E">
      <w:pPr>
        <w:spacing w:line="360" w:lineRule="auto"/>
        <w:ind w:firstLine="420" w:firstLineChars="200"/>
        <w:contextualSpacing/>
        <w:rPr>
          <w:rFonts w:hint="eastAsia" w:ascii="楷体" w:hAnsi="楷体" w:eastAsia="楷体" w:cs="楷体"/>
        </w:rPr>
      </w:pPr>
      <w:r>
        <w:rPr>
          <w:rFonts w:hint="eastAsia" w:ascii="楷体" w:hAnsi="楷体" w:eastAsia="楷体" w:cs="楷体"/>
          <w:kern w:val="2"/>
          <w:sz w:val="21"/>
          <w:szCs w:val="21"/>
          <w:lang w:val="en-US" w:eastAsia="zh-CN" w:bidi="ar"/>
        </w:rPr>
        <w:t>后续新增投资合作机构时，管理人将对合作机构的资质条件、专业服务能力和风险管理水平等进行充分评价，切实履行投资管理职责</w:t>
      </w:r>
      <w:r>
        <w:rPr>
          <w:rFonts w:hint="eastAsia" w:ascii="楷体" w:hAnsi="楷体" w:eastAsia="楷体" w:cs="楷体"/>
          <w:szCs w:val="21"/>
        </w:rPr>
        <w:t>。</w:t>
      </w:r>
    </w:p>
    <w:p w14:paraId="10DE4B33">
      <w:pPr>
        <w:pStyle w:val="2"/>
        <w:spacing w:before="120" w:after="120" w:line="240" w:lineRule="auto"/>
        <w:rPr>
          <w:rFonts w:ascii="楷体" w:hAnsi="楷体" w:eastAsia="楷体"/>
          <w:sz w:val="28"/>
          <w:szCs w:val="28"/>
        </w:rPr>
      </w:pPr>
      <w:bookmarkStart w:id="11" w:name="_Hlk99536990"/>
      <w:r>
        <w:rPr>
          <w:rFonts w:hint="eastAsia" w:ascii="楷体_GB2312" w:eastAsia="楷体_GB2312"/>
          <w:bCs w:val="0"/>
          <w:sz w:val="28"/>
          <w:szCs w:val="28"/>
        </w:rPr>
        <w:t>八、</w:t>
      </w:r>
      <w:bookmarkEnd w:id="11"/>
      <w:bookmarkStart w:id="12" w:name="_Toc98680981"/>
      <w:r>
        <w:rPr>
          <w:rFonts w:ascii="楷体" w:hAnsi="楷体" w:eastAsia="楷体"/>
          <w:sz w:val="28"/>
          <w:szCs w:val="28"/>
        </w:rPr>
        <w:t>产品的收益、费用及税费</w:t>
      </w:r>
      <w:bookmarkEnd w:id="12"/>
    </w:p>
    <w:p w14:paraId="0B6DDDD5">
      <w:pPr>
        <w:pStyle w:val="3"/>
        <w:spacing w:before="0" w:after="0" w:line="360" w:lineRule="auto"/>
        <w:ind w:firstLine="422" w:firstLineChars="200"/>
        <w:rPr>
          <w:rFonts w:ascii="楷体" w:hAnsi="楷体" w:eastAsia="楷体"/>
          <w:sz w:val="21"/>
        </w:rPr>
      </w:pPr>
      <w:bookmarkStart w:id="13" w:name="_Toc98680982"/>
      <w:r>
        <w:rPr>
          <w:rFonts w:hint="eastAsia" w:ascii="楷体" w:hAnsi="楷体" w:eastAsia="楷体"/>
          <w:sz w:val="21"/>
        </w:rPr>
        <w:t>（一）理财产品的收益分配</w:t>
      </w:r>
      <w:bookmarkEnd w:id="13"/>
    </w:p>
    <w:p w14:paraId="448620D3">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1.投资者持有本理财产品期间及到期时，管理人不承诺保证投资本金安全且不保证理财收益，投资者收益（如有）随理财产品的投资盈亏水平浮动。</w:t>
      </w:r>
    </w:p>
    <w:p w14:paraId="60763F3B">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2.就期间分配而言，</w:t>
      </w:r>
      <w:r>
        <w:rPr>
          <w:rFonts w:hint="eastAsia" w:ascii="楷体" w:hAnsi="楷体" w:eastAsia="楷体" w:cs="楷体"/>
          <w:szCs w:val="21"/>
        </w:rPr>
        <w:t>在满足收益分配基准日（以管理人确定的为准）理财产品份额净值大于理财产品初始份额净值的条件下，理财产品管理人可进行不定期分配，分配方式为现金分配。</w:t>
      </w:r>
    </w:p>
    <w:p w14:paraId="0AE7E775">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期间分配原则及方式：</w:t>
      </w:r>
    </w:p>
    <w:p w14:paraId="100DCD67">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（1）每一理财产品份额享有同等分配权；</w:t>
      </w:r>
    </w:p>
    <w:p w14:paraId="0B05467F">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如需进行收益分配，管理人应至少在分红日后2个工作日内通过《产品说明书》“信息披露”约定的方式，向投资者披露收益分配方案，包括但不限于收益分配基准日、分红日、收益分配对象、收益分配方式、分配金额等内容。</w:t>
      </w:r>
    </w:p>
    <w:p w14:paraId="46A677A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（3）原则上，管理人在理财产品分红日后5个工作日内将投资者可得资金转至投资者账户。超过5个工作日的，管理人将提前2个工作日通过《产品说明书》“信息披露”约定的方式，向投资者披露。</w:t>
      </w:r>
    </w:p>
    <w:p w14:paraId="52E1B617">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（4）在符合法律法规及理财产品合同约定，并对理财产品份额持有人利益无实质不利影响的前提下，理财产品管理人可通过公告形式对理财产品期间收益分配原则及方式进行调整。</w:t>
      </w:r>
    </w:p>
    <w:p w14:paraId="373388E6">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3.就终止分配而言，</w:t>
      </w:r>
      <w:r>
        <w:rPr>
          <w:rFonts w:hint="eastAsia" w:ascii="楷体" w:hAnsi="楷体" w:eastAsia="楷体" w:cs="楷体"/>
          <w:szCs w:val="21"/>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14:paraId="0A5222C5">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产品不收取固定投资管理费、托管费及销售管理费等。理财产品项下财产正常变现情况下，投资者理财产品终止日可得资金（如有）计算公式如下：</w:t>
      </w:r>
    </w:p>
    <w:p w14:paraId="01B80AD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投资者可得资金=投资者理财产品终止日持有理财产品份额×理财产品终止日理财产品份额净值</w:t>
      </w:r>
    </w:p>
    <w:p w14:paraId="10F44DBA">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如因理财产品所投资的标的资产因市场风险、信用风险等原因，导致资产无法在理财产品终止日内变现，则投资者应得资金为理财产品变现金额扣除应由理财产品承担的费用、税费后的剩余金额。</w:t>
      </w:r>
    </w:p>
    <w:p w14:paraId="5491EF6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理财产品项下财产正常变现情况下，理财产品投资者在终止日可得收益（不包括投资者通过期间分配已经获得的收益）的计算公式为：</w:t>
      </w:r>
    </w:p>
    <w:p w14:paraId="4758F89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每份额收益=理财产品终止日份额净值-理财产品</w:t>
      </w:r>
      <w:r>
        <w:rPr>
          <w:rFonts w:hint="eastAsia" w:ascii="楷体" w:hAnsi="楷体" w:eastAsia="楷体" w:cs="楷体"/>
          <w:szCs w:val="21"/>
          <w:lang w:val="en-US" w:eastAsia="zh-CN"/>
        </w:rPr>
        <w:t>初始</w:t>
      </w:r>
      <w:r>
        <w:rPr>
          <w:rFonts w:hint="eastAsia" w:ascii="楷体" w:hAnsi="楷体" w:eastAsia="楷体" w:cs="楷体"/>
          <w:szCs w:val="21"/>
        </w:rPr>
        <w:t>份额净值</w:t>
      </w:r>
    </w:p>
    <w:p w14:paraId="182BC037">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投资者在终止日可得总收益=投资者理财产品终止日持有理财产品份额×每份额收益</w:t>
      </w:r>
    </w:p>
    <w:p w14:paraId="18FDB3C5">
      <w:pPr>
        <w:pStyle w:val="3"/>
        <w:spacing w:before="0" w:after="0" w:line="360" w:lineRule="auto"/>
        <w:ind w:firstLine="422" w:firstLineChars="200"/>
        <w:rPr>
          <w:rFonts w:ascii="楷体" w:hAnsi="楷体" w:eastAsia="楷体"/>
          <w:sz w:val="21"/>
        </w:rPr>
      </w:pPr>
      <w:r>
        <w:rPr>
          <w:rFonts w:hint="eastAsia" w:ascii="楷体" w:hAnsi="楷体" w:eastAsia="楷体"/>
          <w:sz w:val="21"/>
        </w:rPr>
        <w:t>（二）</w:t>
      </w:r>
      <w:r>
        <w:rPr>
          <w:rFonts w:ascii="楷体" w:hAnsi="楷体" w:eastAsia="楷体"/>
          <w:sz w:val="21"/>
        </w:rPr>
        <w:t>理财产品费用</w:t>
      </w:r>
    </w:p>
    <w:p w14:paraId="44566E30">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理财产品费用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 </w:t>
      </w:r>
    </w:p>
    <w:p w14:paraId="6643449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2.理财产品费用按本《产品说明书》及投资管理人与费用收取方之间的协议约定从理财产品资产中支付。投资管理人或理财产品参与方以固有财产先行垫付的，有权从理财产品资产中优先受偿。</w:t>
      </w:r>
    </w:p>
    <w:p w14:paraId="5F83A68D">
      <w:pPr>
        <w:spacing w:line="360" w:lineRule="auto"/>
        <w:ind w:firstLine="420"/>
        <w:rPr>
          <w:rFonts w:hint="eastAsia" w:ascii="楷体" w:hAnsi="楷体" w:eastAsia="楷体" w:cs="楷体"/>
          <w:szCs w:val="21"/>
        </w:rPr>
      </w:pPr>
      <w:r>
        <w:rPr>
          <w:rFonts w:hint="eastAsia" w:ascii="楷体" w:hAnsi="楷体" w:eastAsia="楷体" w:cs="楷体"/>
          <w:szCs w:val="21"/>
        </w:rPr>
        <w:t>3.本理财产品销售管理费、固定投资管理费、托管费均按日根据理财产品上一自然日日终产品资产净值进行提取，均为年化费率：</w:t>
      </w:r>
    </w:p>
    <w:p w14:paraId="44EEAE63">
      <w:pPr>
        <w:spacing w:line="360" w:lineRule="auto"/>
        <w:ind w:firstLine="420"/>
        <w:rPr>
          <w:rFonts w:hint="eastAsia" w:ascii="楷体" w:hAnsi="楷体" w:eastAsia="楷体" w:cs="楷体"/>
          <w:szCs w:val="21"/>
        </w:rPr>
      </w:pPr>
      <w:r>
        <w:rPr>
          <w:rFonts w:hint="eastAsia" w:ascii="楷体" w:hAnsi="楷体" w:eastAsia="楷体" w:cs="楷体"/>
          <w:szCs w:val="21"/>
        </w:rPr>
        <w:t>（1）销售管理费：</w:t>
      </w:r>
      <w:r>
        <w:rPr>
          <w:rFonts w:hint="eastAsia" w:ascii="楷体_GB2312" w:hAnsi="宋体" w:eastAsia="楷体_GB2312"/>
          <w:b w:val="0"/>
          <w:bCs w:val="0"/>
          <w:color w:val="auto"/>
          <w:szCs w:val="21"/>
          <w:highlight w:val="none"/>
          <w:u w:val="none"/>
          <w:lang w:val="en-US" w:eastAsia="zh-CN"/>
        </w:rPr>
        <w:t>年化费率0.60%</w:t>
      </w:r>
    </w:p>
    <w:p w14:paraId="4EB26364">
      <w:pPr>
        <w:spacing w:line="360" w:lineRule="auto"/>
        <w:ind w:firstLine="420"/>
        <w:rPr>
          <w:rFonts w:hint="eastAsia" w:ascii="楷体" w:hAnsi="楷体" w:eastAsia="楷体" w:cs="楷体"/>
          <w:szCs w:val="21"/>
        </w:rPr>
      </w:pPr>
      <w:r>
        <w:rPr>
          <w:rFonts w:hint="eastAsia" w:ascii="楷体" w:hAnsi="楷体" w:eastAsia="楷体" w:cs="楷体"/>
          <w:szCs w:val="21"/>
        </w:rPr>
        <w:t>（2）固定投资管理费：</w:t>
      </w:r>
      <w:r>
        <w:rPr>
          <w:rFonts w:hint="eastAsia" w:ascii="楷体_GB2312" w:hAnsi="宋体" w:eastAsia="楷体_GB2312"/>
          <w:b w:val="0"/>
          <w:bCs w:val="0"/>
          <w:color w:val="auto"/>
          <w:szCs w:val="21"/>
          <w:highlight w:val="none"/>
          <w:u w:val="none"/>
          <w:lang w:val="en-US" w:eastAsia="zh-CN"/>
        </w:rPr>
        <w:t>年化费率0.60%</w:t>
      </w:r>
    </w:p>
    <w:p w14:paraId="28E64461">
      <w:pPr>
        <w:spacing w:line="360" w:lineRule="auto"/>
        <w:ind w:firstLine="420"/>
        <w:rPr>
          <w:rFonts w:hint="eastAsia" w:ascii="楷体" w:hAnsi="楷体" w:eastAsia="楷体" w:cs="楷体"/>
          <w:szCs w:val="21"/>
        </w:rPr>
      </w:pPr>
      <w:r>
        <w:rPr>
          <w:rFonts w:hint="eastAsia" w:ascii="楷体" w:hAnsi="楷体" w:eastAsia="楷体" w:cs="楷体"/>
          <w:szCs w:val="21"/>
        </w:rPr>
        <w:t>（3）托管费：</w:t>
      </w:r>
      <w:r>
        <w:rPr>
          <w:rFonts w:hint="eastAsia" w:ascii="楷体_GB2312" w:hAnsi="宋体" w:eastAsia="楷体_GB2312"/>
          <w:b w:val="0"/>
          <w:bCs w:val="0"/>
          <w:color w:val="auto"/>
          <w:szCs w:val="21"/>
          <w:highlight w:val="none"/>
          <w:u w:val="none"/>
          <w:lang w:val="en-US" w:eastAsia="zh-CN"/>
        </w:rPr>
        <w:t>年化费率0.02%</w:t>
      </w:r>
    </w:p>
    <w:p w14:paraId="7804B085">
      <w:pPr>
        <w:spacing w:line="360" w:lineRule="auto"/>
        <w:ind w:firstLine="420"/>
        <w:rPr>
          <w:rFonts w:hint="eastAsia" w:ascii="楷体" w:hAnsi="楷体" w:eastAsia="楷体" w:cs="楷体"/>
          <w:szCs w:val="21"/>
        </w:rPr>
      </w:pPr>
      <w:r>
        <w:rPr>
          <w:rFonts w:hint="eastAsia" w:ascii="楷体" w:hAnsi="楷体" w:eastAsia="楷体" w:cs="楷体"/>
          <w:szCs w:val="21"/>
        </w:rPr>
        <w:t>理财产品某一类份额每个自然日计提的销售管理费/固定投资管理费/托管费=上一自然日理财产品该类份额资产净值×销售管理费/固定投资管理费/托管费年化费率÷365</w:t>
      </w:r>
    </w:p>
    <w:p w14:paraId="1B3CDD84">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4.管理人有权依照理财产品销售文件约定规则收取浮动投资管理费。</w:t>
      </w:r>
    </w:p>
    <w:p w14:paraId="0837078C">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本理财产品浮动投资管理费收取比例：【80.00%】</w:t>
      </w:r>
    </w:p>
    <w:p w14:paraId="1B676589">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14:paraId="60992956">
      <w:pPr>
        <w:spacing w:line="36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14:paraId="45F96456">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14:paraId="3CC47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14:paraId="55948AE9">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14:paraId="7A77D8B9">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14:paraId="21F57B9A">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14:paraId="0C4D2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14:paraId="095E37D6">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14:paraId="70F210DE">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14:paraId="08498486">
            <w:pPr>
              <w:adjustRightInd w:val="0"/>
              <w:snapToGrid w:val="0"/>
              <w:jc w:val="center"/>
              <w:rPr>
                <w:rFonts w:hint="eastAsia" w:ascii="楷体" w:hAnsi="楷体" w:eastAsia="楷体" w:cs="楷体"/>
              </w:rPr>
            </w:pPr>
            <w:r>
              <w:rPr>
                <w:rFonts w:hint="eastAsia" w:ascii="楷体" w:hAnsi="楷体" w:eastAsia="楷体" w:cs="楷体"/>
              </w:rPr>
              <w:t>0</w:t>
            </w:r>
          </w:p>
        </w:tc>
      </w:tr>
      <w:tr w14:paraId="468E2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14:paraId="2C851D37">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14:paraId="63A49EE0">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14:paraId="5B65BF6F">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14:paraId="06BBFBE1">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浮动投资管理费=期初产品净资产×浮动投资管理费率×期限÷365。</w:t>
      </w:r>
    </w:p>
    <w:p w14:paraId="32791A9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14:paraId="787CA2C7">
      <w:pPr>
        <w:spacing w:line="360" w:lineRule="auto"/>
        <w:ind w:firstLine="420"/>
        <w:rPr>
          <w:rFonts w:hint="eastAsia" w:ascii="楷体" w:hAnsi="楷体" w:eastAsia="楷体" w:cs="楷体"/>
          <w:szCs w:val="21"/>
        </w:rPr>
      </w:pPr>
      <w:r>
        <w:rPr>
          <w:rFonts w:hint="eastAsia" w:ascii="楷体" w:hAnsi="楷体" w:eastAsia="楷体" w:cs="楷体"/>
          <w:szCs w:val="21"/>
        </w:rPr>
        <w:t>6.管理人有权根据相关法律和国家政策规定调整产品费率，调整产品费率的公告将通过《产品说明书》“信息披露”约定的方式向投资者披露。投资者若不接受，可根据实际情况按照公告约定提前赎回本理财产品。</w:t>
      </w:r>
    </w:p>
    <w:p w14:paraId="6D99B643">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管理人有权根据国家政策和适用法律的规定，对本理财产品费用名目、收费条件、收费标准和收费方式进行调整，并通过《产品说明书》“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此种情况下管理人将可能在赎回开放日外单独开放特殊赎回期间，具体以届时管理人的公告为准），逾期未赎回的视为同意接受前述调整且继续持有本理财产品。</w:t>
      </w:r>
    </w:p>
    <w:p w14:paraId="32886987">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理财产品税费</w:t>
      </w:r>
    </w:p>
    <w:p w14:paraId="0B9D1C8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1.理财产品税费在理财产品资产中列支。</w:t>
      </w:r>
    </w:p>
    <w:p w14:paraId="74E9669D">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2.除理财产品销售文件另有约定外，理财产品运作过程中涉及的各纳税主体，依照适用法律规定自行履行纳税义务。</w:t>
      </w:r>
    </w:p>
    <w:p w14:paraId="677E9CF5">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3.若适用法律要求投资管理人代扣代缴理财产品份额持有人应纳税款的，投资管理人将依法履行扣缴义务，份额持有人对此应给予配合。</w:t>
      </w:r>
    </w:p>
    <w:p w14:paraId="4B2642EF">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14:paraId="4E8DD0CF">
      <w:pPr>
        <w:pStyle w:val="2"/>
        <w:spacing w:before="120" w:after="120" w:line="240" w:lineRule="auto"/>
        <w:rPr>
          <w:rFonts w:ascii="楷体" w:hAnsi="楷体" w:eastAsia="楷体"/>
          <w:sz w:val="28"/>
          <w:szCs w:val="28"/>
        </w:rPr>
      </w:pPr>
      <w:bookmarkStart w:id="14" w:name="_Toc98680985"/>
      <w:r>
        <w:rPr>
          <w:rFonts w:hint="eastAsia" w:ascii="楷体" w:hAnsi="楷体" w:eastAsia="楷体"/>
          <w:sz w:val="28"/>
          <w:szCs w:val="28"/>
        </w:rPr>
        <w:t>九</w:t>
      </w:r>
      <w:r>
        <w:rPr>
          <w:rFonts w:ascii="楷体" w:hAnsi="楷体" w:eastAsia="楷体"/>
          <w:sz w:val="28"/>
          <w:szCs w:val="28"/>
        </w:rPr>
        <w:t>、产品的延期、提前终止与产品资产清算</w:t>
      </w:r>
      <w:bookmarkEnd w:id="14"/>
    </w:p>
    <w:p w14:paraId="3F73259E">
      <w:pPr>
        <w:pStyle w:val="3"/>
        <w:keepNext w:val="0"/>
        <w:keepLines w:val="0"/>
        <w:spacing w:before="0" w:after="0" w:line="360" w:lineRule="auto"/>
        <w:ind w:firstLine="422" w:firstLineChars="200"/>
        <w:rPr>
          <w:rFonts w:hint="eastAsia" w:ascii="楷体" w:hAnsi="楷体" w:eastAsia="楷体" w:cs="楷体"/>
        </w:rPr>
      </w:pPr>
      <w:bookmarkStart w:id="15" w:name="_Toc98680986"/>
      <w:r>
        <w:rPr>
          <w:rFonts w:hint="eastAsia" w:ascii="楷体" w:hAnsi="楷体" w:eastAsia="楷体" w:cs="楷体"/>
          <w:sz w:val="21"/>
        </w:rPr>
        <w:t>（一）理财产品延期</w:t>
      </w:r>
      <w:bookmarkEnd w:id="15"/>
    </w:p>
    <w:p w14:paraId="19B2265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如本理财产品到期日逢非【工作日】顺延至下一【工作日】。发生下列任一情形的，理财产品管理人有权以投资者利益最大化为原则，根据市场情况综合判断决定延长产品期限，推迟理财产品到期日：</w:t>
      </w:r>
    </w:p>
    <w:p w14:paraId="06BB1D0A">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1.预计在理财产品到期日，理财产品财产因理财产品所投资的资产的市场风险、信用风险等原因将无法全部变现；</w:t>
      </w:r>
    </w:p>
    <w:p w14:paraId="31724A3E">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2.预计理财产品所投资的信托计划、资管计划、私募基金的受托人或管理人将不能按期向管理人划付理财产品的本金和收益；</w:t>
      </w:r>
    </w:p>
    <w:p w14:paraId="09F65204">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3.理财产品财产涉及诉讼（或仲裁），且预计诉讼（或仲裁）及执行程序于理财产品预计到期日尚未终结；</w:t>
      </w:r>
    </w:p>
    <w:p w14:paraId="5F5035B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4.管理人与托管人、销售机构协商一致决定延期；</w:t>
      </w:r>
    </w:p>
    <w:p w14:paraId="63EDB1C5">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5.管理人认为有必要延期的其他情形；</w:t>
      </w:r>
    </w:p>
    <w:p w14:paraId="66F0F870">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6.法律规定的及本《产品说明书》约定的其他情形。</w:t>
      </w:r>
    </w:p>
    <w:p w14:paraId="002DAD4E">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如管理人决定本理财产品延期的，将于理财产品预计到期日前2个工作日通过《产品说明书》“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rPr>
        <w:t>逾期未赎回的视为同意。</w:t>
      </w:r>
    </w:p>
    <w:p w14:paraId="7E4968A0">
      <w:pPr>
        <w:pStyle w:val="3"/>
        <w:spacing w:before="0" w:after="0" w:line="360" w:lineRule="auto"/>
        <w:ind w:firstLine="422" w:firstLineChars="200"/>
        <w:rPr>
          <w:rFonts w:ascii="楷体" w:hAnsi="楷体" w:eastAsia="楷体"/>
          <w:sz w:val="21"/>
        </w:rPr>
      </w:pPr>
      <w:bookmarkStart w:id="16" w:name="_Toc98680987"/>
      <w:r>
        <w:rPr>
          <w:rFonts w:hint="eastAsia" w:ascii="楷体" w:hAnsi="楷体" w:eastAsia="楷体"/>
          <w:sz w:val="21"/>
        </w:rPr>
        <w:t>（二）理</w:t>
      </w:r>
      <w:r>
        <w:rPr>
          <w:rFonts w:ascii="楷体" w:hAnsi="楷体" w:eastAsia="楷体"/>
          <w:sz w:val="21"/>
        </w:rPr>
        <w:t>财产品终止与清算</w:t>
      </w:r>
      <w:bookmarkEnd w:id="16"/>
    </w:p>
    <w:p w14:paraId="40DBD752">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1.为避免疑义，理财产品除因本条以下所列理财产品终止事件而终止外，投资者不得提议要求提前终止理财产品。</w:t>
      </w:r>
    </w:p>
    <w:p w14:paraId="5D675298">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（1）理财产品必须终止的事件：</w:t>
      </w:r>
    </w:p>
    <w:p w14:paraId="45C7F5B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a.发生不可抗力事件导致理财产品不能存续； </w:t>
      </w:r>
    </w:p>
    <w:p w14:paraId="35AA10D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b.理财产品被法院或仲裁机构依法撤销、被认定为无效或被判决、裁定终止或被监管机构要求终止的； </w:t>
      </w:r>
    </w:p>
    <w:p w14:paraId="6609C43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c.理财产品预计到期日届至且未延期的； </w:t>
      </w:r>
    </w:p>
    <w:p w14:paraId="4E2EAB8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d.理财产品延期期限届至且未再次延期，或出现适用法律规定应当终止理财产品的情形。 </w:t>
      </w:r>
    </w:p>
    <w:p w14:paraId="25AB3152">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 xml:space="preserve">（2）理财产品管理人有权单方决定是否终止的事件： </w:t>
      </w:r>
    </w:p>
    <w:p w14:paraId="456F7777">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a.理财存续期内，理财产品连续10个工作日总份额低于1亿份； </w:t>
      </w:r>
    </w:p>
    <w:p w14:paraId="21A3D502">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b.如遇国家金融政策出现重大调整或宏观经济形势发生重大变化并影响到本理财产品的正常运作； </w:t>
      </w:r>
    </w:p>
    <w:p w14:paraId="72D601F5">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c.本理财产品投向的金融资产所涉相关主体信用恶化，市场利率大幅下滑； </w:t>
      </w:r>
    </w:p>
    <w:p w14:paraId="38DE0874">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d.为保护投资者利益，理财产品投向的信托计划、资管计划等提前终止； </w:t>
      </w:r>
    </w:p>
    <w:p w14:paraId="1A7C4494">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e.为保护投资者利益，管理人有合理理由认为将影响本理财产品正常运作的其他情形。 </w:t>
      </w:r>
    </w:p>
    <w:p w14:paraId="3A262D10">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2.理财产品不因投资者死亡、丧失民事行为能力、破产而终止；投资者的法定继承人、承继人或指定受益人以及继任管理人承担本理财产品销售文件项下的相应权利和义务。</w:t>
      </w:r>
    </w:p>
    <w:p w14:paraId="4163E761">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3.如理财产品终止，除理财产品必须终止的事件第c项及第d项之外，理财产品管理人应提前2个工作日通过《产品说明书》“信息披露”约定的方式，向投资者披露，并披露理财产品终止之日。</w:t>
      </w:r>
    </w:p>
    <w:p w14:paraId="6719F7DA">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4.</w:t>
      </w:r>
      <w:r>
        <w:rPr>
          <w:rFonts w:hint="eastAsia" w:ascii="楷体" w:hAnsi="楷体" w:eastAsia="楷体" w:cs="楷体"/>
          <w:b w:val="0"/>
          <w:bCs w:val="0"/>
          <w:szCs w:val="21"/>
          <w:highlight w:val="none"/>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szCs w:val="21"/>
        </w:rPr>
        <w:t>理财资产清算后扣除理财相关费用、缴纳所欠税款并清偿理财产品负债后，理财利益按投资者持有的理财产品份额比例进行分配。清算期原则上不得超过5个工作日，清算期超过5个工作日的，将通过《产品说明书》“信息披露”约定的方式向投资者披露。</w:t>
      </w:r>
    </w:p>
    <w:p w14:paraId="0901458B">
      <w:pPr>
        <w:pStyle w:val="2"/>
        <w:spacing w:before="120" w:after="120" w:line="240" w:lineRule="auto"/>
        <w:rPr>
          <w:rFonts w:ascii="楷体" w:hAnsi="楷体" w:eastAsia="楷体"/>
          <w:sz w:val="28"/>
          <w:szCs w:val="28"/>
        </w:rPr>
      </w:pPr>
      <w:bookmarkStart w:id="17" w:name="_Toc98680988"/>
      <w:r>
        <w:rPr>
          <w:rFonts w:hint="eastAsia" w:ascii="楷体" w:hAnsi="楷体" w:eastAsia="楷体"/>
          <w:sz w:val="28"/>
          <w:szCs w:val="28"/>
        </w:rPr>
        <w:t>十</w:t>
      </w:r>
      <w:bookmarkEnd w:id="17"/>
      <w:bookmarkStart w:id="18" w:name="_Toc98680989"/>
      <w:r>
        <w:rPr>
          <w:rFonts w:ascii="楷体" w:hAnsi="楷体" w:eastAsia="楷体"/>
          <w:sz w:val="28"/>
          <w:szCs w:val="28"/>
        </w:rPr>
        <w:t>、信息披露</w:t>
      </w:r>
      <w:bookmarkEnd w:id="18"/>
    </w:p>
    <w:p w14:paraId="43DC9657">
      <w:pPr>
        <w:pStyle w:val="3"/>
        <w:spacing w:before="0" w:after="0" w:line="360" w:lineRule="auto"/>
        <w:ind w:firstLine="422" w:firstLineChars="200"/>
        <w:rPr>
          <w:rFonts w:hint="eastAsia" w:ascii="楷体" w:hAnsi="楷体" w:eastAsia="楷体" w:cs="楷体"/>
          <w:sz w:val="21"/>
        </w:rPr>
      </w:pPr>
      <w:bookmarkStart w:id="19" w:name="_Toc98680990"/>
      <w:r>
        <w:rPr>
          <w:rFonts w:hint="eastAsia" w:ascii="楷体" w:hAnsi="楷体" w:eastAsia="楷体" w:cs="楷体"/>
          <w:sz w:val="21"/>
        </w:rPr>
        <w:t>（一）信息披露的渠道</w:t>
      </w:r>
      <w:bookmarkEnd w:id="19"/>
    </w:p>
    <w:p w14:paraId="5714EA22">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1.本理财产品认购期和存续期间，将通过产品管理人官方网站</w:t>
      </w:r>
      <w:r>
        <w:rPr>
          <w:rFonts w:hint="eastAsia" w:ascii="楷体" w:hAnsi="楷体" w:eastAsia="楷体" w:cs="楷体"/>
          <w:b/>
          <w:bCs/>
          <w:szCs w:val="21"/>
          <w:highlight w:val="none"/>
          <w:u w:val="none"/>
          <w:lang w:val="en-US" w:eastAsia="zh-CN"/>
        </w:rPr>
        <w:t>（www.boscwm.cn）</w:t>
      </w:r>
      <w:r>
        <w:rPr>
          <w:rFonts w:hint="eastAsia" w:ascii="楷体" w:hAnsi="楷体" w:eastAsia="楷体" w:cs="楷体"/>
          <w:b/>
          <w:bCs/>
          <w:szCs w:val="21"/>
        </w:rPr>
        <w:t>或销售机构的信息披露渠道（包括但不限于销售机构的营业网点、门户网站、电子销售渠道等）进行本理财产品的信息披露。</w:t>
      </w:r>
    </w:p>
    <w:p w14:paraId="04BF3C80">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2.产品管理人通过信息披露渠道发布理财产品有关信息，即视为已适当履行其信息披露义务。</w:t>
      </w:r>
      <w:r>
        <w:rPr>
          <w:rFonts w:hint="eastAsia" w:ascii="楷体" w:hAnsi="楷体" w:eastAsia="楷体" w:cs="楷体"/>
          <w:szCs w:val="21"/>
        </w:rPr>
        <w:t>如产品管理人认为需要直接联系投资者的，将依据本说明书投资者信息中投资者预留的信息进行通知。</w:t>
      </w:r>
    </w:p>
    <w:p w14:paraId="42E088F2">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szCs w:val="21"/>
        </w:rPr>
        <w:t>如投资者对本产品的运作状况有任何疑问，可向产品管理人或销售机构进行咨询。</w:t>
      </w:r>
    </w:p>
    <w:p w14:paraId="6D3A74C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4.在保障投资者知情权的前提下，产品管理人保留变更信息披露渠道的权利。</w:t>
      </w:r>
    </w:p>
    <w:p w14:paraId="648828F8">
      <w:pPr>
        <w:pStyle w:val="3"/>
        <w:spacing w:before="0" w:after="0" w:line="360" w:lineRule="auto"/>
        <w:ind w:firstLine="422" w:firstLineChars="200"/>
        <w:rPr>
          <w:rFonts w:ascii="楷体" w:hAnsi="楷体" w:eastAsia="楷体"/>
          <w:sz w:val="21"/>
        </w:rPr>
      </w:pPr>
      <w:bookmarkStart w:id="20" w:name="_Toc98680991"/>
      <w:r>
        <w:rPr>
          <w:rFonts w:hint="eastAsia" w:ascii="楷体" w:hAnsi="楷体" w:eastAsia="楷体"/>
          <w:sz w:val="21"/>
        </w:rPr>
        <w:t>（二）</w:t>
      </w:r>
      <w:r>
        <w:rPr>
          <w:rFonts w:ascii="楷体" w:hAnsi="楷体" w:eastAsia="楷体"/>
          <w:sz w:val="21"/>
        </w:rPr>
        <w:t>信息披露的内容和时间</w:t>
      </w:r>
      <w:bookmarkEnd w:id="20"/>
    </w:p>
    <w:p w14:paraId="386E8F0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1.理财产品发行公告</w:t>
      </w:r>
    </w:p>
    <w:p w14:paraId="2B03EB4F">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成立之后5个工作日内披露发行公告，包括理财产品成立日期和募集规模等信息。若募集期新出台的法律、法规导致本理财产品不适宜成立运行，或理财产品认购总金额未达到认购规模下限，或出现其他影响理财产品正常运作的情况，则理财产品管理人有权宣布本理财产品不能成立，并在理财产品不能成立的2个工作日内披露。</w:t>
      </w:r>
    </w:p>
    <w:p w14:paraId="31C5B8C7">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2.理财产品定期报告</w:t>
      </w:r>
    </w:p>
    <w:p w14:paraId="5E2FF827">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14:paraId="72E77DE1">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3.理财产品临时性信息披露</w:t>
      </w:r>
    </w:p>
    <w:p w14:paraId="069BC795">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（1）产品存续期间，对于提高收费标准、增加收费项目等事项，管理人将提前3个月以临时公告形式向投资者进行信息披露。</w:t>
      </w:r>
    </w:p>
    <w:p w14:paraId="140FC70A">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在产品存续期间，管理人可以提前2个工作日通过约定的信息披露渠道进行信息披露，根据市场情况对理财产品投资范围、投资资产种类或投资比例、募集期延长或提前结束募集、已约定的收费项目、条件、标准或计提方式、风险等级、交易结构、规模上限或下限、赎回约定、投资起点金额、追加投资金额或其他经管理人判断可能对理财产品份额持有人权益产生影响的条款进行补充、说明和修改。</w:t>
      </w:r>
    </w:p>
    <w:p w14:paraId="5D234BFB">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szCs w:val="21"/>
        </w:rPr>
        <w:t>投资者本金和收益（如有）将在赎回确认日后10个工作日内通过销售机构划转至投资者账户。</w:t>
      </w:r>
      <w:r>
        <w:rPr>
          <w:rFonts w:hint="eastAsia" w:ascii="楷体" w:hAnsi="楷体" w:eastAsia="楷体" w:cs="楷体"/>
          <w:b/>
          <w:bCs/>
          <w:szCs w:val="21"/>
        </w:rPr>
        <w:t>逾期未赎回的视为投资者书面同意相关调整并继续持有本理财产品。</w:t>
      </w:r>
    </w:p>
    <w:p w14:paraId="5E72A6C4">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14:paraId="67416078">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（4）理财产品清算期超过5个工作日的，产品管理人应当在理财产品终止前，根据与投资者的约定，在指定渠道向理财产品投资者进行披露。</w:t>
      </w:r>
    </w:p>
    <w:p w14:paraId="4DD0D5DB">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4.理财产品重大事项公告</w:t>
      </w:r>
    </w:p>
    <w:p w14:paraId="60543268">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存续期间，如果发生管理人认为可能影响产品运作的重大不利事项时，包括但不限于未按照本《产品说明书》约定分配收益；理财产品所投资资产发生重大损失；理财产品管理人、托管人等出现变更；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14:paraId="728538E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5.理财产品终止公告</w:t>
      </w:r>
    </w:p>
    <w:p w14:paraId="52C4D209">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管理人将在理财产品终止后的5个工作日内披露。终止公告的内容包括理财产品存续期限、终止日期、收费情况和收益分配情况等信息。</w:t>
      </w:r>
    </w:p>
    <w:p w14:paraId="221453FD">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6.所有产品披露以产品管理人完成信息发布时间为准，如遇渠道方系统故障等情况不影响披露时间效力。</w:t>
      </w:r>
    </w:p>
    <w:p w14:paraId="66DA04D1">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7.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14:paraId="1D9545A2">
      <w:pPr>
        <w:pStyle w:val="2"/>
        <w:spacing w:before="120" w:after="120" w:line="240" w:lineRule="auto"/>
        <w:rPr>
          <w:rFonts w:ascii="楷体" w:hAnsi="楷体" w:eastAsia="楷体"/>
          <w:sz w:val="28"/>
          <w:szCs w:val="28"/>
        </w:rPr>
      </w:pPr>
      <w:r>
        <w:rPr>
          <w:rFonts w:hint="eastAsia" w:ascii="楷体" w:hAnsi="楷体" w:eastAsia="楷体"/>
          <w:sz w:val="28"/>
          <w:szCs w:val="28"/>
        </w:rPr>
        <w:t>十一</w:t>
      </w:r>
      <w:r>
        <w:rPr>
          <w:rFonts w:ascii="楷体" w:hAnsi="楷体" w:eastAsia="楷体"/>
          <w:sz w:val="28"/>
          <w:szCs w:val="28"/>
        </w:rPr>
        <w:t>、保密</w:t>
      </w:r>
      <w:r>
        <w:rPr>
          <w:rFonts w:hint="eastAsia" w:ascii="楷体" w:hAnsi="楷体" w:eastAsia="楷体"/>
          <w:sz w:val="28"/>
          <w:szCs w:val="28"/>
        </w:rPr>
        <w:t>原则</w:t>
      </w:r>
    </w:p>
    <w:p w14:paraId="5F8BAC46">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14:paraId="02AC6A92">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2.产品管理人应保密的投资人的保密信息包括不限于投资者身份证件、联系电话、产品持有份额等个人敏感信息。</w:t>
      </w:r>
    </w:p>
    <w:p w14:paraId="348A7702">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3.投资者、理财产品管理人有义务对上述保密信息采取保密措施，未经对方同意不得向任何第三方披露保密信息，否则应承担相应违约责任，但以下情形除外：</w:t>
      </w:r>
    </w:p>
    <w:p w14:paraId="37496D27">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（1）向与本次投资有关而需要获知以上信息并受保密协议约束的律师、会计师、顾问和咨询人员披露的；</w:t>
      </w:r>
    </w:p>
    <w:p w14:paraId="3FCD457F">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（2）根据适用的法律法规和规章制度要求，向有关政府部门、监管机构或者管理机构（包括证券交易所）披露的；</w:t>
      </w:r>
    </w:p>
    <w:p w14:paraId="207725E4">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（3）本《产品说明书》另有约定的。</w:t>
      </w:r>
    </w:p>
    <w:p w14:paraId="13F7DB37">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4.前述保密义务不因本理财产品销售文件或相关协议的无效、被撤销、终止、变更、中止、解除而受影响。</w:t>
      </w:r>
    </w:p>
    <w:p w14:paraId="63103AC6">
      <w:pPr>
        <w:pStyle w:val="2"/>
        <w:spacing w:before="120" w:after="120" w:line="240" w:lineRule="auto"/>
        <w:rPr>
          <w:rFonts w:ascii="楷体" w:hAnsi="楷体" w:eastAsia="楷体"/>
          <w:sz w:val="28"/>
          <w:szCs w:val="28"/>
        </w:rPr>
      </w:pPr>
      <w:bookmarkStart w:id="21" w:name="_Toc98680992"/>
      <w:r>
        <w:rPr>
          <w:rFonts w:hint="eastAsia" w:ascii="楷体" w:hAnsi="楷体" w:eastAsia="楷体"/>
          <w:sz w:val="28"/>
          <w:szCs w:val="28"/>
        </w:rPr>
        <w:t>十二</w:t>
      </w:r>
      <w:r>
        <w:rPr>
          <w:rFonts w:ascii="楷体" w:hAnsi="楷体" w:eastAsia="楷体"/>
          <w:sz w:val="28"/>
          <w:szCs w:val="28"/>
        </w:rPr>
        <w:t>、相关事项说明</w:t>
      </w:r>
      <w:bookmarkEnd w:id="21"/>
    </w:p>
    <w:p w14:paraId="31F644E2">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1.本理财产品中示例均采用假设数据，并不代表客户实际可获得的收益。</w:t>
      </w:r>
    </w:p>
    <w:p w14:paraId="6F46AD6C">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2.业务受理、信息公布的相关时间以上银理财业务系统所记北京时间为准。</w:t>
      </w:r>
    </w:p>
    <w:p w14:paraId="5FA48222">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3.本理财产品合同适用中华人民共和国大陆地区的法律，其项下及与之有关的一切争议，投资者与产品管理人、销售机构应首先友好协商解决。协商未达成一致的，任何一方可向产品管理人所在地法院提起诉讼。</w:t>
      </w:r>
    </w:p>
    <w:p w14:paraId="6708020B">
      <w:pPr>
        <w:spacing w:line="360" w:lineRule="auto"/>
        <w:ind w:firstLine="422" w:firstLineChars="200"/>
        <w:contextualSpacing/>
        <w:rPr>
          <w:rFonts w:hint="eastAsia" w:ascii="楷体" w:hAnsi="楷体" w:eastAsia="楷体" w:cs="楷体"/>
          <w:b/>
          <w:bCs/>
        </w:rPr>
      </w:pPr>
      <w:r>
        <w:rPr>
          <w:rFonts w:hint="eastAsia" w:ascii="楷体" w:hAnsi="楷体" w:eastAsia="楷体" w:cs="楷体"/>
          <w:b/>
          <w:bCs/>
          <w:szCs w:val="21"/>
        </w:rPr>
        <w:t>4.</w:t>
      </w:r>
      <w:r>
        <w:rPr>
          <w:rFonts w:hint="eastAsia" w:ascii="楷体" w:hAnsi="楷体" w:eastAsia="楷体" w:cs="楷体"/>
          <w:b/>
          <w:bCs/>
        </w:rPr>
        <w:t>本理财产品合同在法律许可的范围内由管理人负责解释。若客户对上述内容有任何疑问，请联系销售机构咨询，也可致电销售机构全国统一客户服务热线。</w:t>
      </w:r>
    </w:p>
    <w:p w14:paraId="70216BC6">
      <w:pPr>
        <w:widowControl/>
        <w:jc w:val="left"/>
        <w:rPr>
          <w:rFonts w:ascii="楷体_GB2312" w:hAnsi="宋体" w:eastAsia="楷体_GB2312"/>
          <w:b/>
          <w:bCs/>
          <w:szCs w:val="21"/>
        </w:rPr>
      </w:pPr>
      <w:bookmarkStart w:id="22" w:name="_GoBack"/>
      <w:bookmarkEnd w:id="22"/>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683B3">
    <w:pPr>
      <w:pStyle w:val="7"/>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14:paraId="73179235">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14:paraId="67178F98"/>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14:paraId="73179235">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14:paraId="67178F98"/>
                </w:txbxContent>
              </v:textbox>
            </v:shape>
          </w:pict>
        </mc:Fallback>
      </mc:AlternateContent>
    </w:r>
  </w:p>
  <w:p w14:paraId="6EF24526">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B7737">
    <w:pPr>
      <w:pStyle w:val="8"/>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0C956">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329BA"/>
    <w:multiLevelType w:val="singleLevel"/>
    <w:tmpl w:val="045329BA"/>
    <w:lvl w:ilvl="0" w:tentative="0">
      <w:start w:val="1"/>
      <w:numFmt w:val="decimal"/>
      <w:suff w:val="nothing"/>
      <w:lvlText w:val="%1、"/>
      <w:lvlJc w:val="left"/>
    </w:lvl>
  </w:abstractNum>
  <w:abstractNum w:abstractNumId="1">
    <w:nsid w:val="23552860"/>
    <w:multiLevelType w:val="singleLevel"/>
    <w:tmpl w:val="23552860"/>
    <w:lvl w:ilvl="0" w:tentative="0">
      <w:start w:val="3"/>
      <w:numFmt w:val="chineseCounting"/>
      <w:suff w:val="nothing"/>
      <w:lvlText w:val="%1、"/>
      <w:lvlJc w:val="left"/>
      <w:rPr>
        <w:rFonts w:hint="eastAsia"/>
      </w:rPr>
    </w:lvl>
  </w:abstractNum>
  <w:abstractNum w:abstractNumId="2">
    <w:nsid w:val="2E413A41"/>
    <w:multiLevelType w:val="multilevel"/>
    <w:tmpl w:val="2E413A41"/>
    <w:lvl w:ilvl="0" w:tentative="0">
      <w:start w:val="1"/>
      <w:numFmt w:val="decimal"/>
      <w:pStyle w:val="34"/>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3">
    <w:nsid w:val="307D6941"/>
    <w:multiLevelType w:val="multilevel"/>
    <w:tmpl w:val="307D6941"/>
    <w:lvl w:ilvl="0" w:tentative="0">
      <w:start w:val="1"/>
      <w:numFmt w:val="upperLetter"/>
      <w:pStyle w:val="40"/>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5AD912BF"/>
    <w:multiLevelType w:val="multilevel"/>
    <w:tmpl w:val="5AD912BF"/>
    <w:lvl w:ilvl="0" w:tentative="0">
      <w:start w:val="1"/>
      <w:numFmt w:val="chineseCountingThousand"/>
      <w:pStyle w:val="31"/>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C6082B"/>
    <w:multiLevelType w:val="multilevel"/>
    <w:tmpl w:val="5BC6082B"/>
    <w:lvl w:ilvl="0" w:tentative="0">
      <w:start w:val="1"/>
      <w:numFmt w:val="chineseCountingThousand"/>
      <w:pStyle w:val="35"/>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6">
    <w:nsid w:val="658E8245"/>
    <w:multiLevelType w:val="singleLevel"/>
    <w:tmpl w:val="658E8245"/>
    <w:lvl w:ilvl="0" w:tentative="0">
      <w:start w:val="4"/>
      <w:numFmt w:val="chineseCounting"/>
      <w:suff w:val="nothing"/>
      <w:lvlText w:val="（%1）"/>
      <w:lvlJc w:val="left"/>
      <w:rPr>
        <w:rFonts w:hint="eastAsia"/>
      </w:rPr>
    </w:lvl>
  </w:abstractNum>
  <w:abstractNum w:abstractNumId="7">
    <w:nsid w:val="699E0D31"/>
    <w:multiLevelType w:val="multilevel"/>
    <w:tmpl w:val="699E0D31"/>
    <w:lvl w:ilvl="0" w:tentative="0">
      <w:start w:val="1"/>
      <w:numFmt w:val="chineseCountingThousand"/>
      <w:pStyle w:val="28"/>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8">
    <w:nsid w:val="6D3D1D6E"/>
    <w:multiLevelType w:val="multilevel"/>
    <w:tmpl w:val="6D3D1D6E"/>
    <w:lvl w:ilvl="0" w:tentative="0">
      <w:start w:val="1"/>
      <w:numFmt w:val="decimal"/>
      <w:pStyle w:val="33"/>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7"/>
  </w:num>
  <w:num w:numId="2">
    <w:abstractNumId w:val="4"/>
  </w:num>
  <w:num w:numId="3">
    <w:abstractNumId w:val="8"/>
  </w:num>
  <w:num w:numId="4">
    <w:abstractNumId w:val="2"/>
  </w:num>
  <w:num w:numId="5">
    <w:abstractNumId w:val="5"/>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2E1BE1"/>
    <w:rsid w:val="000024F3"/>
    <w:rsid w:val="0000487F"/>
    <w:rsid w:val="0000679D"/>
    <w:rsid w:val="00007B84"/>
    <w:rsid w:val="000111F8"/>
    <w:rsid w:val="00013470"/>
    <w:rsid w:val="00015484"/>
    <w:rsid w:val="00015C78"/>
    <w:rsid w:val="00015E2E"/>
    <w:rsid w:val="00017B04"/>
    <w:rsid w:val="00020279"/>
    <w:rsid w:val="00020476"/>
    <w:rsid w:val="00020D7B"/>
    <w:rsid w:val="00023C63"/>
    <w:rsid w:val="0002494B"/>
    <w:rsid w:val="00025F73"/>
    <w:rsid w:val="000306DB"/>
    <w:rsid w:val="000306E3"/>
    <w:rsid w:val="0003109D"/>
    <w:rsid w:val="0003268F"/>
    <w:rsid w:val="000333E3"/>
    <w:rsid w:val="00033DD8"/>
    <w:rsid w:val="00034102"/>
    <w:rsid w:val="000349BC"/>
    <w:rsid w:val="0004001F"/>
    <w:rsid w:val="00040200"/>
    <w:rsid w:val="000406B2"/>
    <w:rsid w:val="00043186"/>
    <w:rsid w:val="0004467D"/>
    <w:rsid w:val="00045247"/>
    <w:rsid w:val="00051032"/>
    <w:rsid w:val="00054122"/>
    <w:rsid w:val="00055041"/>
    <w:rsid w:val="000572AE"/>
    <w:rsid w:val="00060046"/>
    <w:rsid w:val="000602E0"/>
    <w:rsid w:val="00060BF4"/>
    <w:rsid w:val="00061929"/>
    <w:rsid w:val="00061ABD"/>
    <w:rsid w:val="00061DA0"/>
    <w:rsid w:val="00065824"/>
    <w:rsid w:val="00065CAD"/>
    <w:rsid w:val="00066C94"/>
    <w:rsid w:val="00067A45"/>
    <w:rsid w:val="00070B48"/>
    <w:rsid w:val="00072114"/>
    <w:rsid w:val="00072465"/>
    <w:rsid w:val="00072478"/>
    <w:rsid w:val="0007286E"/>
    <w:rsid w:val="0007361A"/>
    <w:rsid w:val="00074172"/>
    <w:rsid w:val="0007471D"/>
    <w:rsid w:val="00076733"/>
    <w:rsid w:val="00077BF0"/>
    <w:rsid w:val="00077C23"/>
    <w:rsid w:val="00082D46"/>
    <w:rsid w:val="00085EAC"/>
    <w:rsid w:val="0009226D"/>
    <w:rsid w:val="00093E87"/>
    <w:rsid w:val="00096E70"/>
    <w:rsid w:val="0009726D"/>
    <w:rsid w:val="00097C56"/>
    <w:rsid w:val="00097E54"/>
    <w:rsid w:val="000A2C16"/>
    <w:rsid w:val="000B2338"/>
    <w:rsid w:val="000B571C"/>
    <w:rsid w:val="000B69CC"/>
    <w:rsid w:val="000B76E5"/>
    <w:rsid w:val="000B7D40"/>
    <w:rsid w:val="000C0E79"/>
    <w:rsid w:val="000C29B3"/>
    <w:rsid w:val="000C34E8"/>
    <w:rsid w:val="000C3959"/>
    <w:rsid w:val="000C77BB"/>
    <w:rsid w:val="000C7D0A"/>
    <w:rsid w:val="000D0C02"/>
    <w:rsid w:val="000D2B04"/>
    <w:rsid w:val="000D4BAA"/>
    <w:rsid w:val="000D7072"/>
    <w:rsid w:val="000E1706"/>
    <w:rsid w:val="000E3AC0"/>
    <w:rsid w:val="000E4F72"/>
    <w:rsid w:val="000E5D05"/>
    <w:rsid w:val="000E7559"/>
    <w:rsid w:val="000F062D"/>
    <w:rsid w:val="000F42D3"/>
    <w:rsid w:val="000F4B97"/>
    <w:rsid w:val="000F5C0E"/>
    <w:rsid w:val="0010063C"/>
    <w:rsid w:val="001026E0"/>
    <w:rsid w:val="0010272F"/>
    <w:rsid w:val="001032DC"/>
    <w:rsid w:val="00103483"/>
    <w:rsid w:val="001061EE"/>
    <w:rsid w:val="00107D5B"/>
    <w:rsid w:val="001102CF"/>
    <w:rsid w:val="00111028"/>
    <w:rsid w:val="00111154"/>
    <w:rsid w:val="0011154F"/>
    <w:rsid w:val="00112603"/>
    <w:rsid w:val="00112890"/>
    <w:rsid w:val="00112C14"/>
    <w:rsid w:val="00113E6D"/>
    <w:rsid w:val="00114356"/>
    <w:rsid w:val="001164B3"/>
    <w:rsid w:val="00116968"/>
    <w:rsid w:val="00120F4F"/>
    <w:rsid w:val="001231E9"/>
    <w:rsid w:val="0012369A"/>
    <w:rsid w:val="00136A0E"/>
    <w:rsid w:val="00141776"/>
    <w:rsid w:val="001419ED"/>
    <w:rsid w:val="00143025"/>
    <w:rsid w:val="00146CFD"/>
    <w:rsid w:val="001478CF"/>
    <w:rsid w:val="0015087D"/>
    <w:rsid w:val="001515B0"/>
    <w:rsid w:val="001548F8"/>
    <w:rsid w:val="0015498D"/>
    <w:rsid w:val="00154D16"/>
    <w:rsid w:val="00156514"/>
    <w:rsid w:val="00156631"/>
    <w:rsid w:val="001600EE"/>
    <w:rsid w:val="00160646"/>
    <w:rsid w:val="0016415B"/>
    <w:rsid w:val="001669DC"/>
    <w:rsid w:val="001702F2"/>
    <w:rsid w:val="00170523"/>
    <w:rsid w:val="001722FE"/>
    <w:rsid w:val="00172B2E"/>
    <w:rsid w:val="00172B77"/>
    <w:rsid w:val="001737BE"/>
    <w:rsid w:val="00173A6B"/>
    <w:rsid w:val="00174F59"/>
    <w:rsid w:val="001752A7"/>
    <w:rsid w:val="001755B0"/>
    <w:rsid w:val="001770ED"/>
    <w:rsid w:val="00177117"/>
    <w:rsid w:val="001778B2"/>
    <w:rsid w:val="001778DE"/>
    <w:rsid w:val="00177A5F"/>
    <w:rsid w:val="0018155F"/>
    <w:rsid w:val="00181F77"/>
    <w:rsid w:val="001849BD"/>
    <w:rsid w:val="001858EA"/>
    <w:rsid w:val="0018726E"/>
    <w:rsid w:val="00193304"/>
    <w:rsid w:val="00196758"/>
    <w:rsid w:val="001970F4"/>
    <w:rsid w:val="00197539"/>
    <w:rsid w:val="001A1132"/>
    <w:rsid w:val="001A3470"/>
    <w:rsid w:val="001A406D"/>
    <w:rsid w:val="001A4590"/>
    <w:rsid w:val="001A78B9"/>
    <w:rsid w:val="001A7CF6"/>
    <w:rsid w:val="001A7ED1"/>
    <w:rsid w:val="001B0E21"/>
    <w:rsid w:val="001B0E55"/>
    <w:rsid w:val="001B4684"/>
    <w:rsid w:val="001B4FBD"/>
    <w:rsid w:val="001B7BF5"/>
    <w:rsid w:val="001C16E7"/>
    <w:rsid w:val="001C1E99"/>
    <w:rsid w:val="001C3C2B"/>
    <w:rsid w:val="001C475B"/>
    <w:rsid w:val="001C4A1E"/>
    <w:rsid w:val="001C4C0F"/>
    <w:rsid w:val="001C7C0A"/>
    <w:rsid w:val="001D0A1F"/>
    <w:rsid w:val="001D1DAF"/>
    <w:rsid w:val="001D25C9"/>
    <w:rsid w:val="001D5752"/>
    <w:rsid w:val="001D5B4B"/>
    <w:rsid w:val="001D6181"/>
    <w:rsid w:val="001D63AA"/>
    <w:rsid w:val="001D6D20"/>
    <w:rsid w:val="001D7164"/>
    <w:rsid w:val="001E045E"/>
    <w:rsid w:val="001E203B"/>
    <w:rsid w:val="001E2420"/>
    <w:rsid w:val="001E39A0"/>
    <w:rsid w:val="001E3BAC"/>
    <w:rsid w:val="001E4757"/>
    <w:rsid w:val="001E4C6D"/>
    <w:rsid w:val="001E6E50"/>
    <w:rsid w:val="001E7040"/>
    <w:rsid w:val="001E7337"/>
    <w:rsid w:val="001F0744"/>
    <w:rsid w:val="001F25E5"/>
    <w:rsid w:val="001F57B0"/>
    <w:rsid w:val="001F7E4F"/>
    <w:rsid w:val="00204ACC"/>
    <w:rsid w:val="00204CBB"/>
    <w:rsid w:val="00211CEF"/>
    <w:rsid w:val="002123DC"/>
    <w:rsid w:val="00212CF9"/>
    <w:rsid w:val="00213445"/>
    <w:rsid w:val="002136D3"/>
    <w:rsid w:val="00213DD6"/>
    <w:rsid w:val="00214112"/>
    <w:rsid w:val="00214194"/>
    <w:rsid w:val="00215333"/>
    <w:rsid w:val="002202B1"/>
    <w:rsid w:val="002206CC"/>
    <w:rsid w:val="0022084C"/>
    <w:rsid w:val="002213E7"/>
    <w:rsid w:val="00221730"/>
    <w:rsid w:val="0022441E"/>
    <w:rsid w:val="00240A70"/>
    <w:rsid w:val="00241C97"/>
    <w:rsid w:val="0024379E"/>
    <w:rsid w:val="0024460C"/>
    <w:rsid w:val="00245CE7"/>
    <w:rsid w:val="00246453"/>
    <w:rsid w:val="00246F8D"/>
    <w:rsid w:val="002472A1"/>
    <w:rsid w:val="00247E1D"/>
    <w:rsid w:val="00250711"/>
    <w:rsid w:val="002507E1"/>
    <w:rsid w:val="0025278F"/>
    <w:rsid w:val="00252B9A"/>
    <w:rsid w:val="00253F9A"/>
    <w:rsid w:val="002575EF"/>
    <w:rsid w:val="00261AC5"/>
    <w:rsid w:val="002621A2"/>
    <w:rsid w:val="00262AC6"/>
    <w:rsid w:val="00263F15"/>
    <w:rsid w:val="0026496C"/>
    <w:rsid w:val="00264C7E"/>
    <w:rsid w:val="00265261"/>
    <w:rsid w:val="00266247"/>
    <w:rsid w:val="002704A9"/>
    <w:rsid w:val="00270874"/>
    <w:rsid w:val="0027154A"/>
    <w:rsid w:val="0027272C"/>
    <w:rsid w:val="002774A4"/>
    <w:rsid w:val="00280FC3"/>
    <w:rsid w:val="0028124B"/>
    <w:rsid w:val="00283765"/>
    <w:rsid w:val="002859BD"/>
    <w:rsid w:val="0028687A"/>
    <w:rsid w:val="00286DA9"/>
    <w:rsid w:val="00287435"/>
    <w:rsid w:val="00287527"/>
    <w:rsid w:val="00290416"/>
    <w:rsid w:val="0029044D"/>
    <w:rsid w:val="002919AD"/>
    <w:rsid w:val="002927CB"/>
    <w:rsid w:val="00292CC0"/>
    <w:rsid w:val="00294361"/>
    <w:rsid w:val="002954C4"/>
    <w:rsid w:val="00296026"/>
    <w:rsid w:val="00296119"/>
    <w:rsid w:val="0029619D"/>
    <w:rsid w:val="00297E7C"/>
    <w:rsid w:val="002A3173"/>
    <w:rsid w:val="002A4E68"/>
    <w:rsid w:val="002A53B7"/>
    <w:rsid w:val="002A582C"/>
    <w:rsid w:val="002A5CB1"/>
    <w:rsid w:val="002A7BDD"/>
    <w:rsid w:val="002B100B"/>
    <w:rsid w:val="002B22AF"/>
    <w:rsid w:val="002B3923"/>
    <w:rsid w:val="002B3B49"/>
    <w:rsid w:val="002B5BA0"/>
    <w:rsid w:val="002B7FEA"/>
    <w:rsid w:val="002C012E"/>
    <w:rsid w:val="002C0BF6"/>
    <w:rsid w:val="002C63A1"/>
    <w:rsid w:val="002C6BB9"/>
    <w:rsid w:val="002C714B"/>
    <w:rsid w:val="002D034E"/>
    <w:rsid w:val="002D159A"/>
    <w:rsid w:val="002D19AC"/>
    <w:rsid w:val="002D212F"/>
    <w:rsid w:val="002D2475"/>
    <w:rsid w:val="002D396E"/>
    <w:rsid w:val="002D3A9A"/>
    <w:rsid w:val="002D5CBE"/>
    <w:rsid w:val="002D799E"/>
    <w:rsid w:val="002D7C36"/>
    <w:rsid w:val="002E1BE1"/>
    <w:rsid w:val="002E452E"/>
    <w:rsid w:val="002E4701"/>
    <w:rsid w:val="002E55EC"/>
    <w:rsid w:val="002E5804"/>
    <w:rsid w:val="002E5DA9"/>
    <w:rsid w:val="002E6754"/>
    <w:rsid w:val="002E6BC1"/>
    <w:rsid w:val="002F24F8"/>
    <w:rsid w:val="002F4421"/>
    <w:rsid w:val="002F5B6C"/>
    <w:rsid w:val="002F5E2A"/>
    <w:rsid w:val="002F66B5"/>
    <w:rsid w:val="002F6BC0"/>
    <w:rsid w:val="002F70D3"/>
    <w:rsid w:val="002F72FC"/>
    <w:rsid w:val="003009AB"/>
    <w:rsid w:val="0030237E"/>
    <w:rsid w:val="00303BDD"/>
    <w:rsid w:val="0030591B"/>
    <w:rsid w:val="00310E3A"/>
    <w:rsid w:val="0031466D"/>
    <w:rsid w:val="0031511C"/>
    <w:rsid w:val="00316CB6"/>
    <w:rsid w:val="0031714F"/>
    <w:rsid w:val="00320A29"/>
    <w:rsid w:val="00326B19"/>
    <w:rsid w:val="00327B11"/>
    <w:rsid w:val="003325D9"/>
    <w:rsid w:val="00334264"/>
    <w:rsid w:val="0033476C"/>
    <w:rsid w:val="00335139"/>
    <w:rsid w:val="00335C97"/>
    <w:rsid w:val="003369D2"/>
    <w:rsid w:val="0034271E"/>
    <w:rsid w:val="0034365C"/>
    <w:rsid w:val="003449CC"/>
    <w:rsid w:val="003472AC"/>
    <w:rsid w:val="00350B80"/>
    <w:rsid w:val="00351556"/>
    <w:rsid w:val="00352A7F"/>
    <w:rsid w:val="00354392"/>
    <w:rsid w:val="003554BF"/>
    <w:rsid w:val="00355673"/>
    <w:rsid w:val="00357DF5"/>
    <w:rsid w:val="0036193A"/>
    <w:rsid w:val="00363AE2"/>
    <w:rsid w:val="00363C5C"/>
    <w:rsid w:val="0036456D"/>
    <w:rsid w:val="00364FEF"/>
    <w:rsid w:val="00365374"/>
    <w:rsid w:val="003666D1"/>
    <w:rsid w:val="003669D0"/>
    <w:rsid w:val="00370EE3"/>
    <w:rsid w:val="00372A4E"/>
    <w:rsid w:val="00373494"/>
    <w:rsid w:val="00373951"/>
    <w:rsid w:val="003741EF"/>
    <w:rsid w:val="0038037A"/>
    <w:rsid w:val="003829DF"/>
    <w:rsid w:val="0038488D"/>
    <w:rsid w:val="00386111"/>
    <w:rsid w:val="003870A9"/>
    <w:rsid w:val="00390C56"/>
    <w:rsid w:val="003912C4"/>
    <w:rsid w:val="00397FB5"/>
    <w:rsid w:val="003A05D6"/>
    <w:rsid w:val="003A0B58"/>
    <w:rsid w:val="003A37F8"/>
    <w:rsid w:val="003A3AB8"/>
    <w:rsid w:val="003A46E0"/>
    <w:rsid w:val="003B1C25"/>
    <w:rsid w:val="003B33A0"/>
    <w:rsid w:val="003B5C07"/>
    <w:rsid w:val="003B6C25"/>
    <w:rsid w:val="003C054A"/>
    <w:rsid w:val="003C34A4"/>
    <w:rsid w:val="003C43D2"/>
    <w:rsid w:val="003C44B7"/>
    <w:rsid w:val="003C6CA7"/>
    <w:rsid w:val="003D06E8"/>
    <w:rsid w:val="003D1E0B"/>
    <w:rsid w:val="003D272D"/>
    <w:rsid w:val="003D2A5A"/>
    <w:rsid w:val="003D3A6F"/>
    <w:rsid w:val="003D572B"/>
    <w:rsid w:val="003D6FA6"/>
    <w:rsid w:val="003E0EF0"/>
    <w:rsid w:val="003E1D01"/>
    <w:rsid w:val="003E6724"/>
    <w:rsid w:val="003F073D"/>
    <w:rsid w:val="003F1328"/>
    <w:rsid w:val="003F1BB2"/>
    <w:rsid w:val="003F37C9"/>
    <w:rsid w:val="003F4375"/>
    <w:rsid w:val="003F7A40"/>
    <w:rsid w:val="003F7CD5"/>
    <w:rsid w:val="00403B33"/>
    <w:rsid w:val="00403CF8"/>
    <w:rsid w:val="004078B2"/>
    <w:rsid w:val="00410AEC"/>
    <w:rsid w:val="00410B74"/>
    <w:rsid w:val="00411ED2"/>
    <w:rsid w:val="004136C5"/>
    <w:rsid w:val="0041531B"/>
    <w:rsid w:val="00416063"/>
    <w:rsid w:val="00416A47"/>
    <w:rsid w:val="00420C46"/>
    <w:rsid w:val="00422A74"/>
    <w:rsid w:val="0042320B"/>
    <w:rsid w:val="0042363E"/>
    <w:rsid w:val="00425B80"/>
    <w:rsid w:val="00430A42"/>
    <w:rsid w:val="00430B40"/>
    <w:rsid w:val="00432E93"/>
    <w:rsid w:val="0043319C"/>
    <w:rsid w:val="00433347"/>
    <w:rsid w:val="00434687"/>
    <w:rsid w:val="004351E2"/>
    <w:rsid w:val="00436353"/>
    <w:rsid w:val="00440E66"/>
    <w:rsid w:val="0044170A"/>
    <w:rsid w:val="00441E39"/>
    <w:rsid w:val="00445D8A"/>
    <w:rsid w:val="00446633"/>
    <w:rsid w:val="00446730"/>
    <w:rsid w:val="004471E3"/>
    <w:rsid w:val="00454AAD"/>
    <w:rsid w:val="00456DB3"/>
    <w:rsid w:val="00457F82"/>
    <w:rsid w:val="0046138B"/>
    <w:rsid w:val="00461D32"/>
    <w:rsid w:val="00461E55"/>
    <w:rsid w:val="00462697"/>
    <w:rsid w:val="00463741"/>
    <w:rsid w:val="004664B4"/>
    <w:rsid w:val="0046663F"/>
    <w:rsid w:val="00472EA5"/>
    <w:rsid w:val="0047326E"/>
    <w:rsid w:val="00473A40"/>
    <w:rsid w:val="00476A76"/>
    <w:rsid w:val="00476DCC"/>
    <w:rsid w:val="00477555"/>
    <w:rsid w:val="00480198"/>
    <w:rsid w:val="00482A46"/>
    <w:rsid w:val="00483CAA"/>
    <w:rsid w:val="004857AD"/>
    <w:rsid w:val="00485C30"/>
    <w:rsid w:val="00486747"/>
    <w:rsid w:val="004908B6"/>
    <w:rsid w:val="004943C8"/>
    <w:rsid w:val="00494FA8"/>
    <w:rsid w:val="00496BDD"/>
    <w:rsid w:val="00497E68"/>
    <w:rsid w:val="00497EAE"/>
    <w:rsid w:val="004A006F"/>
    <w:rsid w:val="004A08AA"/>
    <w:rsid w:val="004A1BB1"/>
    <w:rsid w:val="004A30A6"/>
    <w:rsid w:val="004A4AD7"/>
    <w:rsid w:val="004A5A52"/>
    <w:rsid w:val="004A7DAA"/>
    <w:rsid w:val="004B0EAE"/>
    <w:rsid w:val="004B13FB"/>
    <w:rsid w:val="004B23FE"/>
    <w:rsid w:val="004B3700"/>
    <w:rsid w:val="004B5C6E"/>
    <w:rsid w:val="004B7458"/>
    <w:rsid w:val="004B758E"/>
    <w:rsid w:val="004C01A5"/>
    <w:rsid w:val="004C13A0"/>
    <w:rsid w:val="004C2760"/>
    <w:rsid w:val="004C2E96"/>
    <w:rsid w:val="004C4C67"/>
    <w:rsid w:val="004C6E87"/>
    <w:rsid w:val="004D07EC"/>
    <w:rsid w:val="004D1812"/>
    <w:rsid w:val="004D1A37"/>
    <w:rsid w:val="004D1F6C"/>
    <w:rsid w:val="004D3BDF"/>
    <w:rsid w:val="004D4095"/>
    <w:rsid w:val="004D54BC"/>
    <w:rsid w:val="004E2338"/>
    <w:rsid w:val="004E3D92"/>
    <w:rsid w:val="004E672D"/>
    <w:rsid w:val="004E7B0E"/>
    <w:rsid w:val="004F0A66"/>
    <w:rsid w:val="004F0AAB"/>
    <w:rsid w:val="004F2EBD"/>
    <w:rsid w:val="004F60A1"/>
    <w:rsid w:val="004F67DE"/>
    <w:rsid w:val="00500D00"/>
    <w:rsid w:val="00501587"/>
    <w:rsid w:val="00502030"/>
    <w:rsid w:val="005021EA"/>
    <w:rsid w:val="005024DA"/>
    <w:rsid w:val="00504CE1"/>
    <w:rsid w:val="005054E2"/>
    <w:rsid w:val="005059C8"/>
    <w:rsid w:val="00506260"/>
    <w:rsid w:val="005064A7"/>
    <w:rsid w:val="0051136C"/>
    <w:rsid w:val="00511600"/>
    <w:rsid w:val="0051296A"/>
    <w:rsid w:val="00512D8A"/>
    <w:rsid w:val="00512EEC"/>
    <w:rsid w:val="0051548D"/>
    <w:rsid w:val="00515708"/>
    <w:rsid w:val="005167E9"/>
    <w:rsid w:val="00517D1A"/>
    <w:rsid w:val="005219F3"/>
    <w:rsid w:val="00522B6B"/>
    <w:rsid w:val="005241D6"/>
    <w:rsid w:val="00524992"/>
    <w:rsid w:val="00525431"/>
    <w:rsid w:val="00526CD6"/>
    <w:rsid w:val="00532509"/>
    <w:rsid w:val="005346AD"/>
    <w:rsid w:val="0053621A"/>
    <w:rsid w:val="00536985"/>
    <w:rsid w:val="00542A7D"/>
    <w:rsid w:val="00543519"/>
    <w:rsid w:val="005477E2"/>
    <w:rsid w:val="005507C1"/>
    <w:rsid w:val="005520A8"/>
    <w:rsid w:val="00552762"/>
    <w:rsid w:val="005608CA"/>
    <w:rsid w:val="00560AA8"/>
    <w:rsid w:val="00562736"/>
    <w:rsid w:val="005639C8"/>
    <w:rsid w:val="00571E18"/>
    <w:rsid w:val="0057287D"/>
    <w:rsid w:val="0057362E"/>
    <w:rsid w:val="00573CD9"/>
    <w:rsid w:val="005742B4"/>
    <w:rsid w:val="0057442B"/>
    <w:rsid w:val="005757B4"/>
    <w:rsid w:val="005757B6"/>
    <w:rsid w:val="00575B4D"/>
    <w:rsid w:val="005765A8"/>
    <w:rsid w:val="00576BDC"/>
    <w:rsid w:val="005829E7"/>
    <w:rsid w:val="00582DDB"/>
    <w:rsid w:val="005862D5"/>
    <w:rsid w:val="0058632B"/>
    <w:rsid w:val="00586EE3"/>
    <w:rsid w:val="005877C0"/>
    <w:rsid w:val="00587D73"/>
    <w:rsid w:val="00590B65"/>
    <w:rsid w:val="0059370F"/>
    <w:rsid w:val="00593733"/>
    <w:rsid w:val="005949ED"/>
    <w:rsid w:val="00594FAB"/>
    <w:rsid w:val="00595074"/>
    <w:rsid w:val="005964EE"/>
    <w:rsid w:val="005A2C70"/>
    <w:rsid w:val="005A7152"/>
    <w:rsid w:val="005A7ABD"/>
    <w:rsid w:val="005B00CF"/>
    <w:rsid w:val="005B0BF7"/>
    <w:rsid w:val="005B1E33"/>
    <w:rsid w:val="005B3BC6"/>
    <w:rsid w:val="005B4A1A"/>
    <w:rsid w:val="005B52BD"/>
    <w:rsid w:val="005C0645"/>
    <w:rsid w:val="005C0C8C"/>
    <w:rsid w:val="005C23A1"/>
    <w:rsid w:val="005C3D39"/>
    <w:rsid w:val="005C4319"/>
    <w:rsid w:val="005C6DCD"/>
    <w:rsid w:val="005C7BFE"/>
    <w:rsid w:val="005D1402"/>
    <w:rsid w:val="005D191A"/>
    <w:rsid w:val="005D42F5"/>
    <w:rsid w:val="005D4CBC"/>
    <w:rsid w:val="005D6A05"/>
    <w:rsid w:val="005D6A81"/>
    <w:rsid w:val="005E1CD3"/>
    <w:rsid w:val="005E559B"/>
    <w:rsid w:val="005E60CF"/>
    <w:rsid w:val="005E67F4"/>
    <w:rsid w:val="005E7E7E"/>
    <w:rsid w:val="005F0D9F"/>
    <w:rsid w:val="005F159F"/>
    <w:rsid w:val="005F17A9"/>
    <w:rsid w:val="005F2711"/>
    <w:rsid w:val="005F45C4"/>
    <w:rsid w:val="005F49B5"/>
    <w:rsid w:val="005F5580"/>
    <w:rsid w:val="005F6248"/>
    <w:rsid w:val="005F68D8"/>
    <w:rsid w:val="005F7944"/>
    <w:rsid w:val="00601328"/>
    <w:rsid w:val="00602D1A"/>
    <w:rsid w:val="00604AEB"/>
    <w:rsid w:val="00606452"/>
    <w:rsid w:val="006075AB"/>
    <w:rsid w:val="0060796A"/>
    <w:rsid w:val="00607B1E"/>
    <w:rsid w:val="0061645F"/>
    <w:rsid w:val="00616765"/>
    <w:rsid w:val="00620D1C"/>
    <w:rsid w:val="00621601"/>
    <w:rsid w:val="00622370"/>
    <w:rsid w:val="006232CE"/>
    <w:rsid w:val="006242AC"/>
    <w:rsid w:val="006258DA"/>
    <w:rsid w:val="00625F38"/>
    <w:rsid w:val="00631122"/>
    <w:rsid w:val="006314EA"/>
    <w:rsid w:val="0063172F"/>
    <w:rsid w:val="0063196B"/>
    <w:rsid w:val="00631C35"/>
    <w:rsid w:val="00632928"/>
    <w:rsid w:val="00633203"/>
    <w:rsid w:val="0063379F"/>
    <w:rsid w:val="006347BB"/>
    <w:rsid w:val="006347C0"/>
    <w:rsid w:val="00634866"/>
    <w:rsid w:val="00636767"/>
    <w:rsid w:val="00636BEE"/>
    <w:rsid w:val="00636FEF"/>
    <w:rsid w:val="00637655"/>
    <w:rsid w:val="00642D07"/>
    <w:rsid w:val="006446BB"/>
    <w:rsid w:val="00644F27"/>
    <w:rsid w:val="006501FB"/>
    <w:rsid w:val="006539E5"/>
    <w:rsid w:val="00655A11"/>
    <w:rsid w:val="00663A0E"/>
    <w:rsid w:val="0066579A"/>
    <w:rsid w:val="006669D8"/>
    <w:rsid w:val="00667978"/>
    <w:rsid w:val="00671217"/>
    <w:rsid w:val="00671C7B"/>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A0188"/>
    <w:rsid w:val="006A0642"/>
    <w:rsid w:val="006A21F3"/>
    <w:rsid w:val="006A32EF"/>
    <w:rsid w:val="006A38F8"/>
    <w:rsid w:val="006A3A62"/>
    <w:rsid w:val="006A402A"/>
    <w:rsid w:val="006A5862"/>
    <w:rsid w:val="006A5F38"/>
    <w:rsid w:val="006A5FF7"/>
    <w:rsid w:val="006A6803"/>
    <w:rsid w:val="006B093A"/>
    <w:rsid w:val="006B3422"/>
    <w:rsid w:val="006B4136"/>
    <w:rsid w:val="006B5407"/>
    <w:rsid w:val="006B6FED"/>
    <w:rsid w:val="006B7D9F"/>
    <w:rsid w:val="006C1083"/>
    <w:rsid w:val="006C22DB"/>
    <w:rsid w:val="006C2C0F"/>
    <w:rsid w:val="006C3A55"/>
    <w:rsid w:val="006C3A60"/>
    <w:rsid w:val="006C4434"/>
    <w:rsid w:val="006C5CCA"/>
    <w:rsid w:val="006C6083"/>
    <w:rsid w:val="006D1779"/>
    <w:rsid w:val="006D1EDD"/>
    <w:rsid w:val="006D50F7"/>
    <w:rsid w:val="006D54DF"/>
    <w:rsid w:val="006D6C69"/>
    <w:rsid w:val="006D72A1"/>
    <w:rsid w:val="006D7F4F"/>
    <w:rsid w:val="006D7FD2"/>
    <w:rsid w:val="006E04D3"/>
    <w:rsid w:val="006E05DC"/>
    <w:rsid w:val="006E5488"/>
    <w:rsid w:val="006E5F82"/>
    <w:rsid w:val="006E7552"/>
    <w:rsid w:val="006F1676"/>
    <w:rsid w:val="006F1A1D"/>
    <w:rsid w:val="006F3F55"/>
    <w:rsid w:val="006F4EF0"/>
    <w:rsid w:val="006F6676"/>
    <w:rsid w:val="006F68C3"/>
    <w:rsid w:val="006F762D"/>
    <w:rsid w:val="006F7A5A"/>
    <w:rsid w:val="007001D7"/>
    <w:rsid w:val="00700836"/>
    <w:rsid w:val="00700A32"/>
    <w:rsid w:val="00700F14"/>
    <w:rsid w:val="00703DFE"/>
    <w:rsid w:val="007051DC"/>
    <w:rsid w:val="00705385"/>
    <w:rsid w:val="00711102"/>
    <w:rsid w:val="00713558"/>
    <w:rsid w:val="00713B49"/>
    <w:rsid w:val="00714A6E"/>
    <w:rsid w:val="00722172"/>
    <w:rsid w:val="00723C2F"/>
    <w:rsid w:val="00724668"/>
    <w:rsid w:val="00724E8B"/>
    <w:rsid w:val="00726D69"/>
    <w:rsid w:val="00730FDB"/>
    <w:rsid w:val="00731689"/>
    <w:rsid w:val="00732B96"/>
    <w:rsid w:val="0073394D"/>
    <w:rsid w:val="00736537"/>
    <w:rsid w:val="007448F6"/>
    <w:rsid w:val="00745A7C"/>
    <w:rsid w:val="007470AF"/>
    <w:rsid w:val="00747A4A"/>
    <w:rsid w:val="00747FC9"/>
    <w:rsid w:val="007529F8"/>
    <w:rsid w:val="00752B4C"/>
    <w:rsid w:val="007548EB"/>
    <w:rsid w:val="00754A4F"/>
    <w:rsid w:val="007552B6"/>
    <w:rsid w:val="007566D1"/>
    <w:rsid w:val="0076208E"/>
    <w:rsid w:val="007624B7"/>
    <w:rsid w:val="007629C5"/>
    <w:rsid w:val="00763470"/>
    <w:rsid w:val="007663AE"/>
    <w:rsid w:val="00766956"/>
    <w:rsid w:val="00767577"/>
    <w:rsid w:val="007705F9"/>
    <w:rsid w:val="00771A7F"/>
    <w:rsid w:val="007729BF"/>
    <w:rsid w:val="00772AC7"/>
    <w:rsid w:val="00772E6D"/>
    <w:rsid w:val="007756B9"/>
    <w:rsid w:val="0077579F"/>
    <w:rsid w:val="007769E5"/>
    <w:rsid w:val="007830F4"/>
    <w:rsid w:val="00783A3C"/>
    <w:rsid w:val="007840F6"/>
    <w:rsid w:val="00785A2F"/>
    <w:rsid w:val="00790047"/>
    <w:rsid w:val="0079139F"/>
    <w:rsid w:val="0079626D"/>
    <w:rsid w:val="007975F5"/>
    <w:rsid w:val="007A3A6C"/>
    <w:rsid w:val="007A422B"/>
    <w:rsid w:val="007B19AC"/>
    <w:rsid w:val="007B2FF8"/>
    <w:rsid w:val="007B4A7C"/>
    <w:rsid w:val="007B54E6"/>
    <w:rsid w:val="007B6F85"/>
    <w:rsid w:val="007B7209"/>
    <w:rsid w:val="007B72F4"/>
    <w:rsid w:val="007C0565"/>
    <w:rsid w:val="007C4BD3"/>
    <w:rsid w:val="007C4D5B"/>
    <w:rsid w:val="007C7E0E"/>
    <w:rsid w:val="007D06DE"/>
    <w:rsid w:val="007D0A9B"/>
    <w:rsid w:val="007D1B50"/>
    <w:rsid w:val="007D1F64"/>
    <w:rsid w:val="007D2798"/>
    <w:rsid w:val="007D2C63"/>
    <w:rsid w:val="007D5687"/>
    <w:rsid w:val="007D7CE3"/>
    <w:rsid w:val="007D7D4C"/>
    <w:rsid w:val="007E3BA0"/>
    <w:rsid w:val="007E3DC2"/>
    <w:rsid w:val="007E4D93"/>
    <w:rsid w:val="007E5B2D"/>
    <w:rsid w:val="007E7200"/>
    <w:rsid w:val="007F24AE"/>
    <w:rsid w:val="007F622A"/>
    <w:rsid w:val="008049C4"/>
    <w:rsid w:val="00814418"/>
    <w:rsid w:val="00816519"/>
    <w:rsid w:val="00816DD3"/>
    <w:rsid w:val="0081743C"/>
    <w:rsid w:val="00820599"/>
    <w:rsid w:val="00821666"/>
    <w:rsid w:val="00822D45"/>
    <w:rsid w:val="00823B7E"/>
    <w:rsid w:val="00826D1A"/>
    <w:rsid w:val="0083102C"/>
    <w:rsid w:val="00831AD1"/>
    <w:rsid w:val="00832A74"/>
    <w:rsid w:val="00835157"/>
    <w:rsid w:val="00837D94"/>
    <w:rsid w:val="008409DF"/>
    <w:rsid w:val="00841405"/>
    <w:rsid w:val="00841D7B"/>
    <w:rsid w:val="008421BF"/>
    <w:rsid w:val="00845541"/>
    <w:rsid w:val="008463AF"/>
    <w:rsid w:val="008471F0"/>
    <w:rsid w:val="00847DAB"/>
    <w:rsid w:val="0085093A"/>
    <w:rsid w:val="00850AB0"/>
    <w:rsid w:val="008516DF"/>
    <w:rsid w:val="00851C98"/>
    <w:rsid w:val="00853E53"/>
    <w:rsid w:val="00855AB5"/>
    <w:rsid w:val="008564B4"/>
    <w:rsid w:val="00857C1E"/>
    <w:rsid w:val="00861F04"/>
    <w:rsid w:val="00863DDE"/>
    <w:rsid w:val="00865426"/>
    <w:rsid w:val="00866B64"/>
    <w:rsid w:val="0087005B"/>
    <w:rsid w:val="00870CFA"/>
    <w:rsid w:val="00872833"/>
    <w:rsid w:val="00881320"/>
    <w:rsid w:val="00883520"/>
    <w:rsid w:val="0088369C"/>
    <w:rsid w:val="00883852"/>
    <w:rsid w:val="00883DEB"/>
    <w:rsid w:val="00891EB9"/>
    <w:rsid w:val="00894B07"/>
    <w:rsid w:val="00895CBC"/>
    <w:rsid w:val="00895EBE"/>
    <w:rsid w:val="00897B19"/>
    <w:rsid w:val="008A0F56"/>
    <w:rsid w:val="008A1F04"/>
    <w:rsid w:val="008A3BFD"/>
    <w:rsid w:val="008A5059"/>
    <w:rsid w:val="008A692B"/>
    <w:rsid w:val="008B0F08"/>
    <w:rsid w:val="008B2E82"/>
    <w:rsid w:val="008B366C"/>
    <w:rsid w:val="008B7ED5"/>
    <w:rsid w:val="008C0985"/>
    <w:rsid w:val="008C43B2"/>
    <w:rsid w:val="008C45D8"/>
    <w:rsid w:val="008C584F"/>
    <w:rsid w:val="008C610E"/>
    <w:rsid w:val="008C6A4C"/>
    <w:rsid w:val="008C73E1"/>
    <w:rsid w:val="008D08A9"/>
    <w:rsid w:val="008D1E0B"/>
    <w:rsid w:val="008D474B"/>
    <w:rsid w:val="008D6195"/>
    <w:rsid w:val="008D62FA"/>
    <w:rsid w:val="008D6A0A"/>
    <w:rsid w:val="008D7D40"/>
    <w:rsid w:val="008E0687"/>
    <w:rsid w:val="008E11F4"/>
    <w:rsid w:val="008E2602"/>
    <w:rsid w:val="008E277D"/>
    <w:rsid w:val="008F1FEF"/>
    <w:rsid w:val="008F2D9E"/>
    <w:rsid w:val="008F7804"/>
    <w:rsid w:val="008F7934"/>
    <w:rsid w:val="00900C2A"/>
    <w:rsid w:val="00903861"/>
    <w:rsid w:val="00903CFF"/>
    <w:rsid w:val="00905688"/>
    <w:rsid w:val="0091098F"/>
    <w:rsid w:val="0091272F"/>
    <w:rsid w:val="00912B70"/>
    <w:rsid w:val="00912E78"/>
    <w:rsid w:val="00913DD8"/>
    <w:rsid w:val="00915284"/>
    <w:rsid w:val="00916E18"/>
    <w:rsid w:val="009200E7"/>
    <w:rsid w:val="009206D1"/>
    <w:rsid w:val="00921C14"/>
    <w:rsid w:val="00922B5A"/>
    <w:rsid w:val="0092601F"/>
    <w:rsid w:val="009279E6"/>
    <w:rsid w:val="00930BBB"/>
    <w:rsid w:val="0093256A"/>
    <w:rsid w:val="00937F43"/>
    <w:rsid w:val="00940B27"/>
    <w:rsid w:val="00942EEB"/>
    <w:rsid w:val="00943D6F"/>
    <w:rsid w:val="00944569"/>
    <w:rsid w:val="00944C7D"/>
    <w:rsid w:val="009465DA"/>
    <w:rsid w:val="009472D4"/>
    <w:rsid w:val="00954469"/>
    <w:rsid w:val="00955399"/>
    <w:rsid w:val="009557FD"/>
    <w:rsid w:val="00955DB2"/>
    <w:rsid w:val="00956664"/>
    <w:rsid w:val="00956D5F"/>
    <w:rsid w:val="00957AAF"/>
    <w:rsid w:val="00963BD9"/>
    <w:rsid w:val="00964633"/>
    <w:rsid w:val="00965460"/>
    <w:rsid w:val="009670F0"/>
    <w:rsid w:val="0097153D"/>
    <w:rsid w:val="00971762"/>
    <w:rsid w:val="00972A30"/>
    <w:rsid w:val="00974794"/>
    <w:rsid w:val="0097734C"/>
    <w:rsid w:val="00977567"/>
    <w:rsid w:val="00977B99"/>
    <w:rsid w:val="00983753"/>
    <w:rsid w:val="00991ADC"/>
    <w:rsid w:val="00994CE2"/>
    <w:rsid w:val="00995952"/>
    <w:rsid w:val="009A0579"/>
    <w:rsid w:val="009A179B"/>
    <w:rsid w:val="009A187A"/>
    <w:rsid w:val="009A1AEB"/>
    <w:rsid w:val="009A1D0D"/>
    <w:rsid w:val="009A2765"/>
    <w:rsid w:val="009A5B52"/>
    <w:rsid w:val="009A6EF3"/>
    <w:rsid w:val="009B13B7"/>
    <w:rsid w:val="009B15BA"/>
    <w:rsid w:val="009B1B11"/>
    <w:rsid w:val="009B464E"/>
    <w:rsid w:val="009B676F"/>
    <w:rsid w:val="009C0827"/>
    <w:rsid w:val="009C2484"/>
    <w:rsid w:val="009C547B"/>
    <w:rsid w:val="009C60C8"/>
    <w:rsid w:val="009C79E3"/>
    <w:rsid w:val="009D0381"/>
    <w:rsid w:val="009D1280"/>
    <w:rsid w:val="009D23C7"/>
    <w:rsid w:val="009D2624"/>
    <w:rsid w:val="009D2FB1"/>
    <w:rsid w:val="009D3D1F"/>
    <w:rsid w:val="009D5279"/>
    <w:rsid w:val="009D58F2"/>
    <w:rsid w:val="009D7838"/>
    <w:rsid w:val="009E2115"/>
    <w:rsid w:val="009E25E6"/>
    <w:rsid w:val="009E295E"/>
    <w:rsid w:val="009E455C"/>
    <w:rsid w:val="009E5424"/>
    <w:rsid w:val="009E7110"/>
    <w:rsid w:val="009E7361"/>
    <w:rsid w:val="009F1CAB"/>
    <w:rsid w:val="009F4C93"/>
    <w:rsid w:val="009F5998"/>
    <w:rsid w:val="009F66B4"/>
    <w:rsid w:val="00A0270D"/>
    <w:rsid w:val="00A036CF"/>
    <w:rsid w:val="00A05182"/>
    <w:rsid w:val="00A07BDF"/>
    <w:rsid w:val="00A11BA2"/>
    <w:rsid w:val="00A12062"/>
    <w:rsid w:val="00A1241D"/>
    <w:rsid w:val="00A12DFC"/>
    <w:rsid w:val="00A1424D"/>
    <w:rsid w:val="00A15EEE"/>
    <w:rsid w:val="00A20368"/>
    <w:rsid w:val="00A2038C"/>
    <w:rsid w:val="00A22033"/>
    <w:rsid w:val="00A22234"/>
    <w:rsid w:val="00A233A0"/>
    <w:rsid w:val="00A24354"/>
    <w:rsid w:val="00A27452"/>
    <w:rsid w:val="00A30785"/>
    <w:rsid w:val="00A36BE5"/>
    <w:rsid w:val="00A3784C"/>
    <w:rsid w:val="00A41B06"/>
    <w:rsid w:val="00A44ACC"/>
    <w:rsid w:val="00A4515A"/>
    <w:rsid w:val="00A50B27"/>
    <w:rsid w:val="00A52096"/>
    <w:rsid w:val="00A5345E"/>
    <w:rsid w:val="00A53F8D"/>
    <w:rsid w:val="00A54099"/>
    <w:rsid w:val="00A55E4D"/>
    <w:rsid w:val="00A570B6"/>
    <w:rsid w:val="00A6166A"/>
    <w:rsid w:val="00A65DB3"/>
    <w:rsid w:val="00A66740"/>
    <w:rsid w:val="00A7133C"/>
    <w:rsid w:val="00A72EFB"/>
    <w:rsid w:val="00A74B61"/>
    <w:rsid w:val="00A75AB3"/>
    <w:rsid w:val="00A8006A"/>
    <w:rsid w:val="00A80BDC"/>
    <w:rsid w:val="00A816D8"/>
    <w:rsid w:val="00A83033"/>
    <w:rsid w:val="00A85CDE"/>
    <w:rsid w:val="00A86217"/>
    <w:rsid w:val="00A866CB"/>
    <w:rsid w:val="00A90951"/>
    <w:rsid w:val="00A928AD"/>
    <w:rsid w:val="00A929D0"/>
    <w:rsid w:val="00A92C67"/>
    <w:rsid w:val="00A941EB"/>
    <w:rsid w:val="00A9474D"/>
    <w:rsid w:val="00A956EF"/>
    <w:rsid w:val="00A964D8"/>
    <w:rsid w:val="00A9734E"/>
    <w:rsid w:val="00A97FD7"/>
    <w:rsid w:val="00AA23AA"/>
    <w:rsid w:val="00AA59AC"/>
    <w:rsid w:val="00AA7ACF"/>
    <w:rsid w:val="00AB0178"/>
    <w:rsid w:val="00AB284E"/>
    <w:rsid w:val="00AB397A"/>
    <w:rsid w:val="00AB4699"/>
    <w:rsid w:val="00AB6108"/>
    <w:rsid w:val="00AC01C7"/>
    <w:rsid w:val="00AC2105"/>
    <w:rsid w:val="00AC2718"/>
    <w:rsid w:val="00AC30DE"/>
    <w:rsid w:val="00AC336D"/>
    <w:rsid w:val="00AC7C12"/>
    <w:rsid w:val="00AD7A8B"/>
    <w:rsid w:val="00AE1183"/>
    <w:rsid w:val="00AE1C61"/>
    <w:rsid w:val="00AE50E3"/>
    <w:rsid w:val="00AE639D"/>
    <w:rsid w:val="00AE73C0"/>
    <w:rsid w:val="00AF183B"/>
    <w:rsid w:val="00AF37EF"/>
    <w:rsid w:val="00AF3BFF"/>
    <w:rsid w:val="00AF5ADA"/>
    <w:rsid w:val="00AF6625"/>
    <w:rsid w:val="00AF7DBF"/>
    <w:rsid w:val="00B0220F"/>
    <w:rsid w:val="00B02728"/>
    <w:rsid w:val="00B03D6A"/>
    <w:rsid w:val="00B040FC"/>
    <w:rsid w:val="00B04142"/>
    <w:rsid w:val="00B044DE"/>
    <w:rsid w:val="00B064DF"/>
    <w:rsid w:val="00B10F6C"/>
    <w:rsid w:val="00B12978"/>
    <w:rsid w:val="00B202A4"/>
    <w:rsid w:val="00B21233"/>
    <w:rsid w:val="00B22A11"/>
    <w:rsid w:val="00B23A55"/>
    <w:rsid w:val="00B25461"/>
    <w:rsid w:val="00B26227"/>
    <w:rsid w:val="00B276F6"/>
    <w:rsid w:val="00B279B4"/>
    <w:rsid w:val="00B30CB1"/>
    <w:rsid w:val="00B31EEF"/>
    <w:rsid w:val="00B3469F"/>
    <w:rsid w:val="00B373DE"/>
    <w:rsid w:val="00B4004D"/>
    <w:rsid w:val="00B4246A"/>
    <w:rsid w:val="00B427B3"/>
    <w:rsid w:val="00B43317"/>
    <w:rsid w:val="00B45737"/>
    <w:rsid w:val="00B45E21"/>
    <w:rsid w:val="00B47467"/>
    <w:rsid w:val="00B479C8"/>
    <w:rsid w:val="00B47FEF"/>
    <w:rsid w:val="00B504D7"/>
    <w:rsid w:val="00B5399B"/>
    <w:rsid w:val="00B5416D"/>
    <w:rsid w:val="00B564A9"/>
    <w:rsid w:val="00B57A6F"/>
    <w:rsid w:val="00B60FCF"/>
    <w:rsid w:val="00B62232"/>
    <w:rsid w:val="00B626F2"/>
    <w:rsid w:val="00B6331F"/>
    <w:rsid w:val="00B63A72"/>
    <w:rsid w:val="00B63D4A"/>
    <w:rsid w:val="00B645D8"/>
    <w:rsid w:val="00B65392"/>
    <w:rsid w:val="00B655BF"/>
    <w:rsid w:val="00B65C17"/>
    <w:rsid w:val="00B660C9"/>
    <w:rsid w:val="00B71C22"/>
    <w:rsid w:val="00B72AA3"/>
    <w:rsid w:val="00B72B56"/>
    <w:rsid w:val="00B74451"/>
    <w:rsid w:val="00B74F36"/>
    <w:rsid w:val="00B75D3F"/>
    <w:rsid w:val="00B803D7"/>
    <w:rsid w:val="00B811ED"/>
    <w:rsid w:val="00B812AD"/>
    <w:rsid w:val="00B8248E"/>
    <w:rsid w:val="00B8295F"/>
    <w:rsid w:val="00B82E68"/>
    <w:rsid w:val="00B8435A"/>
    <w:rsid w:val="00B8447A"/>
    <w:rsid w:val="00B8457D"/>
    <w:rsid w:val="00B86E13"/>
    <w:rsid w:val="00B86EA8"/>
    <w:rsid w:val="00B8722F"/>
    <w:rsid w:val="00B91E56"/>
    <w:rsid w:val="00B92520"/>
    <w:rsid w:val="00B92DCC"/>
    <w:rsid w:val="00B93063"/>
    <w:rsid w:val="00B958E1"/>
    <w:rsid w:val="00B961BE"/>
    <w:rsid w:val="00B97AFD"/>
    <w:rsid w:val="00BA125B"/>
    <w:rsid w:val="00BA163D"/>
    <w:rsid w:val="00BA1DD9"/>
    <w:rsid w:val="00BA2270"/>
    <w:rsid w:val="00BA2BDA"/>
    <w:rsid w:val="00BA584F"/>
    <w:rsid w:val="00BA58A9"/>
    <w:rsid w:val="00BA6081"/>
    <w:rsid w:val="00BA7E46"/>
    <w:rsid w:val="00BB0482"/>
    <w:rsid w:val="00BB0CF8"/>
    <w:rsid w:val="00BB26B2"/>
    <w:rsid w:val="00BB313C"/>
    <w:rsid w:val="00BB4906"/>
    <w:rsid w:val="00BB507B"/>
    <w:rsid w:val="00BC159F"/>
    <w:rsid w:val="00BC1EDF"/>
    <w:rsid w:val="00BC3141"/>
    <w:rsid w:val="00BC3EE7"/>
    <w:rsid w:val="00BC5267"/>
    <w:rsid w:val="00BC5A77"/>
    <w:rsid w:val="00BC6F15"/>
    <w:rsid w:val="00BC70A1"/>
    <w:rsid w:val="00BD0A0E"/>
    <w:rsid w:val="00BD1372"/>
    <w:rsid w:val="00BD3DE5"/>
    <w:rsid w:val="00BD4834"/>
    <w:rsid w:val="00BD4C9F"/>
    <w:rsid w:val="00BD5254"/>
    <w:rsid w:val="00BD533D"/>
    <w:rsid w:val="00BD6334"/>
    <w:rsid w:val="00BD7E0A"/>
    <w:rsid w:val="00BE3177"/>
    <w:rsid w:val="00BE4B84"/>
    <w:rsid w:val="00BE4E1D"/>
    <w:rsid w:val="00BE5D6E"/>
    <w:rsid w:val="00BE7DAC"/>
    <w:rsid w:val="00BF0244"/>
    <w:rsid w:val="00BF133F"/>
    <w:rsid w:val="00BF1AA0"/>
    <w:rsid w:val="00BF1FB4"/>
    <w:rsid w:val="00BF2C57"/>
    <w:rsid w:val="00BF6F19"/>
    <w:rsid w:val="00BF7D1B"/>
    <w:rsid w:val="00BF7E32"/>
    <w:rsid w:val="00C004CC"/>
    <w:rsid w:val="00C01F1D"/>
    <w:rsid w:val="00C02398"/>
    <w:rsid w:val="00C054A4"/>
    <w:rsid w:val="00C05E9C"/>
    <w:rsid w:val="00C10236"/>
    <w:rsid w:val="00C1345F"/>
    <w:rsid w:val="00C13E12"/>
    <w:rsid w:val="00C14593"/>
    <w:rsid w:val="00C1630F"/>
    <w:rsid w:val="00C1711B"/>
    <w:rsid w:val="00C20A09"/>
    <w:rsid w:val="00C21275"/>
    <w:rsid w:val="00C21FBE"/>
    <w:rsid w:val="00C2202A"/>
    <w:rsid w:val="00C2284B"/>
    <w:rsid w:val="00C23E7B"/>
    <w:rsid w:val="00C3023B"/>
    <w:rsid w:val="00C31B5E"/>
    <w:rsid w:val="00C31C7D"/>
    <w:rsid w:val="00C322A7"/>
    <w:rsid w:val="00C33544"/>
    <w:rsid w:val="00C43C66"/>
    <w:rsid w:val="00C43DDE"/>
    <w:rsid w:val="00C4441A"/>
    <w:rsid w:val="00C51ADC"/>
    <w:rsid w:val="00C55BEC"/>
    <w:rsid w:val="00C56541"/>
    <w:rsid w:val="00C57FA0"/>
    <w:rsid w:val="00C60049"/>
    <w:rsid w:val="00C608CC"/>
    <w:rsid w:val="00C61A23"/>
    <w:rsid w:val="00C628E6"/>
    <w:rsid w:val="00C70141"/>
    <w:rsid w:val="00C73B19"/>
    <w:rsid w:val="00C76BC1"/>
    <w:rsid w:val="00C76F70"/>
    <w:rsid w:val="00C80528"/>
    <w:rsid w:val="00C8141D"/>
    <w:rsid w:val="00C82AF0"/>
    <w:rsid w:val="00C844C9"/>
    <w:rsid w:val="00C85C33"/>
    <w:rsid w:val="00C86278"/>
    <w:rsid w:val="00C87FE2"/>
    <w:rsid w:val="00C92131"/>
    <w:rsid w:val="00C94C1D"/>
    <w:rsid w:val="00C95B9D"/>
    <w:rsid w:val="00C96400"/>
    <w:rsid w:val="00CA495B"/>
    <w:rsid w:val="00CA4B94"/>
    <w:rsid w:val="00CA4E03"/>
    <w:rsid w:val="00CA5E14"/>
    <w:rsid w:val="00CA7384"/>
    <w:rsid w:val="00CB13AC"/>
    <w:rsid w:val="00CB4412"/>
    <w:rsid w:val="00CB500F"/>
    <w:rsid w:val="00CB5EBC"/>
    <w:rsid w:val="00CB6870"/>
    <w:rsid w:val="00CC0D20"/>
    <w:rsid w:val="00CC3291"/>
    <w:rsid w:val="00CC3B2A"/>
    <w:rsid w:val="00CC4A00"/>
    <w:rsid w:val="00CC6CA0"/>
    <w:rsid w:val="00CD2034"/>
    <w:rsid w:val="00CD45B8"/>
    <w:rsid w:val="00CD58E1"/>
    <w:rsid w:val="00CD7600"/>
    <w:rsid w:val="00CE5286"/>
    <w:rsid w:val="00CE69E5"/>
    <w:rsid w:val="00CE6F55"/>
    <w:rsid w:val="00CE6FC9"/>
    <w:rsid w:val="00CF1249"/>
    <w:rsid w:val="00CF3106"/>
    <w:rsid w:val="00CF5BF7"/>
    <w:rsid w:val="00CF7CE2"/>
    <w:rsid w:val="00D00419"/>
    <w:rsid w:val="00D01706"/>
    <w:rsid w:val="00D01CEA"/>
    <w:rsid w:val="00D04043"/>
    <w:rsid w:val="00D077E9"/>
    <w:rsid w:val="00D07B80"/>
    <w:rsid w:val="00D100EA"/>
    <w:rsid w:val="00D118CA"/>
    <w:rsid w:val="00D16CED"/>
    <w:rsid w:val="00D1768D"/>
    <w:rsid w:val="00D17C08"/>
    <w:rsid w:val="00D2103D"/>
    <w:rsid w:val="00D21FF2"/>
    <w:rsid w:val="00D25DAC"/>
    <w:rsid w:val="00D27F6F"/>
    <w:rsid w:val="00D32F74"/>
    <w:rsid w:val="00D33093"/>
    <w:rsid w:val="00D34776"/>
    <w:rsid w:val="00D34BF1"/>
    <w:rsid w:val="00D35D56"/>
    <w:rsid w:val="00D37153"/>
    <w:rsid w:val="00D37432"/>
    <w:rsid w:val="00D42F1F"/>
    <w:rsid w:val="00D433EA"/>
    <w:rsid w:val="00D45393"/>
    <w:rsid w:val="00D46533"/>
    <w:rsid w:val="00D50253"/>
    <w:rsid w:val="00D50599"/>
    <w:rsid w:val="00D52357"/>
    <w:rsid w:val="00D548F2"/>
    <w:rsid w:val="00D55BB0"/>
    <w:rsid w:val="00D57033"/>
    <w:rsid w:val="00D57B37"/>
    <w:rsid w:val="00D61A0C"/>
    <w:rsid w:val="00D61FE4"/>
    <w:rsid w:val="00D63E15"/>
    <w:rsid w:val="00D65969"/>
    <w:rsid w:val="00D661E1"/>
    <w:rsid w:val="00D6696C"/>
    <w:rsid w:val="00D67284"/>
    <w:rsid w:val="00D71D73"/>
    <w:rsid w:val="00D73928"/>
    <w:rsid w:val="00D73A04"/>
    <w:rsid w:val="00D73C27"/>
    <w:rsid w:val="00D741C4"/>
    <w:rsid w:val="00D7522D"/>
    <w:rsid w:val="00D768D5"/>
    <w:rsid w:val="00D81224"/>
    <w:rsid w:val="00D813B6"/>
    <w:rsid w:val="00D81DD9"/>
    <w:rsid w:val="00D8218D"/>
    <w:rsid w:val="00D831E7"/>
    <w:rsid w:val="00D8435D"/>
    <w:rsid w:val="00D87387"/>
    <w:rsid w:val="00D91676"/>
    <w:rsid w:val="00D925B4"/>
    <w:rsid w:val="00D92B8E"/>
    <w:rsid w:val="00D930A5"/>
    <w:rsid w:val="00D93913"/>
    <w:rsid w:val="00D944E0"/>
    <w:rsid w:val="00D979D2"/>
    <w:rsid w:val="00DA216F"/>
    <w:rsid w:val="00DA2875"/>
    <w:rsid w:val="00DA2FF3"/>
    <w:rsid w:val="00DA4295"/>
    <w:rsid w:val="00DA51F6"/>
    <w:rsid w:val="00DA78AB"/>
    <w:rsid w:val="00DB05CD"/>
    <w:rsid w:val="00DB0E0E"/>
    <w:rsid w:val="00DB1A8C"/>
    <w:rsid w:val="00DB2668"/>
    <w:rsid w:val="00DB428C"/>
    <w:rsid w:val="00DB6858"/>
    <w:rsid w:val="00DB6AE4"/>
    <w:rsid w:val="00DB70D0"/>
    <w:rsid w:val="00DC0849"/>
    <w:rsid w:val="00DC76CE"/>
    <w:rsid w:val="00DD0CB7"/>
    <w:rsid w:val="00DD12ED"/>
    <w:rsid w:val="00DD219C"/>
    <w:rsid w:val="00DD271B"/>
    <w:rsid w:val="00DD40B0"/>
    <w:rsid w:val="00DD5416"/>
    <w:rsid w:val="00DE11FB"/>
    <w:rsid w:val="00DE1B7B"/>
    <w:rsid w:val="00DE20AB"/>
    <w:rsid w:val="00DE4477"/>
    <w:rsid w:val="00DE4E4B"/>
    <w:rsid w:val="00DE7E34"/>
    <w:rsid w:val="00DF0D37"/>
    <w:rsid w:val="00DF128A"/>
    <w:rsid w:val="00DF1607"/>
    <w:rsid w:val="00DF28AB"/>
    <w:rsid w:val="00DF306A"/>
    <w:rsid w:val="00DF6575"/>
    <w:rsid w:val="00DF66D8"/>
    <w:rsid w:val="00E002EE"/>
    <w:rsid w:val="00E01056"/>
    <w:rsid w:val="00E02500"/>
    <w:rsid w:val="00E03B01"/>
    <w:rsid w:val="00E03E76"/>
    <w:rsid w:val="00E04C77"/>
    <w:rsid w:val="00E05510"/>
    <w:rsid w:val="00E056C8"/>
    <w:rsid w:val="00E06500"/>
    <w:rsid w:val="00E068FB"/>
    <w:rsid w:val="00E10F79"/>
    <w:rsid w:val="00E11587"/>
    <w:rsid w:val="00E11F4D"/>
    <w:rsid w:val="00E121E7"/>
    <w:rsid w:val="00E12B3F"/>
    <w:rsid w:val="00E1351A"/>
    <w:rsid w:val="00E1355F"/>
    <w:rsid w:val="00E16A5F"/>
    <w:rsid w:val="00E16B35"/>
    <w:rsid w:val="00E20671"/>
    <w:rsid w:val="00E20B73"/>
    <w:rsid w:val="00E2314A"/>
    <w:rsid w:val="00E23D34"/>
    <w:rsid w:val="00E2689C"/>
    <w:rsid w:val="00E27AB7"/>
    <w:rsid w:val="00E27E63"/>
    <w:rsid w:val="00E30BAE"/>
    <w:rsid w:val="00E32AD6"/>
    <w:rsid w:val="00E33041"/>
    <w:rsid w:val="00E340A7"/>
    <w:rsid w:val="00E3489C"/>
    <w:rsid w:val="00E36096"/>
    <w:rsid w:val="00E41627"/>
    <w:rsid w:val="00E4530A"/>
    <w:rsid w:val="00E46F39"/>
    <w:rsid w:val="00E479C1"/>
    <w:rsid w:val="00E52505"/>
    <w:rsid w:val="00E53112"/>
    <w:rsid w:val="00E53598"/>
    <w:rsid w:val="00E55175"/>
    <w:rsid w:val="00E564E9"/>
    <w:rsid w:val="00E56B6B"/>
    <w:rsid w:val="00E66257"/>
    <w:rsid w:val="00E67972"/>
    <w:rsid w:val="00E67B29"/>
    <w:rsid w:val="00E67D43"/>
    <w:rsid w:val="00E706C6"/>
    <w:rsid w:val="00E73A1E"/>
    <w:rsid w:val="00E73E77"/>
    <w:rsid w:val="00E75465"/>
    <w:rsid w:val="00E75BA8"/>
    <w:rsid w:val="00E80364"/>
    <w:rsid w:val="00E82C4A"/>
    <w:rsid w:val="00E83624"/>
    <w:rsid w:val="00E85C77"/>
    <w:rsid w:val="00E86C4C"/>
    <w:rsid w:val="00E86FEF"/>
    <w:rsid w:val="00E90393"/>
    <w:rsid w:val="00E90685"/>
    <w:rsid w:val="00E92E2B"/>
    <w:rsid w:val="00E93C2D"/>
    <w:rsid w:val="00E94A28"/>
    <w:rsid w:val="00E9504A"/>
    <w:rsid w:val="00E95F4C"/>
    <w:rsid w:val="00E974AE"/>
    <w:rsid w:val="00EA0C6A"/>
    <w:rsid w:val="00EA17D0"/>
    <w:rsid w:val="00EA229C"/>
    <w:rsid w:val="00EA501A"/>
    <w:rsid w:val="00EA59A8"/>
    <w:rsid w:val="00EB0DD5"/>
    <w:rsid w:val="00EB2060"/>
    <w:rsid w:val="00EB4BFB"/>
    <w:rsid w:val="00EB6A98"/>
    <w:rsid w:val="00EC12A1"/>
    <w:rsid w:val="00EC1B15"/>
    <w:rsid w:val="00EC3F7E"/>
    <w:rsid w:val="00EC4116"/>
    <w:rsid w:val="00EC6DA7"/>
    <w:rsid w:val="00EC72BE"/>
    <w:rsid w:val="00ED190C"/>
    <w:rsid w:val="00ED3302"/>
    <w:rsid w:val="00ED5714"/>
    <w:rsid w:val="00ED5961"/>
    <w:rsid w:val="00ED6A17"/>
    <w:rsid w:val="00EE0DA4"/>
    <w:rsid w:val="00EE1014"/>
    <w:rsid w:val="00EE130A"/>
    <w:rsid w:val="00EE1987"/>
    <w:rsid w:val="00EE3A99"/>
    <w:rsid w:val="00EE3ACB"/>
    <w:rsid w:val="00EE4C9C"/>
    <w:rsid w:val="00EE6C05"/>
    <w:rsid w:val="00EE7048"/>
    <w:rsid w:val="00EE7FE2"/>
    <w:rsid w:val="00EF1795"/>
    <w:rsid w:val="00EF208F"/>
    <w:rsid w:val="00EF235C"/>
    <w:rsid w:val="00EF2C7F"/>
    <w:rsid w:val="00EF3A28"/>
    <w:rsid w:val="00EF4FA4"/>
    <w:rsid w:val="00EF7BE3"/>
    <w:rsid w:val="00EF7D59"/>
    <w:rsid w:val="00F02037"/>
    <w:rsid w:val="00F02677"/>
    <w:rsid w:val="00F027A7"/>
    <w:rsid w:val="00F0725E"/>
    <w:rsid w:val="00F12479"/>
    <w:rsid w:val="00F127B8"/>
    <w:rsid w:val="00F14DF0"/>
    <w:rsid w:val="00F154D4"/>
    <w:rsid w:val="00F20105"/>
    <w:rsid w:val="00F217D3"/>
    <w:rsid w:val="00F21F69"/>
    <w:rsid w:val="00F22143"/>
    <w:rsid w:val="00F2591A"/>
    <w:rsid w:val="00F260C5"/>
    <w:rsid w:val="00F266D7"/>
    <w:rsid w:val="00F26F57"/>
    <w:rsid w:val="00F27718"/>
    <w:rsid w:val="00F30215"/>
    <w:rsid w:val="00F3243A"/>
    <w:rsid w:val="00F32A75"/>
    <w:rsid w:val="00F32B8E"/>
    <w:rsid w:val="00F3508B"/>
    <w:rsid w:val="00F362A5"/>
    <w:rsid w:val="00F36E6D"/>
    <w:rsid w:val="00F3742D"/>
    <w:rsid w:val="00F4097F"/>
    <w:rsid w:val="00F43581"/>
    <w:rsid w:val="00F436C2"/>
    <w:rsid w:val="00F46371"/>
    <w:rsid w:val="00F5046D"/>
    <w:rsid w:val="00F534FB"/>
    <w:rsid w:val="00F537A9"/>
    <w:rsid w:val="00F55F3B"/>
    <w:rsid w:val="00F55FB7"/>
    <w:rsid w:val="00F56AF9"/>
    <w:rsid w:val="00F5793C"/>
    <w:rsid w:val="00F57F69"/>
    <w:rsid w:val="00F63F38"/>
    <w:rsid w:val="00F64F4F"/>
    <w:rsid w:val="00F65AF2"/>
    <w:rsid w:val="00F66B47"/>
    <w:rsid w:val="00F70538"/>
    <w:rsid w:val="00F709D6"/>
    <w:rsid w:val="00F737D5"/>
    <w:rsid w:val="00F73DDE"/>
    <w:rsid w:val="00F74B7A"/>
    <w:rsid w:val="00F760ED"/>
    <w:rsid w:val="00F76C53"/>
    <w:rsid w:val="00F80613"/>
    <w:rsid w:val="00F816ED"/>
    <w:rsid w:val="00F8201E"/>
    <w:rsid w:val="00F8221A"/>
    <w:rsid w:val="00F832A8"/>
    <w:rsid w:val="00F859D4"/>
    <w:rsid w:val="00F93158"/>
    <w:rsid w:val="00F93885"/>
    <w:rsid w:val="00F94CF1"/>
    <w:rsid w:val="00F976B8"/>
    <w:rsid w:val="00F97886"/>
    <w:rsid w:val="00F97C37"/>
    <w:rsid w:val="00FA0405"/>
    <w:rsid w:val="00FA1144"/>
    <w:rsid w:val="00FA272C"/>
    <w:rsid w:val="00FA3DD8"/>
    <w:rsid w:val="00FA3F76"/>
    <w:rsid w:val="00FA4DBC"/>
    <w:rsid w:val="00FA5631"/>
    <w:rsid w:val="00FB05FC"/>
    <w:rsid w:val="00FB73A5"/>
    <w:rsid w:val="00FC0CDB"/>
    <w:rsid w:val="00FC218E"/>
    <w:rsid w:val="00FD0101"/>
    <w:rsid w:val="00FD0A52"/>
    <w:rsid w:val="00FD0D05"/>
    <w:rsid w:val="00FD1809"/>
    <w:rsid w:val="00FD4736"/>
    <w:rsid w:val="00FD6050"/>
    <w:rsid w:val="00FD622A"/>
    <w:rsid w:val="00FD6941"/>
    <w:rsid w:val="00FD76E5"/>
    <w:rsid w:val="00FE3DC6"/>
    <w:rsid w:val="00FE561E"/>
    <w:rsid w:val="00FE58E1"/>
    <w:rsid w:val="00FE710D"/>
    <w:rsid w:val="00FE7415"/>
    <w:rsid w:val="00FF288A"/>
    <w:rsid w:val="00FF6F73"/>
    <w:rsid w:val="00FF7305"/>
    <w:rsid w:val="010E10AC"/>
    <w:rsid w:val="011840DB"/>
    <w:rsid w:val="011C28CA"/>
    <w:rsid w:val="012D5292"/>
    <w:rsid w:val="01CA41E2"/>
    <w:rsid w:val="01CB3485"/>
    <w:rsid w:val="02016199"/>
    <w:rsid w:val="02291419"/>
    <w:rsid w:val="023A2510"/>
    <w:rsid w:val="026A3C86"/>
    <w:rsid w:val="03475214"/>
    <w:rsid w:val="03553728"/>
    <w:rsid w:val="03AF7745"/>
    <w:rsid w:val="03B8476D"/>
    <w:rsid w:val="03C13544"/>
    <w:rsid w:val="03E73EE3"/>
    <w:rsid w:val="043B3086"/>
    <w:rsid w:val="04BF1BC4"/>
    <w:rsid w:val="04D21776"/>
    <w:rsid w:val="04D70C4A"/>
    <w:rsid w:val="05041024"/>
    <w:rsid w:val="05154C7F"/>
    <w:rsid w:val="051B19D2"/>
    <w:rsid w:val="0552305B"/>
    <w:rsid w:val="0556773D"/>
    <w:rsid w:val="05930739"/>
    <w:rsid w:val="05D26007"/>
    <w:rsid w:val="05F310C5"/>
    <w:rsid w:val="06490456"/>
    <w:rsid w:val="06D126F1"/>
    <w:rsid w:val="071D71DC"/>
    <w:rsid w:val="078A6BEB"/>
    <w:rsid w:val="07A17050"/>
    <w:rsid w:val="07B67289"/>
    <w:rsid w:val="07C47F20"/>
    <w:rsid w:val="08006BB7"/>
    <w:rsid w:val="08110806"/>
    <w:rsid w:val="08227863"/>
    <w:rsid w:val="085654F6"/>
    <w:rsid w:val="08572643"/>
    <w:rsid w:val="087047AB"/>
    <w:rsid w:val="08723A39"/>
    <w:rsid w:val="08C5694E"/>
    <w:rsid w:val="08C72445"/>
    <w:rsid w:val="094F0DEC"/>
    <w:rsid w:val="09816B93"/>
    <w:rsid w:val="0A2A6D75"/>
    <w:rsid w:val="0A3A5091"/>
    <w:rsid w:val="0A604293"/>
    <w:rsid w:val="0ACD27C4"/>
    <w:rsid w:val="0B3C3880"/>
    <w:rsid w:val="0B516130"/>
    <w:rsid w:val="0B8F0C83"/>
    <w:rsid w:val="0B8F4D09"/>
    <w:rsid w:val="0B9A60BE"/>
    <w:rsid w:val="0BB7740B"/>
    <w:rsid w:val="0BBF19D0"/>
    <w:rsid w:val="0BC64326"/>
    <w:rsid w:val="0C38155F"/>
    <w:rsid w:val="0C4C1239"/>
    <w:rsid w:val="0C51148B"/>
    <w:rsid w:val="0C582CA7"/>
    <w:rsid w:val="0C585AE0"/>
    <w:rsid w:val="0C8335A6"/>
    <w:rsid w:val="0C9E11AB"/>
    <w:rsid w:val="0CDC129B"/>
    <w:rsid w:val="0CEA76BB"/>
    <w:rsid w:val="0D015337"/>
    <w:rsid w:val="0D1B0970"/>
    <w:rsid w:val="0D2314A8"/>
    <w:rsid w:val="0D4D4E41"/>
    <w:rsid w:val="0E072BBD"/>
    <w:rsid w:val="0E3302DF"/>
    <w:rsid w:val="0EC10A58"/>
    <w:rsid w:val="0EE548F4"/>
    <w:rsid w:val="0EE83A12"/>
    <w:rsid w:val="0EED3784"/>
    <w:rsid w:val="0EF02A7C"/>
    <w:rsid w:val="0EF74F21"/>
    <w:rsid w:val="0F2564D5"/>
    <w:rsid w:val="0F422054"/>
    <w:rsid w:val="0F59003C"/>
    <w:rsid w:val="0FE279E5"/>
    <w:rsid w:val="0FFE3776"/>
    <w:rsid w:val="10507530"/>
    <w:rsid w:val="10526B88"/>
    <w:rsid w:val="10673170"/>
    <w:rsid w:val="109C0511"/>
    <w:rsid w:val="10D71D62"/>
    <w:rsid w:val="10E84635"/>
    <w:rsid w:val="11445ECE"/>
    <w:rsid w:val="117B68C4"/>
    <w:rsid w:val="117B70B1"/>
    <w:rsid w:val="11AB78C4"/>
    <w:rsid w:val="1206261B"/>
    <w:rsid w:val="12120E3E"/>
    <w:rsid w:val="123B2AB4"/>
    <w:rsid w:val="12406B43"/>
    <w:rsid w:val="125D0B88"/>
    <w:rsid w:val="12911EC2"/>
    <w:rsid w:val="12B733B1"/>
    <w:rsid w:val="12EE519C"/>
    <w:rsid w:val="13040181"/>
    <w:rsid w:val="136C06F7"/>
    <w:rsid w:val="137434D1"/>
    <w:rsid w:val="139C7DEB"/>
    <w:rsid w:val="13DE3ADB"/>
    <w:rsid w:val="13E037AA"/>
    <w:rsid w:val="140773D4"/>
    <w:rsid w:val="1481254D"/>
    <w:rsid w:val="14990060"/>
    <w:rsid w:val="14C05333"/>
    <w:rsid w:val="14D664F1"/>
    <w:rsid w:val="1519664E"/>
    <w:rsid w:val="154C1170"/>
    <w:rsid w:val="154F6172"/>
    <w:rsid w:val="15863737"/>
    <w:rsid w:val="15CB4C93"/>
    <w:rsid w:val="15D07A4C"/>
    <w:rsid w:val="15F4426C"/>
    <w:rsid w:val="161766E1"/>
    <w:rsid w:val="163559AE"/>
    <w:rsid w:val="166F4364"/>
    <w:rsid w:val="16CF4528"/>
    <w:rsid w:val="16EE16BD"/>
    <w:rsid w:val="1772678E"/>
    <w:rsid w:val="17A82E43"/>
    <w:rsid w:val="17B97972"/>
    <w:rsid w:val="17C90A93"/>
    <w:rsid w:val="18476DE8"/>
    <w:rsid w:val="187C3483"/>
    <w:rsid w:val="18920D2A"/>
    <w:rsid w:val="18A53142"/>
    <w:rsid w:val="18A9613F"/>
    <w:rsid w:val="18C1494C"/>
    <w:rsid w:val="18C257BE"/>
    <w:rsid w:val="18CC1356"/>
    <w:rsid w:val="18F03259"/>
    <w:rsid w:val="192A2B50"/>
    <w:rsid w:val="1976603E"/>
    <w:rsid w:val="198D5C6A"/>
    <w:rsid w:val="19A20364"/>
    <w:rsid w:val="19F36C56"/>
    <w:rsid w:val="1A632205"/>
    <w:rsid w:val="1AE5635D"/>
    <w:rsid w:val="1AE95EED"/>
    <w:rsid w:val="1AEB642B"/>
    <w:rsid w:val="1AF76594"/>
    <w:rsid w:val="1B15678A"/>
    <w:rsid w:val="1B5C1ED2"/>
    <w:rsid w:val="1B705864"/>
    <w:rsid w:val="1B76740A"/>
    <w:rsid w:val="1BB347FD"/>
    <w:rsid w:val="1C462289"/>
    <w:rsid w:val="1D1333BB"/>
    <w:rsid w:val="1D644A60"/>
    <w:rsid w:val="1DC22365"/>
    <w:rsid w:val="1DCC68C6"/>
    <w:rsid w:val="1DE32455"/>
    <w:rsid w:val="1E087371"/>
    <w:rsid w:val="1E1E13D2"/>
    <w:rsid w:val="1E36424F"/>
    <w:rsid w:val="1E441DAF"/>
    <w:rsid w:val="1E492244"/>
    <w:rsid w:val="1E9B7045"/>
    <w:rsid w:val="1ED55335"/>
    <w:rsid w:val="1EFC4180"/>
    <w:rsid w:val="1F34555F"/>
    <w:rsid w:val="1F352688"/>
    <w:rsid w:val="1F5D44E1"/>
    <w:rsid w:val="1F761FA5"/>
    <w:rsid w:val="1FA0341D"/>
    <w:rsid w:val="1FC83DCA"/>
    <w:rsid w:val="1FDF7C95"/>
    <w:rsid w:val="1FE1089A"/>
    <w:rsid w:val="1FFF4B58"/>
    <w:rsid w:val="20223BAF"/>
    <w:rsid w:val="204006D6"/>
    <w:rsid w:val="205D20B1"/>
    <w:rsid w:val="205E4C0B"/>
    <w:rsid w:val="2084497E"/>
    <w:rsid w:val="20EE1B09"/>
    <w:rsid w:val="20F658D4"/>
    <w:rsid w:val="21200929"/>
    <w:rsid w:val="21453259"/>
    <w:rsid w:val="21555CB6"/>
    <w:rsid w:val="21673637"/>
    <w:rsid w:val="217A2DF0"/>
    <w:rsid w:val="21A74FAD"/>
    <w:rsid w:val="21AC7538"/>
    <w:rsid w:val="220A3995"/>
    <w:rsid w:val="222949D3"/>
    <w:rsid w:val="226F0472"/>
    <w:rsid w:val="227B0BEC"/>
    <w:rsid w:val="22A55BC2"/>
    <w:rsid w:val="22C213FA"/>
    <w:rsid w:val="22D353DB"/>
    <w:rsid w:val="22FE720F"/>
    <w:rsid w:val="232134EC"/>
    <w:rsid w:val="23856B7E"/>
    <w:rsid w:val="23AC6E3E"/>
    <w:rsid w:val="240638CC"/>
    <w:rsid w:val="24272837"/>
    <w:rsid w:val="24667AED"/>
    <w:rsid w:val="246F568A"/>
    <w:rsid w:val="247008C8"/>
    <w:rsid w:val="2496622F"/>
    <w:rsid w:val="24B36F1E"/>
    <w:rsid w:val="25182E22"/>
    <w:rsid w:val="257E3F7B"/>
    <w:rsid w:val="25A92731"/>
    <w:rsid w:val="25C24BB1"/>
    <w:rsid w:val="25D83ABF"/>
    <w:rsid w:val="26005C2C"/>
    <w:rsid w:val="26046C91"/>
    <w:rsid w:val="26101B67"/>
    <w:rsid w:val="261D620E"/>
    <w:rsid w:val="26386677"/>
    <w:rsid w:val="26430FF2"/>
    <w:rsid w:val="2644117D"/>
    <w:rsid w:val="2682670F"/>
    <w:rsid w:val="26AB212D"/>
    <w:rsid w:val="26AD0FF6"/>
    <w:rsid w:val="26D96ED1"/>
    <w:rsid w:val="26EB74F8"/>
    <w:rsid w:val="270B29E3"/>
    <w:rsid w:val="27131D2C"/>
    <w:rsid w:val="27233098"/>
    <w:rsid w:val="276443B2"/>
    <w:rsid w:val="27D22549"/>
    <w:rsid w:val="27ED2FC1"/>
    <w:rsid w:val="283D5CCB"/>
    <w:rsid w:val="28513A55"/>
    <w:rsid w:val="285F7898"/>
    <w:rsid w:val="287F25EE"/>
    <w:rsid w:val="29247FA0"/>
    <w:rsid w:val="293D4E4D"/>
    <w:rsid w:val="29414AF1"/>
    <w:rsid w:val="295F5795"/>
    <w:rsid w:val="29BE432C"/>
    <w:rsid w:val="2A0D1E1C"/>
    <w:rsid w:val="2A1B5EDA"/>
    <w:rsid w:val="2A3A4E74"/>
    <w:rsid w:val="2A6C39B0"/>
    <w:rsid w:val="2A712FD9"/>
    <w:rsid w:val="2A786344"/>
    <w:rsid w:val="2A8E4660"/>
    <w:rsid w:val="2A9412C7"/>
    <w:rsid w:val="2AB078A1"/>
    <w:rsid w:val="2ABD3338"/>
    <w:rsid w:val="2AD47103"/>
    <w:rsid w:val="2AE45E50"/>
    <w:rsid w:val="2AE71C56"/>
    <w:rsid w:val="2AEA5D04"/>
    <w:rsid w:val="2AF118D4"/>
    <w:rsid w:val="2AFA645B"/>
    <w:rsid w:val="2B066DD0"/>
    <w:rsid w:val="2B2879DB"/>
    <w:rsid w:val="2B657DCB"/>
    <w:rsid w:val="2BD1451D"/>
    <w:rsid w:val="2BD24EDE"/>
    <w:rsid w:val="2C4C5DDB"/>
    <w:rsid w:val="2C626008"/>
    <w:rsid w:val="2C74330E"/>
    <w:rsid w:val="2C814BD3"/>
    <w:rsid w:val="2D61279D"/>
    <w:rsid w:val="2D8C04FB"/>
    <w:rsid w:val="2DA362A2"/>
    <w:rsid w:val="2DB72400"/>
    <w:rsid w:val="2E0B6F79"/>
    <w:rsid w:val="2E324440"/>
    <w:rsid w:val="2E5F3E7C"/>
    <w:rsid w:val="2E6C2BCC"/>
    <w:rsid w:val="2E965FC6"/>
    <w:rsid w:val="2EA67AE7"/>
    <w:rsid w:val="2EC038E8"/>
    <w:rsid w:val="2ED103AE"/>
    <w:rsid w:val="2EDC41E2"/>
    <w:rsid w:val="2EED2E58"/>
    <w:rsid w:val="2F144ABB"/>
    <w:rsid w:val="2F167FC8"/>
    <w:rsid w:val="2F1A3122"/>
    <w:rsid w:val="2F25596F"/>
    <w:rsid w:val="2F2C32EB"/>
    <w:rsid w:val="2F7154D0"/>
    <w:rsid w:val="2FA24FDA"/>
    <w:rsid w:val="2FE9341E"/>
    <w:rsid w:val="305D0A75"/>
    <w:rsid w:val="30700030"/>
    <w:rsid w:val="30A077C0"/>
    <w:rsid w:val="30B9611F"/>
    <w:rsid w:val="30DB4AA3"/>
    <w:rsid w:val="31C669A9"/>
    <w:rsid w:val="322B53CB"/>
    <w:rsid w:val="32756DA4"/>
    <w:rsid w:val="331154C4"/>
    <w:rsid w:val="334852FE"/>
    <w:rsid w:val="33503AE8"/>
    <w:rsid w:val="337A6C9E"/>
    <w:rsid w:val="33EA7206"/>
    <w:rsid w:val="33F3357E"/>
    <w:rsid w:val="34047FDE"/>
    <w:rsid w:val="3420500C"/>
    <w:rsid w:val="3442030B"/>
    <w:rsid w:val="34551F59"/>
    <w:rsid w:val="346D754E"/>
    <w:rsid w:val="3473171C"/>
    <w:rsid w:val="34F307B5"/>
    <w:rsid w:val="35427312"/>
    <w:rsid w:val="35481CF7"/>
    <w:rsid w:val="35734B69"/>
    <w:rsid w:val="35855B1C"/>
    <w:rsid w:val="35D633A1"/>
    <w:rsid w:val="36175B5D"/>
    <w:rsid w:val="361A4657"/>
    <w:rsid w:val="363D64A4"/>
    <w:rsid w:val="364B25E2"/>
    <w:rsid w:val="3663284A"/>
    <w:rsid w:val="36BD6B67"/>
    <w:rsid w:val="36D94EDA"/>
    <w:rsid w:val="36F54C70"/>
    <w:rsid w:val="374164F8"/>
    <w:rsid w:val="374A3FEB"/>
    <w:rsid w:val="37AB05CF"/>
    <w:rsid w:val="37C140EC"/>
    <w:rsid w:val="37D76FA4"/>
    <w:rsid w:val="380D1260"/>
    <w:rsid w:val="38316DFC"/>
    <w:rsid w:val="386E48C1"/>
    <w:rsid w:val="38A870A0"/>
    <w:rsid w:val="38B04595"/>
    <w:rsid w:val="38B467AE"/>
    <w:rsid w:val="38C74C10"/>
    <w:rsid w:val="38DC1EEF"/>
    <w:rsid w:val="38EE2187"/>
    <w:rsid w:val="38FC7ADF"/>
    <w:rsid w:val="3927429A"/>
    <w:rsid w:val="3945186D"/>
    <w:rsid w:val="396257E7"/>
    <w:rsid w:val="39643889"/>
    <w:rsid w:val="39F5320A"/>
    <w:rsid w:val="3A00434A"/>
    <w:rsid w:val="3A136B75"/>
    <w:rsid w:val="3A4076EA"/>
    <w:rsid w:val="3A504155"/>
    <w:rsid w:val="3A5D3C39"/>
    <w:rsid w:val="3B163319"/>
    <w:rsid w:val="3B4B22B9"/>
    <w:rsid w:val="3B6F7BC5"/>
    <w:rsid w:val="3B7830BA"/>
    <w:rsid w:val="3BE32154"/>
    <w:rsid w:val="3C66565B"/>
    <w:rsid w:val="3C7C37C3"/>
    <w:rsid w:val="3CEC62CC"/>
    <w:rsid w:val="3CFA7FDB"/>
    <w:rsid w:val="3D371B5F"/>
    <w:rsid w:val="3D4162D8"/>
    <w:rsid w:val="3D7D78FE"/>
    <w:rsid w:val="3D8A088B"/>
    <w:rsid w:val="3D8A66B8"/>
    <w:rsid w:val="3D911C13"/>
    <w:rsid w:val="3D961FCC"/>
    <w:rsid w:val="3DA1415F"/>
    <w:rsid w:val="3DA256A9"/>
    <w:rsid w:val="3DAD3B8B"/>
    <w:rsid w:val="3DE11E84"/>
    <w:rsid w:val="3E22297A"/>
    <w:rsid w:val="3EA943F8"/>
    <w:rsid w:val="3ED2642D"/>
    <w:rsid w:val="3EFF1F78"/>
    <w:rsid w:val="3F0315E5"/>
    <w:rsid w:val="3F1C4C8A"/>
    <w:rsid w:val="3F37769A"/>
    <w:rsid w:val="3F7E3672"/>
    <w:rsid w:val="3FCE0156"/>
    <w:rsid w:val="3FE23D36"/>
    <w:rsid w:val="3FF35973"/>
    <w:rsid w:val="40333B9D"/>
    <w:rsid w:val="408451CF"/>
    <w:rsid w:val="40907DAF"/>
    <w:rsid w:val="40A55AB1"/>
    <w:rsid w:val="411938EB"/>
    <w:rsid w:val="414D2D42"/>
    <w:rsid w:val="41626F3D"/>
    <w:rsid w:val="41927A99"/>
    <w:rsid w:val="41A26A5D"/>
    <w:rsid w:val="41B3371C"/>
    <w:rsid w:val="422D23AE"/>
    <w:rsid w:val="42853084"/>
    <w:rsid w:val="428829F9"/>
    <w:rsid w:val="42C00810"/>
    <w:rsid w:val="43135FB0"/>
    <w:rsid w:val="43562F5A"/>
    <w:rsid w:val="43565A92"/>
    <w:rsid w:val="43850E0C"/>
    <w:rsid w:val="439169E2"/>
    <w:rsid w:val="43C529C2"/>
    <w:rsid w:val="43E72596"/>
    <w:rsid w:val="441528E4"/>
    <w:rsid w:val="44574BA1"/>
    <w:rsid w:val="44842EBE"/>
    <w:rsid w:val="44A0385D"/>
    <w:rsid w:val="44FD027B"/>
    <w:rsid w:val="44FF30F5"/>
    <w:rsid w:val="45294F5A"/>
    <w:rsid w:val="453E122A"/>
    <w:rsid w:val="45AA4758"/>
    <w:rsid w:val="46540B9B"/>
    <w:rsid w:val="46D1677D"/>
    <w:rsid w:val="47090BC4"/>
    <w:rsid w:val="47AE2126"/>
    <w:rsid w:val="47D2247E"/>
    <w:rsid w:val="47E17EE6"/>
    <w:rsid w:val="47F44CA4"/>
    <w:rsid w:val="4825144D"/>
    <w:rsid w:val="483648E5"/>
    <w:rsid w:val="48430CF9"/>
    <w:rsid w:val="48601A3A"/>
    <w:rsid w:val="48832DE8"/>
    <w:rsid w:val="48DB1AC1"/>
    <w:rsid w:val="49154229"/>
    <w:rsid w:val="49584E03"/>
    <w:rsid w:val="497453AC"/>
    <w:rsid w:val="4985085C"/>
    <w:rsid w:val="49967099"/>
    <w:rsid w:val="499C1B53"/>
    <w:rsid w:val="49DA583F"/>
    <w:rsid w:val="4A570604"/>
    <w:rsid w:val="4A5E657A"/>
    <w:rsid w:val="4A7167E7"/>
    <w:rsid w:val="4A8161D7"/>
    <w:rsid w:val="4ACC0332"/>
    <w:rsid w:val="4AE4695B"/>
    <w:rsid w:val="4AF33166"/>
    <w:rsid w:val="4AF57A24"/>
    <w:rsid w:val="4B0B2936"/>
    <w:rsid w:val="4B526FCF"/>
    <w:rsid w:val="4B590E0B"/>
    <w:rsid w:val="4B9C3B90"/>
    <w:rsid w:val="4C204D83"/>
    <w:rsid w:val="4C6B29B7"/>
    <w:rsid w:val="4CB22D01"/>
    <w:rsid w:val="4CE3714B"/>
    <w:rsid w:val="4D647D99"/>
    <w:rsid w:val="4DDA704C"/>
    <w:rsid w:val="4DFB78FD"/>
    <w:rsid w:val="4DFD772E"/>
    <w:rsid w:val="4E121DDB"/>
    <w:rsid w:val="4E152757"/>
    <w:rsid w:val="4E22266D"/>
    <w:rsid w:val="4E5051CD"/>
    <w:rsid w:val="4EB25399"/>
    <w:rsid w:val="4F345E03"/>
    <w:rsid w:val="4F775996"/>
    <w:rsid w:val="4FC217ED"/>
    <w:rsid w:val="504E1544"/>
    <w:rsid w:val="50906ECF"/>
    <w:rsid w:val="509B583B"/>
    <w:rsid w:val="51240A1B"/>
    <w:rsid w:val="515B5624"/>
    <w:rsid w:val="51E1140F"/>
    <w:rsid w:val="52200672"/>
    <w:rsid w:val="52AE2AEC"/>
    <w:rsid w:val="52FE42BA"/>
    <w:rsid w:val="52FE48B5"/>
    <w:rsid w:val="530573CB"/>
    <w:rsid w:val="530F56A1"/>
    <w:rsid w:val="5381706C"/>
    <w:rsid w:val="53B963A2"/>
    <w:rsid w:val="53DD31E6"/>
    <w:rsid w:val="542E56B4"/>
    <w:rsid w:val="54430650"/>
    <w:rsid w:val="547D29FB"/>
    <w:rsid w:val="5493595C"/>
    <w:rsid w:val="54E544A2"/>
    <w:rsid w:val="550D7A71"/>
    <w:rsid w:val="55410150"/>
    <w:rsid w:val="55482DFE"/>
    <w:rsid w:val="55A30737"/>
    <w:rsid w:val="55BE3D79"/>
    <w:rsid w:val="55C563AB"/>
    <w:rsid w:val="56AF7228"/>
    <w:rsid w:val="56C01423"/>
    <w:rsid w:val="57030BD5"/>
    <w:rsid w:val="571E77BD"/>
    <w:rsid w:val="57372C85"/>
    <w:rsid w:val="573C45FE"/>
    <w:rsid w:val="578F1A69"/>
    <w:rsid w:val="58016319"/>
    <w:rsid w:val="58880587"/>
    <w:rsid w:val="58903848"/>
    <w:rsid w:val="58A25EA0"/>
    <w:rsid w:val="594A54C2"/>
    <w:rsid w:val="59B2248B"/>
    <w:rsid w:val="59C02B07"/>
    <w:rsid w:val="59C73620"/>
    <w:rsid w:val="59CC08C0"/>
    <w:rsid w:val="59DA4899"/>
    <w:rsid w:val="59E80432"/>
    <w:rsid w:val="5A581BDB"/>
    <w:rsid w:val="5AA635A1"/>
    <w:rsid w:val="5B157CE4"/>
    <w:rsid w:val="5B170575"/>
    <w:rsid w:val="5B1D5DEF"/>
    <w:rsid w:val="5B470B6C"/>
    <w:rsid w:val="5BB10BDE"/>
    <w:rsid w:val="5BB94641"/>
    <w:rsid w:val="5BBB5301"/>
    <w:rsid w:val="5C1E18BA"/>
    <w:rsid w:val="5C313755"/>
    <w:rsid w:val="5C521D11"/>
    <w:rsid w:val="5C636A95"/>
    <w:rsid w:val="5C69569F"/>
    <w:rsid w:val="5C8F0748"/>
    <w:rsid w:val="5CA703AB"/>
    <w:rsid w:val="5CEB1DC7"/>
    <w:rsid w:val="5D204952"/>
    <w:rsid w:val="5D297A71"/>
    <w:rsid w:val="5D5C7BD3"/>
    <w:rsid w:val="5D6D5ADB"/>
    <w:rsid w:val="5DFD37BA"/>
    <w:rsid w:val="5E766D9E"/>
    <w:rsid w:val="5E78061D"/>
    <w:rsid w:val="5E92028C"/>
    <w:rsid w:val="5EA754BC"/>
    <w:rsid w:val="5EE967F8"/>
    <w:rsid w:val="5F432C35"/>
    <w:rsid w:val="5F6A672F"/>
    <w:rsid w:val="5F6C5905"/>
    <w:rsid w:val="5F72597C"/>
    <w:rsid w:val="5FA94329"/>
    <w:rsid w:val="5FB37D70"/>
    <w:rsid w:val="5FBA1E87"/>
    <w:rsid w:val="5FC77F9B"/>
    <w:rsid w:val="5FDE3C53"/>
    <w:rsid w:val="60173E04"/>
    <w:rsid w:val="601D1243"/>
    <w:rsid w:val="603C7A04"/>
    <w:rsid w:val="609836C3"/>
    <w:rsid w:val="60CA2D54"/>
    <w:rsid w:val="60CF33AD"/>
    <w:rsid w:val="60DB2EBC"/>
    <w:rsid w:val="60E031FA"/>
    <w:rsid w:val="6153595D"/>
    <w:rsid w:val="616A6CAF"/>
    <w:rsid w:val="617311F1"/>
    <w:rsid w:val="61DC4688"/>
    <w:rsid w:val="62110BE3"/>
    <w:rsid w:val="623B2D96"/>
    <w:rsid w:val="6257061B"/>
    <w:rsid w:val="62A87EBD"/>
    <w:rsid w:val="62B25C35"/>
    <w:rsid w:val="62D21187"/>
    <w:rsid w:val="62DA67D8"/>
    <w:rsid w:val="62F3538F"/>
    <w:rsid w:val="630936FD"/>
    <w:rsid w:val="636408B2"/>
    <w:rsid w:val="63CD6ABB"/>
    <w:rsid w:val="63D54018"/>
    <w:rsid w:val="63E911FD"/>
    <w:rsid w:val="63FAC6B5"/>
    <w:rsid w:val="641E55C9"/>
    <w:rsid w:val="645F2BB8"/>
    <w:rsid w:val="648A0F80"/>
    <w:rsid w:val="64AF5C01"/>
    <w:rsid w:val="653F1317"/>
    <w:rsid w:val="653F1D50"/>
    <w:rsid w:val="655A01D2"/>
    <w:rsid w:val="65772D40"/>
    <w:rsid w:val="657A2594"/>
    <w:rsid w:val="658C37E6"/>
    <w:rsid w:val="65D808E1"/>
    <w:rsid w:val="65F9750D"/>
    <w:rsid w:val="66375025"/>
    <w:rsid w:val="6651540D"/>
    <w:rsid w:val="66570524"/>
    <w:rsid w:val="66CE396F"/>
    <w:rsid w:val="66D6767B"/>
    <w:rsid w:val="66E84A6E"/>
    <w:rsid w:val="670C2BE3"/>
    <w:rsid w:val="67204694"/>
    <w:rsid w:val="67212189"/>
    <w:rsid w:val="67342D50"/>
    <w:rsid w:val="673863B3"/>
    <w:rsid w:val="675272C8"/>
    <w:rsid w:val="676273A9"/>
    <w:rsid w:val="67752A3F"/>
    <w:rsid w:val="67803C0A"/>
    <w:rsid w:val="67A44D49"/>
    <w:rsid w:val="67A854AD"/>
    <w:rsid w:val="67C35F6C"/>
    <w:rsid w:val="67CC657E"/>
    <w:rsid w:val="67DC006C"/>
    <w:rsid w:val="681307DD"/>
    <w:rsid w:val="6833453E"/>
    <w:rsid w:val="68984BF8"/>
    <w:rsid w:val="689A18B1"/>
    <w:rsid w:val="69216C99"/>
    <w:rsid w:val="69645A77"/>
    <w:rsid w:val="69CF3081"/>
    <w:rsid w:val="69D63E79"/>
    <w:rsid w:val="69E76C1D"/>
    <w:rsid w:val="6A296488"/>
    <w:rsid w:val="6AA551AF"/>
    <w:rsid w:val="6AD90AC7"/>
    <w:rsid w:val="6B194DD0"/>
    <w:rsid w:val="6BF241F3"/>
    <w:rsid w:val="6C0452F9"/>
    <w:rsid w:val="6C292C93"/>
    <w:rsid w:val="6C606345"/>
    <w:rsid w:val="6C8E3A6E"/>
    <w:rsid w:val="6CA147EE"/>
    <w:rsid w:val="6CAF6FE6"/>
    <w:rsid w:val="6CEA278C"/>
    <w:rsid w:val="6D0D4104"/>
    <w:rsid w:val="6D313519"/>
    <w:rsid w:val="6D5512D4"/>
    <w:rsid w:val="6D9D3FB1"/>
    <w:rsid w:val="6DB406D9"/>
    <w:rsid w:val="6DB77AF6"/>
    <w:rsid w:val="6DDC3F06"/>
    <w:rsid w:val="6DE766D9"/>
    <w:rsid w:val="6DFC1F39"/>
    <w:rsid w:val="6E003CA6"/>
    <w:rsid w:val="6E2037E1"/>
    <w:rsid w:val="6E2A3F7D"/>
    <w:rsid w:val="6E623461"/>
    <w:rsid w:val="6E752232"/>
    <w:rsid w:val="6EC2567E"/>
    <w:rsid w:val="6ED703EE"/>
    <w:rsid w:val="6EE16435"/>
    <w:rsid w:val="6F8E01CC"/>
    <w:rsid w:val="6F955D65"/>
    <w:rsid w:val="6FA46438"/>
    <w:rsid w:val="6FB070DB"/>
    <w:rsid w:val="6FB55F72"/>
    <w:rsid w:val="6FCF0B89"/>
    <w:rsid w:val="701E5987"/>
    <w:rsid w:val="705160B5"/>
    <w:rsid w:val="70624F76"/>
    <w:rsid w:val="707225BB"/>
    <w:rsid w:val="70764DC8"/>
    <w:rsid w:val="70867CF3"/>
    <w:rsid w:val="709860F7"/>
    <w:rsid w:val="70F04904"/>
    <w:rsid w:val="71461749"/>
    <w:rsid w:val="7147728C"/>
    <w:rsid w:val="715F298C"/>
    <w:rsid w:val="71731BB8"/>
    <w:rsid w:val="71BC573C"/>
    <w:rsid w:val="71CE510C"/>
    <w:rsid w:val="71D11D91"/>
    <w:rsid w:val="71DA1818"/>
    <w:rsid w:val="71E73362"/>
    <w:rsid w:val="71FE7719"/>
    <w:rsid w:val="72251C8E"/>
    <w:rsid w:val="722A4A5D"/>
    <w:rsid w:val="724F0060"/>
    <w:rsid w:val="727C3516"/>
    <w:rsid w:val="72906C06"/>
    <w:rsid w:val="72D2167B"/>
    <w:rsid w:val="735053C7"/>
    <w:rsid w:val="7357322B"/>
    <w:rsid w:val="737A0109"/>
    <w:rsid w:val="73AD0A96"/>
    <w:rsid w:val="73BE195F"/>
    <w:rsid w:val="73BE5072"/>
    <w:rsid w:val="73D22699"/>
    <w:rsid w:val="74462EBD"/>
    <w:rsid w:val="74510FAD"/>
    <w:rsid w:val="74561E57"/>
    <w:rsid w:val="74EA4FD7"/>
    <w:rsid w:val="74F04435"/>
    <w:rsid w:val="7520433C"/>
    <w:rsid w:val="75616D9B"/>
    <w:rsid w:val="75962919"/>
    <w:rsid w:val="75E703A7"/>
    <w:rsid w:val="75FD4938"/>
    <w:rsid w:val="76716D3E"/>
    <w:rsid w:val="768C7C36"/>
    <w:rsid w:val="76B24BB7"/>
    <w:rsid w:val="76BD44A5"/>
    <w:rsid w:val="76F62CE6"/>
    <w:rsid w:val="76FC7F83"/>
    <w:rsid w:val="770C6887"/>
    <w:rsid w:val="771A3AE8"/>
    <w:rsid w:val="778E4B25"/>
    <w:rsid w:val="779B55C7"/>
    <w:rsid w:val="77A40618"/>
    <w:rsid w:val="77AA287C"/>
    <w:rsid w:val="77F51811"/>
    <w:rsid w:val="77FE1F03"/>
    <w:rsid w:val="780F5ADA"/>
    <w:rsid w:val="78307D8B"/>
    <w:rsid w:val="78543B84"/>
    <w:rsid w:val="7893617E"/>
    <w:rsid w:val="78A85D20"/>
    <w:rsid w:val="792C3FFD"/>
    <w:rsid w:val="793564C3"/>
    <w:rsid w:val="79D841BA"/>
    <w:rsid w:val="79E709F9"/>
    <w:rsid w:val="79EA6764"/>
    <w:rsid w:val="7A281362"/>
    <w:rsid w:val="7A5207A2"/>
    <w:rsid w:val="7A8A1CBA"/>
    <w:rsid w:val="7A903CCF"/>
    <w:rsid w:val="7AB4204A"/>
    <w:rsid w:val="7ACB029B"/>
    <w:rsid w:val="7AE670A9"/>
    <w:rsid w:val="7B0662F9"/>
    <w:rsid w:val="7B1A5CF9"/>
    <w:rsid w:val="7B486579"/>
    <w:rsid w:val="7B7B56F7"/>
    <w:rsid w:val="7B873CE7"/>
    <w:rsid w:val="7B8E2110"/>
    <w:rsid w:val="7BD3612F"/>
    <w:rsid w:val="7BFF61BF"/>
    <w:rsid w:val="7C0615B4"/>
    <w:rsid w:val="7C497B67"/>
    <w:rsid w:val="7C7860F3"/>
    <w:rsid w:val="7CDD1B67"/>
    <w:rsid w:val="7D1F4A1B"/>
    <w:rsid w:val="7D5867CA"/>
    <w:rsid w:val="7D5947FB"/>
    <w:rsid w:val="7D5D23BA"/>
    <w:rsid w:val="7D7F2496"/>
    <w:rsid w:val="7DD66A35"/>
    <w:rsid w:val="7DF05793"/>
    <w:rsid w:val="7E007488"/>
    <w:rsid w:val="7E0927D4"/>
    <w:rsid w:val="7E332594"/>
    <w:rsid w:val="7E8F2EB5"/>
    <w:rsid w:val="7EDF6D84"/>
    <w:rsid w:val="7EDF7BDC"/>
    <w:rsid w:val="7EE11294"/>
    <w:rsid w:val="7F6707B2"/>
    <w:rsid w:val="7F671BCC"/>
    <w:rsid w:val="7F803749"/>
    <w:rsid w:val="7FA5141B"/>
    <w:rsid w:val="7FAF7AD5"/>
    <w:rsid w:val="FEAB3F0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jc w:val="left"/>
    </w:pPr>
  </w:style>
  <w:style w:type="paragraph" w:styleId="5">
    <w:name w:val="Body Text"/>
    <w:basedOn w:val="1"/>
    <w:link w:val="21"/>
    <w:qFormat/>
    <w:uiPriority w:val="0"/>
    <w:rPr>
      <w:rFonts w:ascii="Times New Roman" w:hAnsi="Times New Roman" w:eastAsia="宋体" w:cs="Times New Roman"/>
      <w:szCs w:val="24"/>
      <w:u w:val="single"/>
    </w:rPr>
  </w:style>
  <w:style w:type="paragraph" w:styleId="6">
    <w:name w:val="Balloon Text"/>
    <w:basedOn w:val="1"/>
    <w:link w:val="17"/>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paragraph" w:styleId="10">
    <w:name w:val="annotation subject"/>
    <w:basedOn w:val="4"/>
    <w:next w:val="4"/>
    <w:link w:val="24"/>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paragraph" w:customStyle="1" w:styleId="16">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7">
    <w:name w:val="批注框文本 Char"/>
    <w:basedOn w:val="13"/>
    <w:link w:val="6"/>
    <w:semiHidden/>
    <w:qFormat/>
    <w:uiPriority w:val="99"/>
    <w:rPr>
      <w:sz w:val="18"/>
      <w:szCs w:val="18"/>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正文文本 Char"/>
    <w:basedOn w:val="13"/>
    <w:link w:val="5"/>
    <w:qFormat/>
    <w:uiPriority w:val="0"/>
    <w:rPr>
      <w:rFonts w:ascii="Times New Roman" w:hAnsi="Times New Roman" w:eastAsia="宋体" w:cs="Times New Roman"/>
      <w:szCs w:val="24"/>
      <w:u w:val="single"/>
    </w:rPr>
  </w:style>
  <w:style w:type="paragraph" w:styleId="22">
    <w:name w:val="List Paragraph"/>
    <w:basedOn w:val="1"/>
    <w:qFormat/>
    <w:uiPriority w:val="34"/>
    <w:pPr>
      <w:ind w:firstLine="420" w:firstLineChars="200"/>
    </w:pPr>
  </w:style>
  <w:style w:type="character" w:customStyle="1" w:styleId="23">
    <w:name w:val="批注文字 Char"/>
    <w:basedOn w:val="13"/>
    <w:link w:val="4"/>
    <w:semiHidden/>
    <w:qFormat/>
    <w:uiPriority w:val="99"/>
  </w:style>
  <w:style w:type="character" w:customStyle="1" w:styleId="24">
    <w:name w:val="批注主题 Char"/>
    <w:basedOn w:val="23"/>
    <w:link w:val="10"/>
    <w:semiHidden/>
    <w:qFormat/>
    <w:uiPriority w:val="99"/>
    <w:rPr>
      <w:b/>
      <w:bCs/>
    </w:rPr>
  </w:style>
  <w:style w:type="paragraph" w:customStyle="1" w:styleId="25">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6">
    <w:name w:val="标题 2 Char"/>
    <w:basedOn w:val="13"/>
    <w:link w:val="3"/>
    <w:qFormat/>
    <w:uiPriority w:val="0"/>
    <w:rPr>
      <w:rFonts w:ascii="Arial" w:hAnsi="Arial" w:eastAsia="黑体" w:cs="Times New Roman"/>
      <w:b/>
      <w:bCs/>
      <w:sz w:val="32"/>
      <w:szCs w:val="32"/>
    </w:rPr>
  </w:style>
  <w:style w:type="paragraph" w:customStyle="1" w:styleId="27">
    <w:name w:val="列出段落1"/>
    <w:basedOn w:val="1"/>
    <w:qFormat/>
    <w:uiPriority w:val="0"/>
    <w:pPr>
      <w:ind w:firstLine="420" w:firstLineChars="200"/>
    </w:pPr>
    <w:rPr>
      <w:rFonts w:ascii="Times New Roman" w:hAnsi="Times New Roman" w:eastAsia="宋体" w:cs="Times New Roman"/>
      <w:szCs w:val="24"/>
    </w:rPr>
  </w:style>
  <w:style w:type="paragraph" w:customStyle="1" w:styleId="28">
    <w:name w:val="一、二、三"/>
    <w:basedOn w:val="1"/>
    <w:next w:val="1"/>
    <w:link w:val="39"/>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30">
    <w:name w:val="TableGrid"/>
    <w:qFormat/>
    <w:uiPriority w:val="0"/>
    <w:rPr>
      <w:kern w:val="2"/>
      <w:sz w:val="21"/>
      <w:szCs w:val="22"/>
    </w:rPr>
    <w:tblPr>
      <w:tblCellMar>
        <w:top w:w="0" w:type="dxa"/>
        <w:left w:w="0" w:type="dxa"/>
        <w:bottom w:w="0" w:type="dxa"/>
        <w:right w:w="0" w:type="dxa"/>
      </w:tblCellMar>
    </w:tblPr>
  </w:style>
  <w:style w:type="paragraph" w:customStyle="1" w:styleId="31">
    <w:name w:val="第一条"/>
    <w:basedOn w:val="1"/>
    <w:link w:val="32"/>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2">
    <w:name w:val="第一条 字符"/>
    <w:basedOn w:val="13"/>
    <w:link w:val="31"/>
    <w:qFormat/>
    <w:uiPriority w:val="0"/>
    <w:rPr>
      <w:rFonts w:ascii="宋体" w:hAnsi="宋体" w:eastAsia="黑体" w:cs="宋体"/>
      <w:b/>
      <w:bCs/>
      <w:color w:val="000000"/>
      <w:kern w:val="2"/>
      <w:sz w:val="21"/>
      <w:szCs w:val="22"/>
    </w:rPr>
  </w:style>
  <w:style w:type="paragraph" w:customStyle="1" w:styleId="33">
    <w:name w:val="1、2、3"/>
    <w:next w:val="34"/>
    <w:link w:val="36"/>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4">
    <w:name w:val="1)2)3)"/>
    <w:basedOn w:val="1"/>
    <w:next w:val="1"/>
    <w:link w:val="38"/>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5">
    <w:name w:val="粗体一、二、三"/>
    <w:link w:val="37"/>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6">
    <w:name w:val="1、2、3 字符"/>
    <w:basedOn w:val="13"/>
    <w:link w:val="33"/>
    <w:qFormat/>
    <w:uiPriority w:val="0"/>
    <w:rPr>
      <w:rFonts w:ascii="宋体" w:hAnsi="宋体" w:eastAsia="楷体" w:cs="宋体"/>
      <w:color w:val="000000"/>
      <w:kern w:val="2"/>
      <w:sz w:val="21"/>
      <w:szCs w:val="22"/>
    </w:rPr>
  </w:style>
  <w:style w:type="character" w:customStyle="1" w:styleId="37">
    <w:name w:val="粗体一、二、三 字符"/>
    <w:basedOn w:val="36"/>
    <w:link w:val="35"/>
    <w:qFormat/>
    <w:uiPriority w:val="0"/>
    <w:rPr>
      <w:rFonts w:ascii="宋体" w:hAnsi="宋体" w:eastAsia="宋体" w:cs="宋体"/>
      <w:b/>
      <w:color w:val="000000"/>
      <w:kern w:val="2"/>
      <w:sz w:val="22"/>
      <w:szCs w:val="22"/>
    </w:rPr>
  </w:style>
  <w:style w:type="character" w:customStyle="1" w:styleId="38">
    <w:name w:val="1)2)3) 字符"/>
    <w:basedOn w:val="13"/>
    <w:link w:val="34"/>
    <w:qFormat/>
    <w:uiPriority w:val="0"/>
    <w:rPr>
      <w:rFonts w:ascii="宋体" w:hAnsi="宋体" w:eastAsia="楷体" w:cs="宋体"/>
      <w:color w:val="000000"/>
      <w:kern w:val="2"/>
      <w:sz w:val="21"/>
      <w:szCs w:val="22"/>
    </w:rPr>
  </w:style>
  <w:style w:type="character" w:customStyle="1" w:styleId="39">
    <w:name w:val="一、二、三 字符"/>
    <w:basedOn w:val="13"/>
    <w:link w:val="28"/>
    <w:qFormat/>
    <w:uiPriority w:val="0"/>
    <w:rPr>
      <w:rFonts w:ascii="宋体" w:hAnsi="宋体" w:eastAsia="宋体" w:cs="宋体"/>
      <w:color w:val="000000"/>
      <w:kern w:val="2"/>
      <w:sz w:val="22"/>
      <w:szCs w:val="22"/>
    </w:rPr>
  </w:style>
  <w:style w:type="paragraph" w:customStyle="1" w:styleId="40">
    <w:name w:val="A、B、C、"/>
    <w:basedOn w:val="34"/>
    <w:link w:val="42"/>
    <w:qFormat/>
    <w:uiPriority w:val="0"/>
    <w:pPr>
      <w:numPr>
        <w:numId w:val="6"/>
      </w:numPr>
      <w:ind w:left="400" w:leftChars="400"/>
    </w:pPr>
  </w:style>
  <w:style w:type="paragraph" w:customStyle="1" w:styleId="41">
    <w:name w:val="1）的正文"/>
    <w:basedOn w:val="1"/>
    <w:link w:val="43"/>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2">
    <w:name w:val="A、B、C、 字符"/>
    <w:basedOn w:val="38"/>
    <w:link w:val="40"/>
    <w:qFormat/>
    <w:uiPriority w:val="0"/>
    <w:rPr>
      <w:rFonts w:ascii="宋体" w:hAnsi="宋体" w:eastAsia="楷体" w:cs="宋体"/>
      <w:color w:val="000000"/>
      <w:kern w:val="2"/>
      <w:sz w:val="21"/>
      <w:szCs w:val="22"/>
    </w:rPr>
  </w:style>
  <w:style w:type="character" w:customStyle="1" w:styleId="43">
    <w:name w:val="1）的正文 字符"/>
    <w:basedOn w:val="13"/>
    <w:link w:val="41"/>
    <w:qFormat/>
    <w:uiPriority w:val="0"/>
    <w:rPr>
      <w:rFonts w:ascii="宋体" w:hAnsi="宋体" w:eastAsia="楷体" w:cs="宋体"/>
      <w:color w:val="000000"/>
      <w:kern w:val="2"/>
      <w:sz w:val="21"/>
      <w:szCs w:val="22"/>
    </w:rPr>
  </w:style>
  <w:style w:type="character" w:customStyle="1" w:styleId="44">
    <w:name w:val="标题 1 Char"/>
    <w:basedOn w:val="13"/>
    <w:link w:val="2"/>
    <w:qFormat/>
    <w:uiPriority w:val="9"/>
    <w:rPr>
      <w:b/>
      <w:bCs/>
      <w:kern w:val="44"/>
      <w:sz w:val="44"/>
      <w:szCs w:val="44"/>
    </w:rPr>
  </w:style>
  <w:style w:type="paragraph" w:customStyle="1" w:styleId="45">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paragraph" w:customStyle="1" w:styleId="4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7">
    <w:name w:val="修订3"/>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C67DC-053F-4C7D-8B5E-C9070BF1BC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38</Pages>
  <Words>16303</Words>
  <Characters>16804</Characters>
  <Lines>244</Lines>
  <Paragraphs>68</Paragraphs>
  <TotalTime>1</TotalTime>
  <ScaleCrop>false</ScaleCrop>
  <LinksUpToDate>false</LinksUpToDate>
  <CharactersWithSpaces>16887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2022-04-20T16:33:00Z</dcterms:created>
  <dc:creator>微软用户</dc:creator>
  <cp:lastModifiedBy>Z.X</cp:lastModifiedBy>
  <cp:lastPrinted>2024-07-02T09:55:00Z</cp:lastPrinted>
  <dcterms:modified xsi:type="dcterms:W3CDTF">2026-02-13T07:36:18Z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68DE5545861E4D528D9C44E077595658</vt:lpwstr>
  </property>
  <property fmtid="{D5CDD505-2E9C-101B-9397-08002B2CF9AE}" pid="3" name="KSOProductBuildVer">
    <vt:lpwstr>2052-12.1.0.24657</vt:lpwstr>
  </property>
  <property fmtid="{D5CDD505-2E9C-101B-9397-08002B2CF9AE}" pid="4" name="KSOTemplateDocerSaveRecord">
    <vt:lpwstr>eyJoZGlkIjoiM2FiZDIzMjBhYjY3YjcwYmIxYWI1NjM4YzVmYjEyMDMiLCJ1c2VySWQiOiIyOTg3OTI2MzUifQ==</vt:lpwstr>
  </property>
</Properties>
</file>