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苏银理财恒源1年定开25期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（2026年2月版）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苏银理财恒源1年定开25期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苏银理财恒源1年定开25期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Z7003121000147，</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A份额:苏银理财恒源1年定开25期A/J01044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B份额:苏银理财恒源1年定开25期B/J01045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C份额:苏银理财恒源1年定开25期C/J14023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D份额:苏银理财恒源1年定开25期D/J03063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F份额:苏银理财恒源1年定开25期F/J03064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G份额:苏银理财恒源1年定开25期G/J02213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H份额:苏银理财恒源1年定开25期H/J02214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J份额:苏银理财恒源1年定开25期J/J03065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R份额:苏银理财恒源1年定开25期R/J14024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P份额:苏银理财恒源1年定开25期P/J14025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O份额:苏银理财恒源1年定开25期O（兰州银行开门红专属）/J14026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U份额:苏银理财恒源1年定开25期U/J14027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Z份额:苏银理财恒源1年定开25期Z/J14028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ZA份额:苏银理财恒源1年定开25期ZA鑫福款（自动赎回）/J03066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ZF份额:苏银理财恒源1年定开25期ZF（自动赎回）/J03067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ZF2份额:苏银理财恒源1年定开25期ZF2（自动赎回）/J14597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ZN份额:苏银理财恒源1年定开25期ZN（自动赎回）/J03746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ZC份额:苏银理财恒源1年定开25期ZC鑫福优享（自动赎回）/J14029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ZK份额:苏银理财恒源1年定开25期ZK鑫福尊享（自动赎回）/J14030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100000万元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:20</w:t>
            </w:r>
            <w:r>
              <w:rPr>
                <w:rFonts w:hint="eastAsia" w:ascii="楷体" w:hAnsi="楷体" w:eastAsia="楷体"/>
                <w:sz w:val="18"/>
                <w:szCs w:val="18"/>
                <w:highlight w:val="none"/>
              </w:rPr>
              <w:t>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H份额：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R份额: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eastAsia="楷体"/>
                <w:lang w:val="en-US" w:eastAsia="zh-CN"/>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U份额: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Z份额: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ZF2份额: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C</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K</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1</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12</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29</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年1月</w:t>
            </w:r>
            <w:r>
              <w:rPr>
                <w:rFonts w:hint="eastAsia" w:ascii="楷体" w:hAnsi="楷体" w:eastAsia="楷体" w:cs="宋体"/>
                <w:spacing w:val="-2"/>
                <w:sz w:val="18"/>
                <w:szCs w:val="18"/>
                <w:lang w:val="en-US" w:eastAsia="zh-CN"/>
              </w:rPr>
              <w:t>5</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年1月</w:t>
            </w:r>
            <w:r>
              <w:rPr>
                <w:rFonts w:hint="eastAsia" w:ascii="楷体" w:hAnsi="楷体" w:eastAsia="楷体" w:cs="宋体"/>
                <w:spacing w:val="-2"/>
                <w:sz w:val="18"/>
                <w:szCs w:val="18"/>
                <w:lang w:val="en-US" w:eastAsia="zh-CN"/>
              </w:rPr>
              <w:t>6</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lang w:eastAsia="zh-CN"/>
              </w:rPr>
              <w:t>年1月</w:t>
            </w:r>
            <w:r>
              <w:rPr>
                <w:rFonts w:hint="eastAsia" w:ascii="楷体" w:hAnsi="楷体" w:eastAsia="楷体" w:cs="宋体"/>
                <w:color w:val="auto"/>
                <w:spacing w:val="-2"/>
                <w:sz w:val="18"/>
                <w:szCs w:val="18"/>
                <w:lang w:val="en-US" w:eastAsia="zh-CN"/>
              </w:rPr>
              <w:t>29</w:t>
            </w:r>
            <w:r>
              <w:rPr>
                <w:rFonts w:hint="eastAsia" w:ascii="楷体" w:hAnsi="楷体" w:eastAsia="楷体" w:cs="宋体"/>
                <w:color w:val="auto"/>
                <w:spacing w:val="-2"/>
                <w:sz w:val="18"/>
                <w:szCs w:val="18"/>
                <w:lang w:eastAsia="zh-CN"/>
              </w:rPr>
              <w:t>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最新投资周期（2026年3月10日-2027年3月29日）开放申购与赎回时间为：</w:t>
            </w:r>
            <w:r>
              <w:rPr>
                <w:rFonts w:hint="eastAsia" w:ascii="楷体" w:hAnsi="楷体" w:eastAsia="楷体" w:cs="宋体"/>
                <w:b/>
                <w:bCs/>
                <w:spacing w:val="-2"/>
                <w:sz w:val="18"/>
                <w:szCs w:val="18"/>
                <w:highlight w:val="none"/>
                <w:lang w:val="en-US" w:eastAsia="zh-CN"/>
              </w:rPr>
              <w:t>2026年2月28日至2026年3月9日（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(其中ZA份额/ZF份额/ZF2份额/ZN份额/ZC份额/ZK份额由系统主动发起赎回申请，投资者无须发起赎回申请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2026年3月10日-2027年3月29日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highlight w:val="none"/>
                      <w:lang w:eastAsia="zh-CN"/>
                    </w:rPr>
                    <w:t>2022年1月6日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eastAsia="zh-CN"/>
                    </w:rPr>
                    <w:t>2023年1月17日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4.30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eastAsia="zh-CN"/>
                    </w:rPr>
                    <w:t>2023年1月1</w:t>
                  </w:r>
                  <w:r>
                    <w:rPr>
                      <w:rFonts w:hint="eastAsia" w:ascii="楷体" w:hAnsi="楷体" w:eastAsia="楷体"/>
                      <w:sz w:val="18"/>
                      <w:szCs w:val="18"/>
                      <w:lang w:val="en-US" w:eastAsia="zh-CN"/>
                    </w:rPr>
                    <w:t>8</w:t>
                  </w:r>
                  <w:r>
                    <w:rPr>
                      <w:rFonts w:hint="eastAsia" w:ascii="楷体" w:hAnsi="楷体" w:eastAsia="楷体"/>
                      <w:sz w:val="18"/>
                      <w:szCs w:val="18"/>
                      <w:lang w:eastAsia="zh-CN"/>
                    </w:rPr>
                    <w:t>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eastAsia="zh-CN"/>
                    </w:rPr>
                    <w:t>2024年1月29日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 xml:space="preserve"> 4.10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 xml:space="preserve"> 4.13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G份额 4.20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H份额 4.20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cs="宋体"/>
                      <w:spacing w:val="-2"/>
                      <w:sz w:val="18"/>
                      <w:szCs w:val="18"/>
                      <w:lang w:val="en-US" w:eastAsia="zh-CN"/>
                    </w:rPr>
                    <w:t>2024年1月30日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2025年2月11日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B份额3.33%-3.93%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D份额3.45%-4.05%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H</w:t>
                  </w:r>
                  <w:r>
                    <w:rPr>
                      <w:rFonts w:hint="default" w:ascii="楷体" w:hAnsi="楷体" w:eastAsia="楷体" w:cs="Times New Roman"/>
                      <w:sz w:val="18"/>
                      <w:szCs w:val="18"/>
                      <w:lang w:val="en-US" w:eastAsia="zh-CN"/>
                    </w:rPr>
                    <w:t>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cs="Times New Roman"/>
                      <w:sz w:val="18"/>
                      <w:szCs w:val="18"/>
                      <w:lang w:val="en-US" w:eastAsia="zh-CN"/>
                    </w:rPr>
                    <w:t>ZF份额3.30%-3.90%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2025年2月12日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2026年3月9日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w:t>
                  </w:r>
                  <w:r>
                    <w:rPr>
                      <w:rFonts w:hint="eastAsia" w:ascii="楷体" w:hAnsi="楷体" w:eastAsia="楷体" w:cs="Times New Roman"/>
                      <w:sz w:val="18"/>
                      <w:szCs w:val="18"/>
                      <w:lang w:val="en-US" w:eastAsia="zh-CN"/>
                    </w:rPr>
                    <w:t>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w:t>
                  </w:r>
                  <w:r>
                    <w:rPr>
                      <w:rFonts w:hint="eastAsia" w:ascii="楷体" w:hAnsi="楷体" w:eastAsia="楷体" w:cs="Times New Roman"/>
                      <w:sz w:val="18"/>
                      <w:szCs w:val="18"/>
                      <w:lang w:val="en-US" w:eastAsia="zh-CN"/>
                    </w:rPr>
                    <w:t>2.68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w:t>
                  </w:r>
                  <w:r>
                    <w:rPr>
                      <w:rFonts w:hint="eastAsia" w:ascii="楷体" w:hAnsi="楷体" w:eastAsia="楷体" w:cs="Times New Roman"/>
                      <w:sz w:val="18"/>
                      <w:szCs w:val="18"/>
                      <w:lang w:val="en-US" w:eastAsia="zh-CN"/>
                    </w:rPr>
                    <w:t>2.80</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w:t>
                  </w:r>
                  <w:r>
                    <w:rPr>
                      <w:rFonts w:hint="eastAsia" w:ascii="楷体" w:hAnsi="楷体" w:eastAsia="楷体" w:cs="Times New Roman"/>
                      <w:sz w:val="18"/>
                      <w:szCs w:val="18"/>
                      <w:lang w:val="en-US" w:eastAsia="zh-CN"/>
                    </w:rPr>
                    <w:t>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G份额2.70%-3.30%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Times New Roman"/>
                      <w:sz w:val="18"/>
                      <w:szCs w:val="18"/>
                      <w:lang w:val="en-US" w:eastAsia="zh-CN"/>
                    </w:rPr>
                    <w:t>H</w:t>
                  </w:r>
                  <w:r>
                    <w:rPr>
                      <w:rFonts w:hint="default" w:ascii="楷体" w:hAnsi="楷体" w:eastAsia="楷体" w:cs="Times New Roman"/>
                      <w:sz w:val="18"/>
                      <w:szCs w:val="18"/>
                      <w:lang w:val="en-US" w:eastAsia="zh-CN"/>
                    </w:rPr>
                    <w:t>份额</w:t>
                  </w:r>
                  <w:r>
                    <w:rPr>
                      <w:rFonts w:hint="eastAsia" w:ascii="楷体" w:hAnsi="楷体" w:eastAsia="楷体" w:cs="Times New Roman"/>
                      <w:sz w:val="18"/>
                      <w:szCs w:val="18"/>
                      <w:lang w:val="en-US" w:eastAsia="zh-CN"/>
                    </w:rPr>
                    <w:t>2.75</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3.35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w:t>
                  </w:r>
                  <w:r>
                    <w:rPr>
                      <w:rFonts w:hint="eastAsia" w:ascii="楷体" w:hAnsi="楷体" w:eastAsia="楷体" w:cs="Times New Roman"/>
                      <w:sz w:val="18"/>
                      <w:szCs w:val="18"/>
                      <w:lang w:val="en-US" w:eastAsia="zh-CN"/>
                    </w:rPr>
                    <w:t>2.75</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3.35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w:t>
                  </w:r>
                  <w:r>
                    <w:rPr>
                      <w:rFonts w:hint="eastAsia" w:ascii="楷体" w:hAnsi="楷体" w:eastAsia="楷体" w:cs="Times New Roman"/>
                      <w:sz w:val="18"/>
                      <w:szCs w:val="18"/>
                      <w:lang w:val="en-US" w:eastAsia="zh-CN"/>
                    </w:rPr>
                    <w:t>额2.65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w:t>
                  </w:r>
                  <w:r>
                    <w:rPr>
                      <w:rFonts w:hint="eastAsia" w:ascii="楷体" w:hAnsi="楷体" w:eastAsia="楷体" w:cs="Times New Roman"/>
                      <w:sz w:val="18"/>
                      <w:szCs w:val="18"/>
                      <w:lang w:val="en-US" w:eastAsia="zh-CN"/>
                    </w:rPr>
                    <w:t>额2.65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cs="Times New Roman"/>
                      <w:sz w:val="18"/>
                      <w:szCs w:val="18"/>
                      <w:lang w:val="en-US" w:eastAsia="zh-CN"/>
                    </w:rPr>
                    <w:t>ZN份额2.80%-3.40%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5</w:t>
                  </w:r>
                </w:p>
              </w:tc>
              <w:tc>
                <w:tcPr>
                  <w:tcW w:w="1871" w:type="dxa"/>
                  <w:vAlign w:val="center"/>
                </w:tcPr>
                <w:p>
                  <w:pPr>
                    <w:jc w:val="center"/>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2026年3月10日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2027年3月29日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2.48%-3.08%</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2.48%-3.08%</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H份额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R份额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O份额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U份额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2.45%-3.05%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ZF2份额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ZN份额 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cs="Times New Roman"/>
                      <w:sz w:val="18"/>
                      <w:szCs w:val="18"/>
                      <w:lang w:val="en-US" w:eastAsia="zh-CN"/>
                    </w:rPr>
                    <w:t>ZK份额 2.60%-3.20%</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0.50%，B份额 0.50%，C份额 0.50%，D份额 0.50%，F份额 0.65%，G份额 0.55%，H份额 0.60%，J份额 0.50%，R份额 0.50%，P份额 0.45%，O份额 0.55%，U份额 0.60%，Z份额 0.65%，ZA份额 0.65%，ZF份额 0.65%，ZF2份额 0.60%，ZN份额 0.55%，ZC份额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0.65%，G份额 0.72%，H份额 0.65%，J份额 0.70%，R份额 0.65%，P份额 0.65%，O份额 0.65%，U份额 0.70%，Z份额 0.65%，ZA份额 0.65%，ZF份额 0.65%，ZF2份额 0.60%，ZN份额 0.65%，ZC份额 0.65%，ZK份额 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丹阳农村商业银行股份有限公司/江苏东台农村商业银行股份有限公司/江苏阜宁农村商业银行股份有限公司/江苏高淳农村商业银行股份有限公司/江苏高邮农村商业银行股份有限公司/江苏海安农村商业银行股份有限公司/江苏洪泽农村商业银行股份有限公司/江苏淮安农村商业银行股份有限公司/江苏江阴农村商业银行股份有限公司/江苏靖江农村商业银行股份有限公司/江苏句容农村商业银行股份有限公司/江苏溧水农村商业银行股份有限公司/江苏涟水农村商业银行股份有限公司/江苏南通农村商业银行股份有限公司/江苏邳州农村商业银行股份有限公司/江苏如东农村商业银行股份有限公司/江苏如皋农村商业银行股份有限公司/江苏沭阳农村商业银行股份有限公司/江苏泰兴农村商业银行股份有限公司/江苏新沂农村商业银行股份有限公司/江苏盱眙农村商业银行股份有限公司/江苏扬中农村商业银行股份有限公司/江苏扬州农村商业银行股份有限公司/江苏仪征农村商业银行股份有限公司/江苏宜兴农村商业银行股份有限公司/江苏银行股份有限公司/江苏紫金农村商业银行股份有限公司/九江银行股份有限公司/宁波东海银行股份有限公司/齐鲁银行股份有限公司/上海农村商业银行股份有限公司/上海银行股份有限公司/苏银理财有限责任公司/威海银行股份有限公司/兴业银行股份有限公司/徐州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江苏丹阳农村商业银行股份有限公司/江苏东台农村商业银行股份有限公司/江苏阜宁农村商业银行股份有限公司/江苏高淳农村商业银行股份有限公司/江苏高邮农村商业银行股份有限公司/江苏海安农村商业银行股份有限公司/江苏洪泽农村商业银行股份有限公司/江苏淮安农村商业银行股份有限公司/江苏靖江农村商业银行股份有限公司/江苏句容农村商业银行股份有限公司/江苏溧水农村商业银行股份有限公司/江苏涟水农村商业银行股份有限公司/江苏南通农村商业银行股份有限公司/江苏邳州农村商业银行股份有限公司/江苏如东农村商业银行股份有限公司/江苏如皋农村商业银行股份有限公司/江苏沭阳农村商业银行股份有限公司/江苏泰兴农村商业银行股份有限公司/江苏新沂农村商业银行股份有限公司/江苏盱眙农村商业银行股份有限公司/江苏扬中农村商业银行股份有限公司/江苏扬州农村商业银行股份有限公司/江苏仪征农村商业银行股份有限公司/江苏宜兴农村商业银行股份有限公司/江苏银行股份有限公司/江苏紫金农村商业银行股份有限公司/宁波东海银行股份有限公司/齐鲁银行股份有限公司/苏银理财有限责任公司/威海银行股份有限公司/兴业银行股份有限公司/徐州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w:t>
      </w:r>
    </w:p>
    <w:p>
      <w:pPr>
        <w:pStyle w:val="2"/>
        <w:keepNext w:val="0"/>
        <w:keepLines w:val="0"/>
        <w:pageBreakBefore w:val="0"/>
        <w:widowControl w:val="0"/>
        <w:kinsoku/>
        <w:wordWrap/>
        <w:overflowPunct/>
        <w:topLinePunct w:val="0"/>
        <w:bidi w:val="0"/>
        <w:snapToGrid/>
        <w:spacing w:before="0"/>
        <w:ind w:left="0"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D份额：江苏江阴农村商业银行股份有限公司/江苏南通农村商业银行股份有限公司/江苏银行股份有限公司/上海银行股份有限公司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北京农村商业银行股份有限公司/甘肃银行股份有限公司/广州农村商业银行股份有限公司/广州银行股份有限公司/杭州联合农村商业银行股份有限公司/华侨银行有限公司/交通银行股份有限公司/九江银行股份有限公司/宁波慈溪农村商业银行股份有限公司/宁波通商银行股份有限公司/宁波余姚农村商业银行股份有限公司/宁波镇海农村商业银行股份有限公司/日照银行股份有限公司/山西银行股份有限公司/深圳农村商业银行股份有限公司/苏州银行股份有限公司/台州银行股份有限公司/潍坊银行股份有限公司/兴业银行股份有限公司/浙江淳安农村商业银行股份有限公司/浙江岱山农村商业银行股份有限公司/浙江德清农村商业银行股份有限公司/浙江海宁农村商业银行股份有限公司/浙江杭州余杭农村商业银行股份有限公司/浙江嘉善农村商业银行股份有限公司/浙江江山农村商业银行股份有限公司/浙江开化农村商业银行股份有限公司/浙江乐清农村商业银行股份有限公司/浙江临海农村商业银行股份有限公司/浙江青田农村商业银行股份有限公司/浙江上虞农村商业银行股份有限公司/浙江绍兴瑞丰农村商业银行股份有限公司/浙江泰顺农村商业银行股份有限公司/浙江桐庐农村商业银行股份有限公司/浙江温州龙湾农村商业银行股份有限公司/浙江温州瓯海农村商业银行股份有限公司/浙江武义农村商业银行股份有限公司/浙江萧山农村商业银行股份有限公司/浙江义乌农村商业银行股份有限公司/浙江永嘉农村商业银行股份有限公司/浙江永康农村商业银行股份有限公司/浙江长兴农村商业银行股份有限公司/浙江舟山定海海洋农村商业银行股份有限公司/浙商银行股份有限公司/中邮邮惠万家银行有限责任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广州农村商业银行股份有限公司/广州银行股份有限公司/杭州联合农村商业银行股份有限公司/徽商银行股份有限公司/九江银行股份有限公司/宁波通商银行股份有限公司/宁波余姚农村商业银行股份有限公司/山西银行股份有限公司/深圳农村商业银行股份有限公司/兴业银行股份有限公司/浙江淳安农村商业银行股份有限公司/浙江岱山农村商业银行股份有限公司/浙江德清农村商业银行股份有限公司/浙江海宁农村商业银行股份有限公司/浙江杭州余杭农村商业银行股份有限公司/浙江嘉善农村商业银行股份有限公司/浙江衢州衢江农村商业银行股份有限公司/浙江上虞农村商业银行股份有限公司/浙江绍兴瑞丰农村商业银行股份有限公司/浙江桐庐农村商业银行股份有限公司/浙江萧山农村商业银行股份有限公司/浙江永嘉农村商业银行股份有限公司/浙江舟山定海海洋农村商业银行股份有限公司/浙商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H份额：齐鲁银行股份有限公司</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J份额：江苏如皋农村商业银行股份有限公司/江苏银行股份有限公司/上海银行股份有限公司/威海银行股份有限公司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R份额：郑州银行股份有限公司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P份额：甘肃银行股份有限公司</w:t>
      </w:r>
    </w:p>
    <w:p>
      <w:pPr>
        <w:ind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U份额：徽商银行股份有限公司</w:t>
      </w:r>
    </w:p>
    <w:p>
      <w:pPr>
        <w:ind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Z份额：上海农村商业银行股份有限公司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常熟农村商业银行股份有限公司/江苏大丰农村商业银行股份有限公司/江苏丹阳农村商业银行股份有限公司/江苏东海农村商业银行股份有限公司/江苏东台农村商业银行股份有限公司/江苏丰县农村商业银行股份有限公司/江苏阜宁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洪泽农村商业银行股份有限公司/江苏淮安农村商业银行股份有限公司/江</w:t>
      </w:r>
      <w:bookmarkStart w:id="0" w:name="_GoBack"/>
      <w:bookmarkEnd w:id="0"/>
      <w:r>
        <w:rPr>
          <w:rFonts w:hint="eastAsia" w:ascii="楷体" w:hAnsi="楷体" w:eastAsia="楷体" w:cs="楷体"/>
          <w:kern w:val="2"/>
          <w:sz w:val="21"/>
          <w:szCs w:val="21"/>
          <w:highlight w:val="none"/>
          <w:lang w:val="en-US" w:eastAsia="zh-CN" w:bidi="ar-SA"/>
        </w:rPr>
        <w:t>苏建湖农村商业银行股份有限公司/江苏江都农村商业银行股份有限公司/江苏金湖农村商业银行股份有限公司/江苏靖江农村商业银行股份有限公司/江苏句容农村商业银行股份有限公司/江苏溧水农村商业银行股份有限公司/江苏南通农村商业银行股份有限公司/江苏邳州农村商业银行股份有限公司/江苏启东农村商业银行股份有限公司/江苏如东农村商业银行股份有限公司/江苏沭阳农村商业银行股份有限公司/江苏泗洪农村商业银行股份有限公司/江苏泗阳农村商业银行股份有限公司/江苏苏州农村商业银行股份有限公司/江苏睢宁农村商业银行股份有限公司/江苏泰兴农村商业银行股份有限公司/江苏盱眙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镇江农村商业银行股份有限公司/江苏紫金农村商业银行股份有限公司/连云港东方农村商业银行股份有限公司/徐州农村商业银行股份有限公司/江苏新沂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汉口银行股份有限公司/河北银行股份有限公司/嘉兴银行股份有限公司/江苏江南农村商业银行股份有限公司/江苏张家港农村商业银行股份有限公司/莱商银行股份有限公司/宁波慈溪农村商业银行股份有限公司/宁波余姚农村商业银行股份有限公司/宁波镇海农村商业银行股份有限公司/厦门银行股份有限公司/苏州银行股份有限公司/兴业银行股份有限公司/浙江岱山农村商业银行股份有限公司/浙江德清农村商业银行股份有限公司/浙江杭州余杭农村商业银行股份有限公司/浙江嘉善农村商业银行股份有限公司/浙江江山农村商业银行股份有限公司/浙江兰溪农村商业银行股份有限公司/浙江临安农村商业银行股份有限公司/浙江临海农村商业银行股份有限公司/浙江民泰商业银行股份有限公司/浙江浦江农村商业银行股份有限公司/浙江青田农村商业银行股份有限公司/浙江衢州柯城农村商业银行股份有限公司/浙江衢州衢江农村商业银行股份有限公司/浙江上虞农村商业银行股份有限公司/浙江嵊州农村商业银行股份有限公司/浙江温岭农村商业银行股份有限公司/浙江温州龙湾农村商业银行股份有限公司/浙江温州瓯海农村商业银行股份有限公司/浙江萧山农村商业银行股份有限公司/浙江新昌农村商业银行股份有限公司/浙江义乌农村商业银行股份有限公司/浙江永康农村商业银行股份有限公司</w:t>
      </w:r>
    </w:p>
    <w:p>
      <w:pPr>
        <w:ind w:left="0" w:leftChars="0"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ZF2份额：石嘴山银行股份有限公司</w:t>
      </w:r>
    </w:p>
    <w:p>
      <w:pPr>
        <w:ind w:left="0" w:leftChars="0" w:firstLine="420" w:firstLineChars="200"/>
        <w:jc w:val="both"/>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ZN份额：广西北部湾银行股份有限公司/河北银行股份有限公司/宁波通商银行股份有限公司/浙江萧山农村商业银行股份有限公司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ZC份额：</w:t>
      </w:r>
      <w:r>
        <w:rPr>
          <w:rFonts w:hint="eastAsia" w:ascii="楷体" w:hAnsi="楷体" w:eastAsia="楷体" w:cs="楷体"/>
          <w:sz w:val="21"/>
          <w:szCs w:val="21"/>
          <w:highlight w:val="none"/>
          <w:lang w:val="en-US" w:eastAsia="zh-CN"/>
        </w:rPr>
        <w:t>江苏高淳农村商业银行股份有限公司/江苏灌南农村商业银行股份有限公司/江苏海安农村商业银行股份有限公司/江苏姜堰农村商业银行股份有限公司/江苏溧水农村商业银行股份有限公司/江苏如东农村商业银行股份有限公司/江苏泗阳农村商业银行股份有限公司/江苏泰兴农村商业银行股份有限公司/江苏紫金农村商业银行股份有限公司/连云港东方农村商业银行股份有限公司</w:t>
      </w:r>
    </w:p>
    <w:p>
      <w:pPr>
        <w:ind w:firstLine="420" w:firstLineChars="200"/>
        <w:jc w:val="both"/>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ZK份额：</w:t>
      </w:r>
      <w:r>
        <w:rPr>
          <w:rFonts w:hint="eastAsia" w:ascii="楷体" w:hAnsi="楷体" w:eastAsia="楷体" w:cs="楷体"/>
          <w:sz w:val="21"/>
          <w:szCs w:val="21"/>
          <w:highlight w:val="none"/>
          <w:lang w:val="en-US" w:eastAsia="zh-CN"/>
        </w:rPr>
        <w:t>江苏高淳农村商业银行股份有限公司/江苏灌南农村商业银行股份有限公司/江苏海安农村商业银行股份有限公司/江苏姜堰农村商业银行股份有限公司/江苏溧水农村商业银行股份有限公司/江苏南通农村商业银行股份有限公司/江苏如东农村商业银行股份有限公司/江苏泗阳农村商业银行股份有限公司/江苏紫金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w:t>
      </w:r>
      <w:r>
        <w:rPr>
          <w:rFonts w:hint="eastAsia" w:ascii="楷体" w:hAnsi="楷体" w:eastAsia="楷体"/>
          <w:sz w:val="21"/>
          <w:szCs w:val="21"/>
          <w:lang w:val="en-US" w:eastAsia="zh-CN"/>
        </w:rPr>
        <w:t>款</w:t>
      </w:r>
      <w:r>
        <w:rPr>
          <w:rFonts w:hint="default" w:ascii="楷体" w:hAnsi="楷体" w:eastAsia="楷体"/>
          <w:sz w:val="21"/>
          <w:szCs w:val="21"/>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1"/>
          <w:numId w:val="0"/>
        </w:numPr>
        <w:ind w:firstLine="558" w:firstLineChars="266"/>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南通圆宏控股集团有限公司。融资人经营正常，是依法设立的国有公司，主要股东为南通市通州区人民政府，实际控制人为南通市通州区人民政府。（4）非标准化债权类资产：融资人为泰兴市交通控股有限公司。融资人经营正常，是依法设立的国有公司，主要股东为泰兴市人民政府国有资产监督管理办公室，实际控制人为泰兴市人民政府国有资产监督管理办公室。（5）非标准化债权类资产：融资人为扬州市邗江国有资产经营有限公司。融资人经营正常，是依法设立的国有公司，主要股东为扬州市邗江城市建设发展有限公司，扬州市正本溯源建设发展有限公司，实际控制人为扬州市人民政府。（6）非标准化债权类资产：融资人为镇江铁路投资发展有限公司。融资人经营正常，是依法设立的国有公司，主要股东为镇江市人民政府国有资产监督管理委员会，实际控制人为镇江市人民政府国有资产监督管理委员会。（7）非标准化债权类资产：融资人为淮安高新控股有限公司。融资人经营正常，是依法设立的国有公司，主要股东为淮安市财政局、淮安市交通控股集团有限公司、淮安新城投资开发集团有限公司，淮安国发投资集团有限公司，淮安市宏信国有资产投资管理有限公司，淮安市国有联合投资发展集团有限公司和淮安市投资控股集团有限公司，实际控制人为淮安市人民政府。（8）非标准化债权类资产：融资人为桐庐县城市建设投资集团有限公司。融资人经营正常，是依法设立的国有公司，主要股东为桐庐投资建设发展集团有限公司，实际控制人为桐庐县人民政府国有资产监督管理委员会。（9）非标准化债权类资产：融资人为绍兴市越城区城市发展建设集团有限公司。融资人经营正常，是依法设立的国有公司，主要股东为绍兴市越城区财政局，实际控制人为绍兴市越城区财政局。（10）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11）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12）非标准化债权类资产：融资人为兰溪市城市投资集团有限公司。融资人经营正常，是依法设立的国有公司，主要股东为兰溪市城市发展集团有限公司，实际控制人为兰溪市人民政府国有资产监督管理办公室。（13）非标准化债权类资产：融资人为苏皖合作示范区建设发展集团有限公司。融资人经营正常，是依法设立的国有公司，主要股东为溧阳市国有资产管理中心，实际控制人为溧阳市财政局。（14）非标准化债权类资产：融资人为江苏云港发展集团有限公司。融资人经营正常，是依法设立的国有公司，主要股东为江苏海州湾控股集团有限公司，实际控制人为连云港市连云区人民政府。（15）非标准化债权类资产：融资人为盐城市大丰区谐城实业发展有限公司。融资人经营正常，是依法设立的国有公司，主要股东为盐城市大丰区城市建设集团有限公司，实际控制人为江苏省盐城市大丰区人民政府。（16）非标准化债权类资产：融资人为南京市高淳区建设发展集团有限公司。融资人经营正常，是依法设立的国有公司，主要股东为南京市高淳区人民政府国有资产监督管理办公室，实际控制人为南京市高淳区人民政府国有资产监督管理办公室。（17）非标准化债权类资产：融资人为宿迁市运河港区开发集团有限公司。融资人经营正常，是依法设立的国有公司，主要股东为宿迁产业发展集团有限公司、宿迁市惠农产业发展股份有限公司，实际控制人为宿迁市人民政府。（18）非标准化债权类资产：融资人为仪征市水交投资有限公司。融资人经营正常，是依法设立的国有公司，主要股东为仪征市水交产业投资有限公司，兴田国际投资有限公司，实际控制人为仪征市财政局(仪征市政府国有资产监督管理办公室)。（19）非标准化债权类资产：融资人为盐城高新区投资集团有限公司。融资人经营正常，是依法设立的国有公司，主要股东为盐城高新产业控股集团有限公司，实际控制人为盐城市人民政府。（20）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21）非标准化债权类资产：融资人为象山县滨海投资有限公司。融资人经营正常，是依法设立的国有公司，主要股东为宁波象开建设发展有限公司、浙江省财务开发有限责任公司，实际控制人为象山县国有资产管理局。（22）非标准化债权类资产：融资人为燕舞集团有限公司。融资人经营正常，是依法设立的国有公司，主要股东为盐城市人民政府、盐城市城市资产投资集团有限公司、江苏悦达集团有限公司，实际控制人为盐城市人民政府。（23）非标准化债权类资产：融资人为江苏盐城港控股集团有限公司。融资人经营正常，是依法设立的国有公司，主要股东为盐城市大丰区人民政府、盐城市交通投资建设控股集团有限公司、盐城市海兴集团有限公司，江苏省盐城市滨海县人民政府，江苏省盐城市射阳县人民政府，江苏省盐城市响水县人民政府及盐城市政府国有资产监督管理委员会，实际控制人为盐城市人民政府。（24）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25）非标准化债权类资产：融资人为温州瓯海科技产业发展集团有限公司。融资人经营正常，是依法设立的国有公司，主要股东为温州瓯海产业控股有限公司，实际控制人为温州市瓯海区国有资产管理办公室。（26）非标准化债权类资产：融资人为邳州市交通控股集团有限公司。融资人经营正常，是依法设立的国有公司，主要股东为邳州市交通投资发展集团有限公司，实际控制人为邳州市财政局。（27）非标准化债权类资产：融资人为如东县民泰城乡建设工程有限公司。融资人经营正常，是依法设立的国有公司，主要股东为如东县金鑫交通工程建设投资有限公司，实际控制人为如东县投资管理办公室。（28）非标准化债权类资产：融资人为无锡市惠山文商旅集团有限公司。融资人经营正常，是依法设立的国有公司，主要股东为无锡惠同控股集团有限公司、无锡惠山经济开发区开发建设总公司、无锡市惠山区生产力促进中心，实际控制人为无锡市惠山区国有资产管理办公室。（29）非标准化债权类资产：融资人为无锡锡山资产经营管理有限公司。融资人经营正常，是依法设立的国有公司，主要股东为无锡市锡州产城控股集团有限公司、无锡市锡山区国有企业改革发展服务中心，实际控制人为无锡市锡山区国有企业改革发展服务中心。（30）非标准化债权类资产：融资人为江苏钟吾城乡投资发展集团有限公司。融资人经营正常，是依法设立的国有公司，主要股东为徐州市人民政府，实际控制人为徐州市人民政府。（31）非标准化债权类资产：融资人为泰州医药城控股集团有限公司。融资人经营正常，是依法设立的国有公司，主要股东为泰州医药高新技术产业开发区管理委员会，实际控制人为泰州医药高新技术产业开发区管理委员会。（32）非标准化债权类资产：融资人为泰州国控投资集团有限公司。融资人经营正常，是依法设立的国有公司，主要股东为泰州市政府国有资产监督管理委员会，实际控制人为泰州市政府国有资产监督管理委员会。（33）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34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35）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36）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37）收益凭证：融资人为华泰证券股份有限公司。融资人经营正常，是依法设立的国有公司，主要股东为江苏省国信集团有限公司、香港中央结算（代理人）有限公司、江苏交通控股有限公司，无实际控制人。（38）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39）收益凭证：融资人为申万宏源证券有限公司。融资人经营正常，</w:t>
      </w:r>
      <w:r>
        <w:rPr>
          <w:rFonts w:hint="eastAsia" w:ascii="楷体" w:hAnsi="楷体" w:eastAsia="楷体" w:cs="楷体"/>
          <w:color w:val="auto"/>
          <w:kern w:val="2"/>
          <w:sz w:val="21"/>
          <w:szCs w:val="21"/>
          <w:highlight w:val="none"/>
          <w:lang w:val="en-US" w:eastAsia="zh-CN" w:bidi="ar-SA"/>
        </w:rPr>
        <w:t>是依法设立的国有公司，主要股东为申万宏源集团股份有限公司，实际控制人为中央汇金投资有限责任公司。（40）收益凭证：融资人为东方证券股份有限公司。融资人经营正常，是依法设立的国有公司，主要股东为申能（集团）有限公司、香港中央结算（代理人）有限公司、上海海烟投资管理有限公司，实际控制人为上海市国有资产监督管理委员会。（41）收益凭证：融资人为浙商证券股份有限公司。融资人经营正常，是依法设立的国有公司，主要股东为浙江上三高速公路有限公司、台州市金融投资集团有限公司，实际控制人为浙江省交通投资集团有限公司。（42）融资人为国投证券股份有限公司。融资人经营正常，是依法设立的国有公司，主要股东为国投资本股份有限公司、上海毅胜投资有限公司，实际控制人为国家开发投资集团有限公司。</w:t>
      </w:r>
    </w:p>
    <w:p>
      <w:pPr>
        <w:numPr>
          <w:ilvl w:val="-1"/>
          <w:numId w:val="0"/>
        </w:numPr>
        <w:ind w:firstLine="558" w:firstLineChars="266"/>
        <w:rPr>
          <w:rFonts w:hint="eastAsia" w:ascii="楷体" w:hAnsi="楷体" w:eastAsia="楷体"/>
          <w:sz w:val="21"/>
          <w:szCs w:val="21"/>
        </w:rPr>
      </w:pPr>
      <w:r>
        <w:rPr>
          <w:rFonts w:hint="eastAsia" w:ascii="楷体" w:hAnsi="楷体" w:eastAsia="楷体" w:cs="楷体"/>
          <w:color w:val="auto"/>
          <w:kern w:val="2"/>
          <w:sz w:val="21"/>
          <w:szCs w:val="21"/>
          <w:highlight w:val="none"/>
          <w:lang w:val="en-US" w:eastAsia="zh-CN" w:bidi="ar-SA"/>
        </w:rPr>
        <w:t>（1）-（2）各资产到期日不超过理财产品投资周期终止日，循环期不还本、摊还期过手摊还本息；（3）-（32）各资产到期日不超过理财产品投资周期终止日，定期付息、到期一次性还本；（33）-（42）各资产到期日不超过理财产品投资周期终止日，到期一次性还本付息。</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b w:val="0"/>
          <w:bCs/>
          <w:color w:val="auto"/>
          <w:sz w:val="21"/>
          <w:szCs w:val="21"/>
          <w:highlight w:val="none"/>
          <w:u w:val="none"/>
        </w:rPr>
        <w:t>非标准化债权类资产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lang w:val="en-US" w:eastAsia="zh-CN"/>
        </w:rPr>
      </w:pP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b w:val="0"/>
          <w:bCs w:val="0"/>
          <w:sz w:val="21"/>
          <w:szCs w:val="21"/>
          <w:lang w:val="en-US" w:eastAsia="zh-CN"/>
        </w:rPr>
      </w:pP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916153"/>
    <w:rsid w:val="01C11F94"/>
    <w:rsid w:val="01DA571A"/>
    <w:rsid w:val="01F11ABC"/>
    <w:rsid w:val="02342294"/>
    <w:rsid w:val="02394C4E"/>
    <w:rsid w:val="023B31B5"/>
    <w:rsid w:val="02706D07"/>
    <w:rsid w:val="027B1BEB"/>
    <w:rsid w:val="02B04479"/>
    <w:rsid w:val="02BB217A"/>
    <w:rsid w:val="02EE64DC"/>
    <w:rsid w:val="030516AD"/>
    <w:rsid w:val="0362437B"/>
    <w:rsid w:val="03B26B31"/>
    <w:rsid w:val="03E91BF7"/>
    <w:rsid w:val="03FC3F39"/>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83C4181"/>
    <w:rsid w:val="08494B4C"/>
    <w:rsid w:val="08545039"/>
    <w:rsid w:val="087E378B"/>
    <w:rsid w:val="08C87576"/>
    <w:rsid w:val="099730C7"/>
    <w:rsid w:val="09BB6FD3"/>
    <w:rsid w:val="09E64105"/>
    <w:rsid w:val="0A3E25DB"/>
    <w:rsid w:val="0AA20035"/>
    <w:rsid w:val="0B3550F2"/>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128F5"/>
    <w:rsid w:val="0E995783"/>
    <w:rsid w:val="0EA24D8E"/>
    <w:rsid w:val="0EBD0E3B"/>
    <w:rsid w:val="0EFD7A26"/>
    <w:rsid w:val="0F1B4A58"/>
    <w:rsid w:val="0F1B4AB3"/>
    <w:rsid w:val="0F2D7FC5"/>
    <w:rsid w:val="0FA551A3"/>
    <w:rsid w:val="0FD22F01"/>
    <w:rsid w:val="100459CF"/>
    <w:rsid w:val="106A7BFD"/>
    <w:rsid w:val="109A102D"/>
    <w:rsid w:val="109E1350"/>
    <w:rsid w:val="109F6DD2"/>
    <w:rsid w:val="10B72620"/>
    <w:rsid w:val="10D208A6"/>
    <w:rsid w:val="11022343"/>
    <w:rsid w:val="111D76A0"/>
    <w:rsid w:val="1137604C"/>
    <w:rsid w:val="1167461D"/>
    <w:rsid w:val="118601D5"/>
    <w:rsid w:val="11C449B6"/>
    <w:rsid w:val="12136ABA"/>
    <w:rsid w:val="121A7943"/>
    <w:rsid w:val="121F3DCB"/>
    <w:rsid w:val="12627D38"/>
    <w:rsid w:val="126807AF"/>
    <w:rsid w:val="126877DE"/>
    <w:rsid w:val="12705D8B"/>
    <w:rsid w:val="1279795D"/>
    <w:rsid w:val="12906DA3"/>
    <w:rsid w:val="12E2190B"/>
    <w:rsid w:val="130762C7"/>
    <w:rsid w:val="130A1945"/>
    <w:rsid w:val="132C05F4"/>
    <w:rsid w:val="133603BC"/>
    <w:rsid w:val="13566046"/>
    <w:rsid w:val="1363315E"/>
    <w:rsid w:val="13813EDF"/>
    <w:rsid w:val="13BA3C51"/>
    <w:rsid w:val="142E3B87"/>
    <w:rsid w:val="147C5095"/>
    <w:rsid w:val="14AE7D5C"/>
    <w:rsid w:val="14EA3140"/>
    <w:rsid w:val="151627A4"/>
    <w:rsid w:val="15250560"/>
    <w:rsid w:val="15452BE9"/>
    <w:rsid w:val="15661276"/>
    <w:rsid w:val="15961DF8"/>
    <w:rsid w:val="15C23F41"/>
    <w:rsid w:val="15D95D65"/>
    <w:rsid w:val="16321C77"/>
    <w:rsid w:val="16452649"/>
    <w:rsid w:val="165A010B"/>
    <w:rsid w:val="1696780D"/>
    <w:rsid w:val="16997C28"/>
    <w:rsid w:val="16DB02E7"/>
    <w:rsid w:val="16E82A20"/>
    <w:rsid w:val="17E11F5A"/>
    <w:rsid w:val="17F83B61"/>
    <w:rsid w:val="18563155"/>
    <w:rsid w:val="18600FD0"/>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5A546C"/>
    <w:rsid w:val="1BB6506B"/>
    <w:rsid w:val="1BC003D1"/>
    <w:rsid w:val="1BC94B68"/>
    <w:rsid w:val="1BF53974"/>
    <w:rsid w:val="1C1B3B29"/>
    <w:rsid w:val="1C4231EC"/>
    <w:rsid w:val="1C512181"/>
    <w:rsid w:val="1D505225"/>
    <w:rsid w:val="1DA43FDF"/>
    <w:rsid w:val="1E0972D4"/>
    <w:rsid w:val="1E315B06"/>
    <w:rsid w:val="1E3C6829"/>
    <w:rsid w:val="1E5B385B"/>
    <w:rsid w:val="1E747638"/>
    <w:rsid w:val="1EB340DE"/>
    <w:rsid w:val="1F111238"/>
    <w:rsid w:val="1F603109"/>
    <w:rsid w:val="1F9E2BED"/>
    <w:rsid w:val="1FBB7F9F"/>
    <w:rsid w:val="1FC73DB2"/>
    <w:rsid w:val="1FC85FB0"/>
    <w:rsid w:val="1FCD5CBB"/>
    <w:rsid w:val="200E39C9"/>
    <w:rsid w:val="201C12BD"/>
    <w:rsid w:val="20220C48"/>
    <w:rsid w:val="203F2777"/>
    <w:rsid w:val="205E2E63"/>
    <w:rsid w:val="20862AD5"/>
    <w:rsid w:val="208D0A85"/>
    <w:rsid w:val="20A5280C"/>
    <w:rsid w:val="20D359FB"/>
    <w:rsid w:val="20E556F1"/>
    <w:rsid w:val="21361C5E"/>
    <w:rsid w:val="2185500C"/>
    <w:rsid w:val="21893A13"/>
    <w:rsid w:val="219707AA"/>
    <w:rsid w:val="22046BDF"/>
    <w:rsid w:val="222A579A"/>
    <w:rsid w:val="22386D07"/>
    <w:rsid w:val="22480419"/>
    <w:rsid w:val="22902F40"/>
    <w:rsid w:val="22DC376E"/>
    <w:rsid w:val="22ED32DA"/>
    <w:rsid w:val="22FD3574"/>
    <w:rsid w:val="231C6AB5"/>
    <w:rsid w:val="233F30E4"/>
    <w:rsid w:val="23593C8E"/>
    <w:rsid w:val="23615817"/>
    <w:rsid w:val="23727724"/>
    <w:rsid w:val="239F40F6"/>
    <w:rsid w:val="23AA2793"/>
    <w:rsid w:val="23ED3B3C"/>
    <w:rsid w:val="242E4F6B"/>
    <w:rsid w:val="24CA7BB8"/>
    <w:rsid w:val="24CE1B37"/>
    <w:rsid w:val="24FA6D92"/>
    <w:rsid w:val="25012D45"/>
    <w:rsid w:val="250550E5"/>
    <w:rsid w:val="2536069B"/>
    <w:rsid w:val="25374980"/>
    <w:rsid w:val="254734B9"/>
    <w:rsid w:val="2550672C"/>
    <w:rsid w:val="25624188"/>
    <w:rsid w:val="25BD0FD2"/>
    <w:rsid w:val="263B5F44"/>
    <w:rsid w:val="265A1DE6"/>
    <w:rsid w:val="26690F27"/>
    <w:rsid w:val="26694895"/>
    <w:rsid w:val="26A12F28"/>
    <w:rsid w:val="26AC79F8"/>
    <w:rsid w:val="26B91D54"/>
    <w:rsid w:val="26E75D9A"/>
    <w:rsid w:val="26E90667"/>
    <w:rsid w:val="26F43175"/>
    <w:rsid w:val="274A0B5C"/>
    <w:rsid w:val="279142F8"/>
    <w:rsid w:val="27FA7E2E"/>
    <w:rsid w:val="280B1A43"/>
    <w:rsid w:val="28167DD4"/>
    <w:rsid w:val="287A6F6C"/>
    <w:rsid w:val="288E0F4E"/>
    <w:rsid w:val="28B0474F"/>
    <w:rsid w:val="28B66659"/>
    <w:rsid w:val="28EF5796"/>
    <w:rsid w:val="28F60FCD"/>
    <w:rsid w:val="29345630"/>
    <w:rsid w:val="29522941"/>
    <w:rsid w:val="29855A2C"/>
    <w:rsid w:val="29B92A03"/>
    <w:rsid w:val="29CE7219"/>
    <w:rsid w:val="2A524006"/>
    <w:rsid w:val="2A5C719F"/>
    <w:rsid w:val="2A832D10"/>
    <w:rsid w:val="2AA51C8D"/>
    <w:rsid w:val="2AF12700"/>
    <w:rsid w:val="2B221E6C"/>
    <w:rsid w:val="2B3631F4"/>
    <w:rsid w:val="2B575927"/>
    <w:rsid w:val="2B797161"/>
    <w:rsid w:val="2B9D3E9D"/>
    <w:rsid w:val="2C4058A5"/>
    <w:rsid w:val="2CE341B5"/>
    <w:rsid w:val="2D11017C"/>
    <w:rsid w:val="2D2626A0"/>
    <w:rsid w:val="2DBB2B93"/>
    <w:rsid w:val="2DDC0B49"/>
    <w:rsid w:val="2E407A81"/>
    <w:rsid w:val="2E6D5504"/>
    <w:rsid w:val="2E835E5F"/>
    <w:rsid w:val="2E8A38BB"/>
    <w:rsid w:val="2E9559D9"/>
    <w:rsid w:val="2E9F679E"/>
    <w:rsid w:val="2EA56E27"/>
    <w:rsid w:val="2F3015A3"/>
    <w:rsid w:val="2F5219B0"/>
    <w:rsid w:val="2F6A13F9"/>
    <w:rsid w:val="2F7E3A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727D99"/>
    <w:rsid w:val="34750B27"/>
    <w:rsid w:val="347A39E3"/>
    <w:rsid w:val="34860FB8"/>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A61E5A"/>
    <w:rsid w:val="37CA14FC"/>
    <w:rsid w:val="37F6376B"/>
    <w:rsid w:val="38005C99"/>
    <w:rsid w:val="3806789C"/>
    <w:rsid w:val="38324F36"/>
    <w:rsid w:val="396430B4"/>
    <w:rsid w:val="398C207A"/>
    <w:rsid w:val="399651CC"/>
    <w:rsid w:val="39E64E78"/>
    <w:rsid w:val="3A2F3A82"/>
    <w:rsid w:val="3A2F453A"/>
    <w:rsid w:val="3A6A61E5"/>
    <w:rsid w:val="3ABF58EF"/>
    <w:rsid w:val="3AC274FB"/>
    <w:rsid w:val="3AC86100"/>
    <w:rsid w:val="3ACC2A06"/>
    <w:rsid w:val="3B20468F"/>
    <w:rsid w:val="3B316DAA"/>
    <w:rsid w:val="3B372FD2"/>
    <w:rsid w:val="3B8C51C4"/>
    <w:rsid w:val="3BAF51F7"/>
    <w:rsid w:val="3BB74B40"/>
    <w:rsid w:val="3BC8097B"/>
    <w:rsid w:val="3C565716"/>
    <w:rsid w:val="3CA73211"/>
    <w:rsid w:val="3CC938CE"/>
    <w:rsid w:val="3CD97263"/>
    <w:rsid w:val="3D19224B"/>
    <w:rsid w:val="3DC06319"/>
    <w:rsid w:val="3E390124"/>
    <w:rsid w:val="3E3C7880"/>
    <w:rsid w:val="3E4F4139"/>
    <w:rsid w:val="3ED33ABA"/>
    <w:rsid w:val="3EDC31B1"/>
    <w:rsid w:val="3F366D42"/>
    <w:rsid w:val="3F3B3EDB"/>
    <w:rsid w:val="3F522DEF"/>
    <w:rsid w:val="3F8A45CE"/>
    <w:rsid w:val="3FAB6D01"/>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60696"/>
    <w:rsid w:val="43CA7AC6"/>
    <w:rsid w:val="43DD1CAC"/>
    <w:rsid w:val="43ED3FBD"/>
    <w:rsid w:val="44044239"/>
    <w:rsid w:val="442A5561"/>
    <w:rsid w:val="44524527"/>
    <w:rsid w:val="447F71E8"/>
    <w:rsid w:val="451A06ED"/>
    <w:rsid w:val="45245151"/>
    <w:rsid w:val="45456FB2"/>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4A71CD"/>
    <w:rsid w:val="49582C60"/>
    <w:rsid w:val="495D6DB6"/>
    <w:rsid w:val="496E5595"/>
    <w:rsid w:val="497B6BF6"/>
    <w:rsid w:val="499F73AD"/>
    <w:rsid w:val="49B83F7E"/>
    <w:rsid w:val="4A007BF5"/>
    <w:rsid w:val="4A06662F"/>
    <w:rsid w:val="4A0D148A"/>
    <w:rsid w:val="4A4009DF"/>
    <w:rsid w:val="4A6F5CAB"/>
    <w:rsid w:val="4ABD162D"/>
    <w:rsid w:val="4AD743D6"/>
    <w:rsid w:val="4B80633B"/>
    <w:rsid w:val="4B8E3F04"/>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66112F"/>
    <w:rsid w:val="4EB124A8"/>
    <w:rsid w:val="4EB57E15"/>
    <w:rsid w:val="4EF51F5E"/>
    <w:rsid w:val="4EFB1622"/>
    <w:rsid w:val="4F1D45B9"/>
    <w:rsid w:val="4F3141FC"/>
    <w:rsid w:val="4F3B33EB"/>
    <w:rsid w:val="4F5E5E3A"/>
    <w:rsid w:val="4F833B49"/>
    <w:rsid w:val="504D489E"/>
    <w:rsid w:val="505C2070"/>
    <w:rsid w:val="50AC6DEA"/>
    <w:rsid w:val="50B618F8"/>
    <w:rsid w:val="50B9327D"/>
    <w:rsid w:val="50D13718"/>
    <w:rsid w:val="513656C9"/>
    <w:rsid w:val="514805FC"/>
    <w:rsid w:val="517B26E0"/>
    <w:rsid w:val="51950F66"/>
    <w:rsid w:val="51EF617D"/>
    <w:rsid w:val="5219373E"/>
    <w:rsid w:val="522B089F"/>
    <w:rsid w:val="524C0A95"/>
    <w:rsid w:val="52780153"/>
    <w:rsid w:val="529326BB"/>
    <w:rsid w:val="52EF7092"/>
    <w:rsid w:val="52F50359"/>
    <w:rsid w:val="53155F5F"/>
    <w:rsid w:val="532064EF"/>
    <w:rsid w:val="539677B2"/>
    <w:rsid w:val="539B5F4C"/>
    <w:rsid w:val="53C2259E"/>
    <w:rsid w:val="53F44044"/>
    <w:rsid w:val="53FB4F58"/>
    <w:rsid w:val="54047DE6"/>
    <w:rsid w:val="556A6CE9"/>
    <w:rsid w:val="55F51240"/>
    <w:rsid w:val="561B6485"/>
    <w:rsid w:val="563271AC"/>
    <w:rsid w:val="56376A81"/>
    <w:rsid w:val="566B4A32"/>
    <w:rsid w:val="567D1A39"/>
    <w:rsid w:val="56812378"/>
    <w:rsid w:val="56A64B36"/>
    <w:rsid w:val="56EF4E6F"/>
    <w:rsid w:val="575431DF"/>
    <w:rsid w:val="57597E5D"/>
    <w:rsid w:val="576079D6"/>
    <w:rsid w:val="57C205D4"/>
    <w:rsid w:val="57E25806"/>
    <w:rsid w:val="581A432A"/>
    <w:rsid w:val="58381A4A"/>
    <w:rsid w:val="58DF20B1"/>
    <w:rsid w:val="58EF2ED0"/>
    <w:rsid w:val="5910752F"/>
    <w:rsid w:val="59144A6B"/>
    <w:rsid w:val="59205884"/>
    <w:rsid w:val="597317D1"/>
    <w:rsid w:val="597E4543"/>
    <w:rsid w:val="598A3524"/>
    <w:rsid w:val="59EE2A23"/>
    <w:rsid w:val="59F60EF3"/>
    <w:rsid w:val="5A093EC3"/>
    <w:rsid w:val="5A1070D1"/>
    <w:rsid w:val="5A564D65"/>
    <w:rsid w:val="5A650D5A"/>
    <w:rsid w:val="5A86434D"/>
    <w:rsid w:val="5A8702A8"/>
    <w:rsid w:val="5AAE6C43"/>
    <w:rsid w:val="5ADF54B5"/>
    <w:rsid w:val="5AF50649"/>
    <w:rsid w:val="5B591D6B"/>
    <w:rsid w:val="5B8174BD"/>
    <w:rsid w:val="5B956ECD"/>
    <w:rsid w:val="5C6D5D06"/>
    <w:rsid w:val="5C882FDD"/>
    <w:rsid w:val="5CB22E1D"/>
    <w:rsid w:val="5CBD3C3C"/>
    <w:rsid w:val="5CE337EF"/>
    <w:rsid w:val="5CEC570C"/>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6B6599"/>
    <w:rsid w:val="5FE307E1"/>
    <w:rsid w:val="5FEF45F4"/>
    <w:rsid w:val="5FFB2605"/>
    <w:rsid w:val="600C6122"/>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E536FC"/>
    <w:rsid w:val="620C10EB"/>
    <w:rsid w:val="620D0C17"/>
    <w:rsid w:val="624548B3"/>
    <w:rsid w:val="627E6257"/>
    <w:rsid w:val="628D12AE"/>
    <w:rsid w:val="629E645C"/>
    <w:rsid w:val="62C9149E"/>
    <w:rsid w:val="62E5554B"/>
    <w:rsid w:val="631B084A"/>
    <w:rsid w:val="632A023E"/>
    <w:rsid w:val="63894210"/>
    <w:rsid w:val="63CD32CA"/>
    <w:rsid w:val="63D351D4"/>
    <w:rsid w:val="63DD04FD"/>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682C0E"/>
    <w:rsid w:val="66A32DF3"/>
    <w:rsid w:val="66A717F9"/>
    <w:rsid w:val="66A9578C"/>
    <w:rsid w:val="66B76211"/>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67357B"/>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F1846"/>
    <w:rsid w:val="6D8E77D0"/>
    <w:rsid w:val="6D9A555F"/>
    <w:rsid w:val="6DC70BD2"/>
    <w:rsid w:val="6DFD7CD4"/>
    <w:rsid w:val="6E046353"/>
    <w:rsid w:val="6E3034D4"/>
    <w:rsid w:val="6F0C79BF"/>
    <w:rsid w:val="6F5161E8"/>
    <w:rsid w:val="6F722BE7"/>
    <w:rsid w:val="6FF51B3B"/>
    <w:rsid w:val="6FFC72C8"/>
    <w:rsid w:val="704A3BFB"/>
    <w:rsid w:val="709561C1"/>
    <w:rsid w:val="709642CC"/>
    <w:rsid w:val="70CF70D5"/>
    <w:rsid w:val="70F85622"/>
    <w:rsid w:val="711F0324"/>
    <w:rsid w:val="7156627F"/>
    <w:rsid w:val="71812947"/>
    <w:rsid w:val="719B567C"/>
    <w:rsid w:val="72210801"/>
    <w:rsid w:val="72827EA0"/>
    <w:rsid w:val="72CE224D"/>
    <w:rsid w:val="72E91E80"/>
    <w:rsid w:val="73022ABD"/>
    <w:rsid w:val="73AD1C57"/>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945D1E"/>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B85C40"/>
    <w:rsid w:val="7A385137"/>
    <w:rsid w:val="7A4D5F33"/>
    <w:rsid w:val="7AFC2853"/>
    <w:rsid w:val="7B425546"/>
    <w:rsid w:val="7B4A194A"/>
    <w:rsid w:val="7B5016A8"/>
    <w:rsid w:val="7B647B37"/>
    <w:rsid w:val="7B825B7C"/>
    <w:rsid w:val="7B931FE5"/>
    <w:rsid w:val="7B9F28DD"/>
    <w:rsid w:val="7BBF3DB1"/>
    <w:rsid w:val="7BC24B9B"/>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336680"/>
    <w:rsid w:val="7E93243A"/>
    <w:rsid w:val="7EB03B57"/>
    <w:rsid w:val="7EBA0FF5"/>
    <w:rsid w:val="7F3412A1"/>
    <w:rsid w:val="7FD32DC6"/>
    <w:rsid w:val="7FE60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18</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2026-01-27T02:32:00Z</cp:lastPrinted>
  <dcterms:modified xsi:type="dcterms:W3CDTF">2026-02-11T02:59:27Z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