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兴银理财【天天万利宝稳利净值型】理财产品</w:t>
      </w:r>
    </w:p>
    <w:permEnd w:id="0"/>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2026</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02</w:t>
      </w:r>
      <w:r>
        <w:rPr>
          <w:rStyle w:val="27"/>
          <w:rFonts w:hint="eastAsia" w:ascii="宋体" w:hAnsi="宋体" w:cs="Times New Roman"/>
          <w:sz w:val="32"/>
          <w:szCs w:val="32"/>
        </w:rPr>
        <w:t>】月</w:t>
      </w:r>
      <w:permEnd w:id="1"/>
    </w:p>
    <w:p>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"_Toc176181112"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_Toc176181112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"_Toc176181113"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_Toc176181113 \h </w:instrText>
          </w:r>
          <w:r>
            <w:fldChar w:fldCharType="separate"/>
          </w:r>
          <w:r>
            <w:t>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"_Toc176181114"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_Toc176181114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"_Toc176181115"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_Toc176181115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"_Toc176181116"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_Toc176181116 \h </w:instrText>
          </w:r>
          <w:r>
            <w:fldChar w:fldCharType="separate"/>
          </w:r>
          <w:r>
            <w:t>23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"_Toc176181117"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_Toc176181117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"_Toc176181118"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_Toc176181118 \h </w:instrText>
          </w:r>
          <w:r>
            <w:fldChar w:fldCharType="separate"/>
          </w:r>
          <w:r>
            <w:t>27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"_Toc176181119"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_Toc176181119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"_Toc176181120"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_Toc176181120 \h </w:instrText>
          </w:r>
          <w:r>
            <w:fldChar w:fldCharType="separate"/>
          </w:r>
          <w:r>
            <w:t>32</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"_Toc176181121"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_Toc176181121 \h </w:instrText>
          </w:r>
          <w:r>
            <w:fldChar w:fldCharType="separate"/>
          </w:r>
          <w:r>
            <w:t>35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"_Toc176181122"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_Toc176181122 \h </w:instrText>
          </w:r>
          <w:r>
            <w:fldChar w:fldCharType="separate"/>
          </w:r>
          <w:r>
            <w:t>37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"_Toc176181123"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_Toc176181123 \h </w:instrText>
          </w:r>
          <w:r>
            <w:fldChar w:fldCharType="separate"/>
          </w:r>
          <w:r>
            <w:t>40</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1112"/>
      <w:bookmarkStart w:id="2" w:name="_Toc92377130"/>
      <w:bookmarkStart w:id="3" w:name="_Toc116984884"/>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兴银理财【天天万利宝稳利净值型】理财产品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兴银理财【天天万利宝稳利净值型】理财产品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兴银理财【天天万利宝稳利净值型】理财产品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兴银理财【天天万利宝稳利净值型】理财产品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兴银理财【天天万利宝稳利净值型】理财产品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兴银理财【天天万利宝稳利净值型】理财产品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兴银理财【天天万利宝稳利净值型】理财产品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兴银理财【天天万利宝稳利净值型】理财产品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20</w:t>
      </w:r>
      <w:r>
        <w:rPr>
          <w:rFonts w:hint="eastAsia" w:asciiTheme="minorEastAsia" w:hAnsiTheme="minorEastAsia" w:eastAsiaTheme="minorEastAsia"/>
          <w:color w:val="auto"/>
          <w:sz w:val="18"/>
          <w:szCs w:val="18"/>
        </w:rPr>
        <w:t>）</w:t>
      </w:r>
      <w:r>
        <w:rPr>
          <w:rFonts w:hint="eastAsia" w:ascii="黑体" w:hAnsi="黑体" w:eastAsia="黑体" w:cs="仿宋_GB2312"/>
          <w:bCs/>
          <w:color w:val="auto"/>
          <w:sz w:val="18"/>
          <w:szCs w:val="18"/>
        </w:rPr>
        <w:t>★</w:t>
      </w:r>
      <w:r>
        <w:rPr>
          <w:rFonts w:hint="eastAsia" w:asciiTheme="minorEastAsia" w:hAnsiTheme="minorEastAsia" w:eastAsiaTheme="minorEastAsia"/>
          <w:color w:val="auto"/>
          <w:sz w:val="18"/>
          <w:szCs w:val="18"/>
        </w:rPr>
        <w:t>预约申购</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指投资者在一段特定期间内提交预约申购申请，该预约申购申请在销售文件约定的申购申请日内自动转化为正式的申购申请。</w:t>
      </w:r>
      <w:r>
        <w:rPr>
          <w:rFonts w:asciiTheme="minorEastAsia" w:hAnsiTheme="minorEastAsia" w:eastAsiaTheme="minorEastAsia"/>
          <w:bCs/>
          <w:color w:val="auto"/>
          <w:sz w:val="18"/>
          <w:szCs w:val="18"/>
        </w:rPr>
        <w:t>提交预约申购</w:t>
      </w:r>
      <w:r>
        <w:rPr>
          <w:rFonts w:hint="eastAsia" w:asciiTheme="minorEastAsia" w:hAnsiTheme="minorEastAsia" w:eastAsiaTheme="minorEastAsia"/>
          <w:bCs/>
          <w:color w:val="auto"/>
          <w:sz w:val="18"/>
          <w:szCs w:val="18"/>
        </w:rPr>
        <w:t>申请</w:t>
      </w:r>
      <w:r>
        <w:rPr>
          <w:rFonts w:asciiTheme="minorEastAsia" w:hAnsiTheme="minorEastAsia" w:eastAsiaTheme="minorEastAsia"/>
          <w:bCs/>
          <w:color w:val="auto"/>
          <w:sz w:val="18"/>
          <w:szCs w:val="18"/>
        </w:rPr>
        <w:t>并不代表申购成功，产品管理人将在申购确认日确认投资者是否申购成功</w:t>
      </w:r>
      <w:r>
        <w:rPr>
          <w:rFonts w:hint="eastAsia" w:asciiTheme="minorEastAsia" w:hAnsiTheme="minorEastAsia" w:eastAsiaTheme="minorEastAsia"/>
          <w:bCs/>
          <w:color w:val="auto"/>
          <w:sz w:val="18"/>
          <w:szCs w:val="18"/>
        </w:rPr>
        <w:t>。</w:t>
      </w:r>
    </w:p>
    <w:p>
      <w:pPr>
        <w:spacing w:line="360" w:lineRule="auto"/>
        <w:ind w:right="-107" w:rightChars="-51" w:firstLine="360" w:firstLineChars="200"/>
        <w:rPr>
          <w:rFonts w:asciiTheme="minorEastAsia" w:hAnsiTheme="minorEastAsia" w:eastAsiaTheme="minorEastAsia"/>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21</w:t>
      </w:r>
      <w:r>
        <w:rPr>
          <w:rFonts w:hint="eastAsia" w:asciiTheme="minorEastAsia" w:hAnsiTheme="minorEastAsia" w:eastAsiaTheme="minorEastAsia"/>
          <w:sz w:val="18"/>
          <w:szCs w:val="18"/>
        </w:rPr>
        <w:t>）</w:t>
      </w:r>
      <w:r>
        <w:rPr>
          <w:rFonts w:hint="eastAsia" w:ascii="黑体" w:hAnsi="黑体" w:eastAsia="黑体" w:cs="仿宋_GB2312"/>
          <w:bCs/>
          <w:sz w:val="18"/>
          <w:szCs w:val="18"/>
        </w:rPr>
        <w:t>★</w:t>
      </w:r>
      <w:r>
        <w:rPr>
          <w:rFonts w:hint="eastAsia" w:asciiTheme="minorEastAsia" w:hAnsiTheme="minorEastAsia" w:eastAsiaTheme="minorEastAsia"/>
          <w:sz w:val="18"/>
          <w:szCs w:val="18"/>
        </w:rPr>
        <w:t>预约赎回</w:t>
      </w:r>
      <w:r>
        <w:rPr>
          <w:rFonts w:asciiTheme="minorEastAsia" w:hAnsiTheme="minorEastAsia" w:eastAsiaTheme="minorEastAsia"/>
          <w:sz w:val="18"/>
          <w:szCs w:val="18"/>
        </w:rPr>
        <w:t>:</w:t>
      </w:r>
      <w:r>
        <w:rPr>
          <w:rFonts w:hint="eastAsia" w:asciiTheme="minorEastAsia" w:hAnsiTheme="minorEastAsia" w:eastAsiaTheme="minorEastAsia"/>
          <w:sz w:val="18"/>
          <w:szCs w:val="18"/>
        </w:rPr>
        <w:t>指投资者在一段特定期间内提交预约赎回申请，该预约赎回申请在销售文件约定的赎回申请日内自动转化为正式的赎回申请。</w:t>
      </w:r>
      <w:r>
        <w:rPr>
          <w:rFonts w:asciiTheme="majorEastAsia" w:hAnsiTheme="majorEastAsia" w:eastAsiaTheme="majorEastAsia"/>
          <w:bCs/>
          <w:sz w:val="18"/>
          <w:szCs w:val="18"/>
        </w:rPr>
        <w:t>提交预约赎回</w:t>
      </w:r>
      <w:r>
        <w:rPr>
          <w:rFonts w:hint="eastAsia" w:asciiTheme="majorEastAsia" w:hAnsiTheme="majorEastAsia" w:eastAsiaTheme="majorEastAsia"/>
          <w:bCs/>
          <w:sz w:val="18"/>
          <w:szCs w:val="18"/>
        </w:rPr>
        <w:t>申请</w:t>
      </w:r>
      <w:r>
        <w:rPr>
          <w:rFonts w:asciiTheme="majorEastAsia" w:hAnsiTheme="majorEastAsia" w:eastAsiaTheme="majorEastAsia"/>
          <w:bCs/>
          <w:sz w:val="18"/>
          <w:szCs w:val="18"/>
        </w:rPr>
        <w:t>并不代表赎回成功，产品管理人将在赎回确认日确认投资者是否赎回成功</w:t>
      </w:r>
      <w:r>
        <w:rPr>
          <w:rFonts w:hint="eastAsia" w:asciiTheme="majorEastAsia" w:hAnsiTheme="majorEastAsia" w:eastAsiaTheme="majorEastAsia"/>
          <w:bCs/>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22</w:t>
      </w:r>
      <w:r>
        <w:rPr>
          <w:rFonts w:hint="eastAsia" w:asciiTheme="majorEastAsia" w:hAnsiTheme="majorEastAsia" w:eastAsiaTheme="majorEastAsia"/>
          <w:bCs/>
          <w:color w:val="auto"/>
          <w:sz w:val="18"/>
          <w:szCs w:val="18"/>
        </w:rPr>
        <w:t>）巨额赎回：在本理财产品预约赎回期中，本产品的累计产品份额净预约赎回申请（预约赎回申请总份额扣除预约申购总份额后的余额</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下同）之和达到赎回日上一日产品总份额的约定百分比，为巨额赎回。</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24）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cs="仿宋_GB2312"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（11）★投资周期：投资周期指</w:t>
      </w:r>
      <w:r>
        <w:rPr>
          <w:rFonts w:hint="eastAsia" w:asciiTheme="minorEastAsia" w:hAnsiTheme="minorEastAsia" w:eastAsiaTheme="minorEastAsia"/>
          <w:bCs/>
          <w:color w:val="auto"/>
          <w:sz w:val="18"/>
          <w:szCs w:val="18"/>
        </w:rPr>
        <w:t>投资者</w:t>
      </w:r>
      <w:r>
        <w:rPr>
          <w:rFonts w:asciiTheme="minorEastAsia" w:hAnsiTheme="minorEastAsia" w:eastAsiaTheme="minorEastAsia"/>
          <w:bCs/>
          <w:color w:val="auto"/>
          <w:sz w:val="18"/>
          <w:szCs w:val="18"/>
        </w:rPr>
        <w:t>持有理财产品份额</w:t>
      </w:r>
      <w:r>
        <w:rPr>
          <w:rFonts w:hint="eastAsia" w:asciiTheme="minorEastAsia" w:hAnsiTheme="minorEastAsia" w:eastAsiaTheme="minorEastAsia"/>
          <w:bCs/>
          <w:color w:val="auto"/>
          <w:sz w:val="18"/>
          <w:szCs w:val="18"/>
        </w:rPr>
        <w:t>所对应的理财资金由产品管理人进行投资运作的一段完整期间，</w:t>
      </w:r>
      <w:r>
        <w:rPr>
          <w:rFonts w:hint="eastAsia" w:asciiTheme="majorEastAsia" w:hAnsiTheme="majorEastAsia" w:eastAsiaTheme="majorEastAsia"/>
          <w:bCs/>
          <w:color w:val="auto"/>
          <w:sz w:val="18"/>
          <w:szCs w:val="18"/>
        </w:rPr>
        <w:t>每一个投资周期</w:t>
      </w:r>
      <w:r>
        <w:rPr>
          <w:rFonts w:hint="eastAsia" w:cs="仿宋_GB2312" w:asciiTheme="majorEastAsia" w:hAnsiTheme="majorEastAsia" w:eastAsiaTheme="majorEastAsia"/>
          <w:color w:val="auto"/>
          <w:sz w:val="18"/>
          <w:szCs w:val="18"/>
        </w:rPr>
        <w:t>为该</w:t>
      </w:r>
      <w:r>
        <w:rPr>
          <w:rFonts w:hint="eastAsia" w:asciiTheme="majorEastAsia" w:hAnsiTheme="majorEastAsia" w:eastAsiaTheme="majorEastAsia"/>
          <w:bCs/>
          <w:color w:val="auto"/>
          <w:sz w:val="18"/>
          <w:szCs w:val="18"/>
        </w:rPr>
        <w:t>投资周期起始日</w:t>
      </w:r>
      <w:r>
        <w:rPr>
          <w:rFonts w:hint="eastAsia" w:cs="仿宋_GB2312" w:asciiTheme="majorEastAsia" w:hAnsiTheme="majorEastAsia" w:eastAsiaTheme="majorEastAsia"/>
          <w:color w:val="auto"/>
          <w:sz w:val="18"/>
          <w:szCs w:val="18"/>
        </w:rPr>
        <w:t>至该</w:t>
      </w:r>
      <w:r>
        <w:rPr>
          <w:rFonts w:hint="eastAsia" w:asciiTheme="majorEastAsia" w:hAnsiTheme="majorEastAsia" w:eastAsiaTheme="majorEastAsia"/>
          <w:bCs/>
          <w:color w:val="auto"/>
          <w:sz w:val="18"/>
          <w:szCs w:val="18"/>
        </w:rPr>
        <w:t>投资周期</w:t>
      </w:r>
      <w:r>
        <w:rPr>
          <w:rFonts w:hint="eastAsia" w:cs="仿宋_GB2312" w:asciiTheme="majorEastAsia" w:hAnsiTheme="majorEastAsia" w:eastAsiaTheme="majorEastAsia"/>
          <w:color w:val="auto"/>
          <w:sz w:val="18"/>
          <w:szCs w:val="18"/>
        </w:rPr>
        <w:t>终止日的理财期间。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投资周期起始日：指每一个投资周期开始的日期。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投资周期终止日：指每一个投资周期结束的日期。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（13）预约申购期：指投资者可以提交预约申购申请</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 xml:space="preserve">一段特定时间。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预约</w:t>
      </w:r>
      <w:r>
        <w:rPr>
          <w:rFonts w:asciiTheme="majorEastAsia" w:hAnsiTheme="majorEastAsia" w:eastAsiaTheme="majorEastAsia"/>
          <w:bCs/>
          <w:color w:val="auto"/>
          <w:sz w:val="18"/>
          <w:szCs w:val="18"/>
        </w:rPr>
        <w:t>赎回期</w:t>
      </w:r>
      <w:r>
        <w:rPr>
          <w:rFonts w:hint="eastAsia" w:asciiTheme="majorEastAsia" w:hAnsiTheme="majorEastAsia" w:eastAsiaTheme="majorEastAsia"/>
          <w:bCs/>
          <w:color w:val="auto"/>
          <w:sz w:val="18"/>
          <w:szCs w:val="18"/>
        </w:rPr>
        <w:t>：指投资者可以提交预约赎回申请的一段特定时间。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5</w:t>
      </w:r>
      <w:r>
        <w:rPr>
          <w:rFonts w:hint="eastAsia" w:asciiTheme="majorEastAsia" w:hAnsiTheme="majorEastAsia" w:eastAsiaTheme="majorEastAsia"/>
          <w:bCs/>
          <w:color w:val="auto"/>
          <w:sz w:val="18"/>
          <w:szCs w:val="18"/>
        </w:rPr>
        <w:t>）预约申购申请日：指投资者在预约申购期内任意一日提出预约申购申请的当日。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）预约赎回申请日：指投资者在预约</w:t>
      </w:r>
      <w:r>
        <w:rPr>
          <w:rFonts w:asciiTheme="majorEastAsia" w:hAnsiTheme="majorEastAsia" w:eastAsiaTheme="majorEastAsia"/>
          <w:bCs/>
          <w:color w:val="auto"/>
          <w:sz w:val="18"/>
          <w:szCs w:val="18"/>
        </w:rPr>
        <w:t>赎回</w:t>
      </w:r>
      <w:r>
        <w:rPr>
          <w:rFonts w:hint="eastAsia" w:asciiTheme="majorEastAsia" w:hAnsiTheme="majorEastAsia" w:eastAsiaTheme="majorEastAsia"/>
          <w:bCs/>
          <w:color w:val="auto"/>
          <w:sz w:val="18"/>
          <w:szCs w:val="18"/>
        </w:rPr>
        <w:t>期内任意一日提出预约赎回申请的当日。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）申购申请日：指投资者做出申购申请的当日。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）赎回申请日：指投资者做出赎回申请的当日。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）申购日：指产品管理人接受投资者申购申请的当日。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20</w:t>
      </w:r>
      <w:r>
        <w:rPr>
          <w:rFonts w:hint="eastAsia" w:asciiTheme="majorEastAsia" w:hAnsiTheme="majorEastAsia" w:eastAsiaTheme="majorEastAsia"/>
          <w:bCs/>
          <w:color w:val="auto"/>
          <w:sz w:val="18"/>
          <w:szCs w:val="18"/>
        </w:rPr>
        <w:t>）赎回日：指产品管理人接受投资者赎回申请的当日。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23</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pPr>
        <w:widowControl/>
        <w:spacing w:line="360" w:lineRule="auto"/>
        <w:jc w:val="left"/>
        <w:rPr>
          <w:rFonts w:ascii="宋体" w:hAnsi="宋体"/>
          <w:color w:val="000000"/>
          <w:kern w:val="0"/>
          <w:sz w:val="28"/>
          <w:szCs w:val="28"/>
        </w:rPr>
      </w:pPr>
      <w:r>
        <w:rPr>
          <w:rFonts w:hAnsi="宋体"/>
          <w:sz w:val="28"/>
          <w:szCs w:val="28"/>
        </w:rPr>
        <w:br w:type="page"/>
      </w:r>
    </w:p>
    <w:p>
      <w:pPr>
        <w:pStyle w:val="2"/>
        <w:spacing w:before="0" w:after="0" w:line="360" w:lineRule="auto"/>
        <w:jc w:val="center"/>
        <w:rPr>
          <w:rFonts w:hAnsi="宋体"/>
          <w:sz w:val="28"/>
          <w:szCs w:val="28"/>
        </w:rPr>
      </w:pPr>
      <w:bookmarkStart w:id="4" w:name="_Toc92377131"/>
      <w:bookmarkStart w:id="5" w:name="_Toc176181113"/>
      <w:bookmarkStart w:id="6" w:name="_Toc79154665"/>
      <w:bookmarkStart w:id="7" w:name="_Toc116984885"/>
      <w:r>
        <w:rPr>
          <w:rFonts w:hint="eastAsia" w:hAnsi="宋体"/>
          <w:sz w:val="28"/>
          <w:szCs w:val="28"/>
        </w:rPr>
        <w:t>第二条  理财产品基本情况</w:t>
      </w:r>
      <w:bookmarkEnd w:id="4"/>
      <w:bookmarkEnd w:id="5"/>
      <w:bookmarkEnd w:id="6"/>
      <w:r>
        <w:rPr>
          <w:rFonts w:hint="eastAsia" w:hAnsi="宋体"/>
          <w:sz w:val="28"/>
          <w:szCs w:val="28"/>
        </w:rPr>
        <w:t xml:space="preserve"> </w:t>
      </w:r>
      <w:bookmarkEnd w:id="7"/>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【兴业银行天天万利宝稳利2号净值型理财产品A款】</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sz w:val="18"/>
                <w:szCs w:val="18"/>
                <w:lang w:eastAsia="zh-CN"/>
              </w:rPr>
              <w:t>稳利恒盈A 6个月</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（适用【A】类份额）</w:t>
            </w:r>
          </w:p>
          <w:p>
            <w:pPr>
              <w:spacing w:line="360" w:lineRule="auto"/>
              <w:jc w:val="left"/>
              <w:rPr>
                <w:rFonts w:ascii="宋体" w:hAnsi="宋体"/>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宋体" w:hAnsi="宋体"/>
                <w:bCs/>
                <w:sz w:val="18"/>
                <w:szCs w:val="18"/>
                <w:lang w:eastAsia="zh-CN"/>
              </w:rPr>
              <w:t>稳利恒盈A 6个月B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（适用【B】类份额）</w:t>
            </w:r>
          </w:p>
          <w:p>
            <w:pPr>
              <w:widowControl/>
              <w:spacing w:line="360" w:lineRule="auto"/>
              <w:jc w:val="left"/>
              <w:rPr>
                <w:rFonts w:ascii="宋体" w:hAnsi="宋体"/>
                <w:kern w:val="0"/>
                <w:sz w:val="22"/>
              </w:rPr>
            </w:pPr>
            <w:r>
              <w:rPr>
                <w:rFonts w:hint="eastAsia" w:ascii="宋体" w:hAnsi="宋体"/>
                <w:bCs/>
                <w:sz w:val="18"/>
                <w:szCs w:val="18"/>
              </w:rPr>
              <w:t>【</w:t>
            </w:r>
            <w:r>
              <w:rPr>
                <w:rFonts w:hint="eastAsia" w:ascii="宋体" w:hAnsi="宋体"/>
                <w:bCs/>
                <w:sz w:val="18"/>
                <w:szCs w:val="18"/>
                <w:lang w:eastAsia="zh-CN"/>
              </w:rPr>
              <w:t>稳利恒盈A 6个月（惠享款）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Z7002020000018</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9K218021</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9K218021</w:t>
            </w:r>
            <w:r>
              <w:rPr>
                <w:rFonts w:hint="eastAsia" w:ascii="宋体" w:hAnsi="宋体"/>
                <w:bCs/>
                <w:sz w:val="18"/>
                <w:szCs w:val="18"/>
              </w:rPr>
              <w:t>】（适用【A】类份额）</w:t>
            </w:r>
          </w:p>
          <w:p>
            <w:pPr>
              <w:spacing w:line="360" w:lineRule="auto"/>
              <w:jc w:val="left"/>
              <w:rPr>
                <w:rFonts w:ascii="宋体" w:hAnsi="宋体"/>
                <w:bCs/>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9K218121</w:t>
            </w:r>
            <w:r>
              <w:rPr>
                <w:rFonts w:hint="eastAsia" w:ascii="宋体" w:hAnsi="宋体"/>
                <w:bCs/>
                <w:sz w:val="18"/>
                <w:szCs w:val="18"/>
              </w:rPr>
              <w:t>】（适用【B】类份额）</w:t>
            </w:r>
          </w:p>
          <w:p>
            <w:pPr>
              <w:spacing w:line="360" w:lineRule="auto"/>
              <w:jc w:val="left"/>
              <w:rPr>
                <w:rFonts w:hAnsi="宋体"/>
                <w:sz w:val="18"/>
                <w:szCs w:val="18"/>
              </w:rPr>
            </w:pP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9K218221</w:t>
            </w:r>
            <w:r>
              <w:rPr>
                <w:rFonts w:hint="eastAsia" w:ascii="宋体" w:hAnsi="宋体"/>
                <w:bCs/>
                <w:sz w:val="18"/>
                <w:szCs w:val="18"/>
              </w:rPr>
              <w:t>】（适用【</w:t>
            </w:r>
            <w:r>
              <w:rPr>
                <w:rFonts w:ascii="宋体" w:hAnsi="宋体"/>
                <w:bCs/>
                <w:sz w:val="18"/>
                <w:szCs w:val="18"/>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w:t>
            </w:r>
            <w:r>
              <w:rPr>
                <w:rFonts w:hint="eastAsia" w:ascii="宋体" w:hAnsi="宋体"/>
                <w:bCs/>
                <w:sz w:val="18"/>
                <w:szCs w:val="18"/>
              </w:rPr>
              <w:t>■</w:t>
            </w:r>
            <w:r>
              <w:rPr>
                <w:rFonts w:asciiTheme="majorEastAsia" w:hAnsiTheme="majorEastAsia" w:eastAsiaTheme="majorEastAsia"/>
                <w:bCs/>
                <w:sz w:val="18"/>
                <w:szCs w:val="18"/>
              </w:rPr>
              <w:t xml:space="preserve"> R2</w:t>
            </w:r>
            <w:r>
              <w:rPr>
                <w:rFonts w:hint="eastAsia" w:ascii="黑体" w:hAnsi="黑体" w:eastAsia="黑体" w:cs="黑体"/>
                <w:bCs/>
                <w:sz w:val="18"/>
                <w:szCs w:val="18"/>
              </w:rPr>
              <w:t>、□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30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pPr>
              <w:spacing w:line="360" w:lineRule="auto"/>
              <w:rPr>
                <w:rFonts w:cs="仿宋_GB2312" w:asciiTheme="majorEastAsia" w:hAnsiTheme="majorEastAsia" w:eastAsiaTheme="majorEastAsia"/>
                <w:kern w:val="0"/>
                <w:sz w:val="18"/>
                <w:szCs w:val="18"/>
              </w:rPr>
            </w:pPr>
            <w:r>
              <w:rPr>
                <w:rFonts w:hint="eastAsia" w:ascii="宋体" w:hAnsi="宋体"/>
                <w:bCs/>
                <w:sz w:val="18"/>
                <w:szCs w:val="18"/>
              </w:rPr>
              <w:t>■</w:t>
            </w:r>
            <w:r>
              <w:rPr>
                <w:rFonts w:hint="eastAsia" w:cs="仿宋_GB2312" w:asciiTheme="majorEastAsia" w:hAnsiTheme="majorEastAsia" w:eastAsiaTheme="majorEastAsia"/>
                <w:kern w:val="0"/>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lang w:val="en-US" w:eastAsia="zh-CN"/>
              </w:rPr>
              <w:t>【2018】年【07】月【24】日【11：00】至【2018】年【08】月【06】日【15：45】。</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lang w:val="en-US" w:eastAsia="zh-CN"/>
              </w:rPr>
              <w:t>【2018】年【08】月【07】日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cs="Times New Roman" w:asciiTheme="minorEastAsia" w:hAnsiTheme="minorEastAsia"/>
                <w:sz w:val="18"/>
                <w:szCs w:val="18"/>
              </w:rPr>
              <w:t>】年【</w:t>
            </w:r>
            <w:r>
              <w:rPr>
                <w:rFonts w:hint="eastAsia" w:cs="Times New Roman" w:asciiTheme="minorEastAsia" w:hAnsiTheme="minorEastAsia"/>
                <w:sz w:val="18"/>
                <w:szCs w:val="18"/>
              </w:rPr>
              <w:t>/】月【/】日（遇节假日顺延）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投资</w:t>
            </w:r>
            <w:r>
              <w:rPr>
                <w:rFonts w:asciiTheme="majorEastAsia" w:hAnsiTheme="majorEastAsia" w:eastAsiaTheme="majorEastAsia"/>
                <w:b/>
                <w:sz w:val="18"/>
                <w:szCs w:val="18"/>
              </w:rPr>
              <w:t>周期</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inorEastAsia" w:hAnsiTheme="minorEastAsia" w:eastAsiaTheme="minorEastAsia"/>
                <w:bCs/>
                <w:color w:val="000000" w:themeColor="text1"/>
                <w:sz w:val="18"/>
                <w:szCs w:val="18"/>
                <w14:textFill>
                  <w14:solidFill>
                    <w14:schemeClr w14:val="tx1"/>
                  </w14:solidFill>
                </w14:textFill>
              </w:rPr>
              <w:t>1</w:t>
            </w:r>
            <w:r>
              <w:rPr>
                <w:rFonts w:asciiTheme="majorEastAsia" w:hAnsiTheme="majorEastAsia" w:eastAsiaTheme="majorEastAsia"/>
                <w:bCs/>
                <w:color w:val="000000" w:themeColor="text1"/>
                <w:sz w:val="18"/>
                <w:szCs w:val="18"/>
                <w14:textFill>
                  <w14:solidFill>
                    <w14:schemeClr w14:val="tx1"/>
                  </w14:solidFill>
                </w14:textFill>
              </w:rPr>
              <w:t>.投资周期的设置</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w:t>
            </w:r>
            <w:r>
              <w:rPr>
                <w:rFonts w:hint="eastAsia" w:asciiTheme="majorEastAsia" w:hAnsiTheme="majorEastAsia" w:eastAsiaTheme="majorEastAsia"/>
                <w:bCs/>
                <w:color w:val="000000" w:themeColor="text1"/>
                <w:sz w:val="18"/>
                <w:szCs w:val="18"/>
                <w14:textFill>
                  <w14:solidFill>
                    <w14:schemeClr w14:val="tx1"/>
                  </w14:solidFill>
                </w14:textFill>
              </w:rPr>
              <w:t>投资周期指</w:t>
            </w:r>
            <w:r>
              <w:rPr>
                <w:rFonts w:hint="eastAsia" w:asciiTheme="minorEastAsia" w:hAnsiTheme="minorEastAsia" w:eastAsiaTheme="minorEastAsia"/>
                <w:bCs/>
                <w:color w:val="000000" w:themeColor="text1"/>
                <w:sz w:val="18"/>
                <w:szCs w:val="18"/>
                <w14:textFill>
                  <w14:solidFill>
                    <w14:schemeClr w14:val="tx1"/>
                  </w14:solidFill>
                </w14:textFill>
              </w:rPr>
              <w:t>投资者</w:t>
            </w:r>
            <w:r>
              <w:rPr>
                <w:rFonts w:asciiTheme="minorEastAsia" w:hAnsiTheme="minorEastAsia" w:eastAsiaTheme="minorEastAsia"/>
                <w:bCs/>
                <w:color w:val="000000" w:themeColor="text1"/>
                <w:sz w:val="18"/>
                <w:szCs w:val="18"/>
                <w14:textFill>
                  <w14:solidFill>
                    <w14:schemeClr w14:val="tx1"/>
                  </w14:solidFill>
                </w14:textFill>
              </w:rPr>
              <w:t>持有理财产品份额</w:t>
            </w:r>
            <w:r>
              <w:rPr>
                <w:rFonts w:hint="eastAsia" w:asciiTheme="minorEastAsia" w:hAnsiTheme="minorEastAsia" w:eastAsiaTheme="minorEastAsia"/>
                <w:bCs/>
                <w:color w:val="000000" w:themeColor="text1"/>
                <w:sz w:val="18"/>
                <w:szCs w:val="18"/>
                <w14:textFill>
                  <w14:solidFill>
                    <w14:schemeClr w14:val="tx1"/>
                  </w14:solidFill>
                </w14:textFill>
              </w:rPr>
              <w:t>所对应的理财资金由产品管理人进行投资运作的一段完整期间。</w:t>
            </w:r>
          </w:p>
          <w:p>
            <w:pPr>
              <w:spacing w:line="360" w:lineRule="auto"/>
              <w:rPr>
                <w:rFonts w:cs="仿宋_GB2312" w:asciiTheme="majorEastAsia" w:hAnsiTheme="majorEastAsia" w:eastAsiaTheme="majorEastAsia"/>
                <w:color w:val="000000" w:themeColor="text1"/>
                <w:kern w:val="0"/>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（2）每一个投资周期的期间：</w:t>
            </w:r>
            <w:r>
              <w:rPr>
                <w:rFonts w:asciiTheme="majorEastAsia" w:hAnsiTheme="majorEastAsia" w:eastAsiaTheme="majorEastAsia"/>
                <w:bCs/>
                <w:color w:val="000000" w:themeColor="text1"/>
                <w:sz w:val="18"/>
                <w:szCs w:val="18"/>
                <w14:textFill>
                  <w14:solidFill>
                    <w14:schemeClr w14:val="tx1"/>
                  </w14:solidFill>
                </w14:textFill>
              </w:rPr>
              <w:t>自</w:t>
            </w:r>
            <w:r>
              <w:rPr>
                <w:rFonts w:hint="eastAsia" w:asciiTheme="majorEastAsia" w:hAnsiTheme="majorEastAsia" w:eastAsiaTheme="majorEastAsia"/>
                <w:bCs/>
                <w:color w:val="000000" w:themeColor="text1"/>
                <w:sz w:val="18"/>
                <w:szCs w:val="18"/>
                <w14:textFill>
                  <w14:solidFill>
                    <w14:schemeClr w14:val="tx1"/>
                  </w14:solidFill>
                </w14:textFill>
              </w:rPr>
              <w:t>投资者持有理财产品份额的认购确认日或申购确认日起至持有该产品份额经历一个投资周期后的最近一个赎回确认日或产品终止日的期间</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asciiTheme="minorEastAsia" w:hAnsiTheme="minorEastAsia" w:eastAsiaTheme="min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正常情况下，本产品的一个投资周期为【6个月】</w:t>
            </w:r>
            <w:r>
              <w:rPr>
                <w:rFonts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投资周期存在长于或短于【6个月】的可能，投资者具体投资周期以本产品说明书“申购</w:t>
            </w:r>
            <w:r>
              <w:rPr>
                <w:rFonts w:asciiTheme="majorEastAsia" w:hAnsiTheme="majorEastAsia" w:eastAsiaTheme="majorEastAsia"/>
                <w:bCs/>
                <w:color w:val="000000" w:themeColor="text1"/>
                <w:sz w:val="18"/>
                <w:szCs w:val="18"/>
                <w14:textFill>
                  <w14:solidFill>
                    <w14:schemeClr w14:val="tx1"/>
                  </w14:solidFill>
                </w14:textFill>
              </w:rPr>
              <w:t>/赎回安排</w:t>
            </w:r>
            <w:r>
              <w:rPr>
                <w:rFonts w:hint="eastAsia" w:asciiTheme="majorEastAsia" w:hAnsiTheme="majorEastAsia" w:eastAsiaTheme="majorEastAsia"/>
                <w:bCs/>
                <w:color w:val="000000" w:themeColor="text1"/>
                <w:sz w:val="18"/>
                <w:szCs w:val="18"/>
                <w14:textFill>
                  <w14:solidFill>
                    <w14:schemeClr w14:val="tx1"/>
                  </w14:solidFill>
                </w14:textFill>
              </w:rPr>
              <w:t>”所载明的时间计算为准。投资周期终止日如遇非工作日则产品管理人做相应调整。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2.投资周期的参与</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w:t>
            </w:r>
            <w:r>
              <w:rPr>
                <w:rFonts w:asciiTheme="majorEastAsia" w:hAnsiTheme="majorEastAsia" w:eastAsiaTheme="majorEastAsia"/>
                <w:bCs/>
                <w:color w:val="000000" w:themeColor="text1"/>
                <w:sz w:val="18"/>
                <w:szCs w:val="18"/>
                <w14:textFill>
                  <w14:solidFill>
                    <w14:schemeClr w14:val="tx1"/>
                  </w14:solidFill>
                </w14:textFill>
              </w:rPr>
              <w:t>1）本产品成立前，投资者可通过认购方式参与本产品的第一个投资周期。</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2）本产品成立后，投资者可通过预约申购方式参与本产品的不同投资周期。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本产品</w:t>
            </w:r>
            <w:r>
              <w:rPr>
                <w:rFonts w:cs="仿宋_GB2312" w:asciiTheme="majorEastAsia" w:hAnsiTheme="majorEastAsia" w:eastAsiaTheme="majorEastAsia"/>
                <w:color w:val="000000" w:themeColor="text1"/>
                <w:kern w:val="0"/>
                <w:sz w:val="18"/>
                <w:szCs w:val="18"/>
                <w14:textFill>
                  <w14:solidFill>
                    <w14:schemeClr w14:val="tx1"/>
                  </w14:solidFill>
                </w14:textFill>
              </w:rPr>
              <w:t>成立后管理人可根据募集情况设置预约申购期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cs="仿宋_GB2312" w:asciiTheme="majorEastAsia" w:hAnsiTheme="majorEastAsia" w:eastAsiaTheme="majorEastAsia"/>
                <w:color w:val="000000" w:themeColor="text1"/>
                <w:kern w:val="0"/>
                <w:sz w:val="18"/>
                <w:szCs w:val="18"/>
                <w14:textFill>
                  <w14:solidFill>
                    <w14:schemeClr w14:val="tx1"/>
                  </w14:solidFill>
                </w14:textFill>
              </w:rPr>
              <w:t>在理财产品运作一个完整的投资周期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结束前后，</w:t>
            </w:r>
            <w:r>
              <w:rPr>
                <w:rFonts w:cs="仿宋_GB2312" w:asciiTheme="majorEastAsia" w:hAnsiTheme="majorEastAsia" w:eastAsiaTheme="majorEastAsia"/>
                <w:color w:val="000000" w:themeColor="text1"/>
                <w:kern w:val="0"/>
                <w:sz w:val="18"/>
                <w:szCs w:val="18"/>
                <w14:textFill>
                  <w14:solidFill>
                    <w14:schemeClr w14:val="tx1"/>
                  </w14:solidFill>
                </w14:textFill>
              </w:rPr>
              <w:t>管理人可设置预约申购期</w:t>
            </w:r>
            <w:r>
              <w:rPr>
                <w:rFonts w:hint="eastAsia" w:cs="仿宋_GB2312" w:asciiTheme="majorEastAsia" w:hAnsiTheme="majorEastAsia" w:eastAsiaTheme="majorEastAsia"/>
                <w:color w:val="000000" w:themeColor="text1"/>
                <w:kern w:val="0"/>
                <w:sz w:val="18"/>
                <w:szCs w:val="18"/>
                <w14:textFill>
                  <w14:solidFill>
                    <w14:schemeClr w14:val="tx1"/>
                  </w14:solidFill>
                </w14:textFill>
              </w:rPr>
              <w:t>。</w:t>
            </w:r>
            <w:r>
              <w:rPr>
                <w:rFonts w:hint="eastAsia" w:ascii="宋体" w:hAnsi="宋体" w:cs="仿宋_GB2312"/>
                <w:kern w:val="0"/>
                <w:sz w:val="18"/>
                <w:szCs w:val="18"/>
              </w:rPr>
              <w:t>投资者可在预约申购期内提交预约申购申请</w:t>
            </w:r>
            <w:r>
              <w:rPr>
                <w:rFonts w:hint="eastAsia" w:asciiTheme="minorEastAsia" w:hAnsiTheme="minorEastAsia" w:eastAsiaTheme="minorEastAsia"/>
                <w:bCs/>
                <w:sz w:val="18"/>
                <w:szCs w:val="18"/>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3.投资周期的退出</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（1）本产品成立后，投资者可通过预约赎回方式退出本产品的投资周期。在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在运作一个完整的投资周期结束前，投资者可在预约赎回期内</w:t>
            </w:r>
            <w:r>
              <w:rPr>
                <w:rFonts w:asciiTheme="minorEastAsia" w:hAnsiTheme="minorEastAsia" w:eastAsiaTheme="minorEastAsia"/>
                <w:bCs/>
                <w:color w:val="000000" w:themeColor="text1"/>
                <w:sz w:val="18"/>
                <w:szCs w:val="18"/>
                <w14:textFill>
                  <w14:solidFill>
                    <w14:schemeClr w14:val="tx1"/>
                  </w14:solidFill>
                </w14:textFill>
              </w:rPr>
              <w:t>提出预约</w:t>
            </w:r>
            <w:r>
              <w:rPr>
                <w:rFonts w:hint="eastAsia" w:asciiTheme="minorEastAsia" w:hAnsiTheme="minorEastAsia" w:eastAsiaTheme="minorEastAsia"/>
                <w:bCs/>
                <w:color w:val="000000" w:themeColor="text1"/>
                <w:sz w:val="18"/>
                <w:szCs w:val="18"/>
                <w14:textFill>
                  <w14:solidFill>
                    <w14:schemeClr w14:val="tx1"/>
                  </w14:solidFill>
                </w14:textFill>
              </w:rPr>
              <w:t>赎回申请，如未赎回将进入下一个投资周期继续运作。</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（2）在</w:t>
            </w:r>
            <w:r>
              <w:rPr>
                <w:rFonts w:asciiTheme="minorEastAsia" w:hAnsiTheme="minorEastAsia" w:eastAsiaTheme="minorEastAsia"/>
                <w:bCs/>
                <w:color w:val="000000" w:themeColor="text1"/>
                <w:sz w:val="18"/>
                <w:szCs w:val="18"/>
                <w14:textFill>
                  <w14:solidFill>
                    <w14:schemeClr w14:val="tx1"/>
                  </w14:solidFill>
                </w14:textFill>
              </w:rPr>
              <w:t>投资者持有的理财产品份额</w:t>
            </w:r>
            <w:r>
              <w:rPr>
                <w:rFonts w:hint="eastAsia" w:asciiTheme="minorEastAsia" w:hAnsiTheme="minorEastAsia" w:eastAsiaTheme="minorEastAsia"/>
                <w:bCs/>
                <w:color w:val="000000" w:themeColor="text1"/>
                <w:sz w:val="18"/>
                <w:szCs w:val="18"/>
                <w14:textFill>
                  <w14:solidFill>
                    <w14:schemeClr w14:val="tx1"/>
                  </w14:solidFill>
                </w14:textFill>
              </w:rPr>
              <w:t>在运作一个完整的投资周期后，投资者</w:t>
            </w:r>
            <w:r>
              <w:rPr>
                <w:rFonts w:asciiTheme="minorEastAsia" w:hAnsiTheme="minorEastAsia" w:eastAsiaTheme="minorEastAsia"/>
                <w:bCs/>
                <w:color w:val="000000" w:themeColor="text1"/>
                <w:sz w:val="18"/>
                <w:szCs w:val="18"/>
                <w14:textFill>
                  <w14:solidFill>
                    <w14:schemeClr w14:val="tx1"/>
                  </w14:solidFill>
                </w14:textFill>
              </w:rPr>
              <w:t>也可以继续</w:t>
            </w:r>
            <w:r>
              <w:rPr>
                <w:rFonts w:hint="eastAsia" w:asciiTheme="minorEastAsia" w:hAnsiTheme="minorEastAsia" w:eastAsiaTheme="minorEastAsia"/>
                <w:bCs/>
                <w:color w:val="000000" w:themeColor="text1"/>
                <w:sz w:val="18"/>
                <w:szCs w:val="18"/>
                <w14:textFill>
                  <w14:solidFill>
                    <w14:schemeClr w14:val="tx1"/>
                  </w14:solidFill>
                </w14:textFill>
              </w:rPr>
              <w:t>持有理财产品份额进入</w:t>
            </w:r>
            <w:r>
              <w:rPr>
                <w:rFonts w:asciiTheme="minorEastAsia" w:hAnsiTheme="minorEastAsia" w:eastAsiaTheme="minorEastAsia"/>
                <w:bCs/>
                <w:color w:val="000000" w:themeColor="text1"/>
                <w:sz w:val="18"/>
                <w:szCs w:val="18"/>
                <w14:textFill>
                  <w14:solidFill>
                    <w14:schemeClr w14:val="tx1"/>
                  </w14:solidFill>
                </w14:textFill>
              </w:rPr>
              <w:t>下一个投资周期</w:t>
            </w:r>
            <w:r>
              <w:rPr>
                <w:rFonts w:hint="eastAsia" w:asciiTheme="minorEastAsia" w:hAnsiTheme="minorEastAsia" w:eastAsiaTheme="minorEastAsia"/>
                <w:bCs/>
                <w:color w:val="000000" w:themeColor="text1"/>
                <w:sz w:val="18"/>
                <w:szCs w:val="18"/>
                <w14:textFill>
                  <w14:solidFill>
                    <w14:schemeClr w14:val="tx1"/>
                  </w14:solidFill>
                </w14:textFill>
              </w:rPr>
              <w:t>。</w:t>
            </w:r>
          </w:p>
          <w:p>
            <w:pPr>
              <w:spacing w:line="360" w:lineRule="auto"/>
              <w:rPr>
                <w:rFonts w:asciiTheme="minorEastAsia" w:hAnsiTheme="minorEastAsia" w:eastAsiaTheme="minorEastAsia"/>
                <w:bCs/>
                <w:color w:val="000000" w:themeColor="text1"/>
                <w:sz w:val="18"/>
                <w:szCs w:val="18"/>
                <w14:textFill>
                  <w14:solidFill>
                    <w14:schemeClr w14:val="tx1"/>
                  </w14:solidFill>
                </w14:textFill>
              </w:rPr>
            </w:pPr>
            <w:r>
              <w:rPr>
                <w:rFonts w:hint="eastAsia" w:asciiTheme="minorEastAsia" w:hAnsiTheme="minorEastAsia" w:eastAsiaTheme="minorEastAsia"/>
                <w:bCs/>
                <w:color w:val="000000" w:themeColor="text1"/>
                <w:sz w:val="18"/>
                <w:szCs w:val="18"/>
                <w14:textFill>
                  <w14:solidFill>
                    <w14:schemeClr w14:val="tx1"/>
                  </w14:solidFill>
                </w14:textFill>
              </w:rPr>
              <w:t>（3）</w:t>
            </w:r>
            <w:r>
              <w:rPr>
                <w:rFonts w:hint="eastAsia" w:asciiTheme="majorEastAsia" w:hAnsiTheme="majorEastAsia" w:eastAsiaTheme="majorEastAsia"/>
                <w:bCs/>
                <w:sz w:val="18"/>
                <w:szCs w:val="18"/>
              </w:rPr>
              <w:t>如果投资者在本产品提前终止时仍有未赎回的份额，则产品管理人将按照《产品说明书》“第十条 理财产品的终止与清算（二）理财产品的清算”条款处理。</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4</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投资周期的调整</w:t>
            </w:r>
          </w:p>
          <w:p>
            <w:pPr>
              <w:spacing w:line="360" w:lineRule="auto"/>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产品管理人有权调整投资周期，调整后的投资周期以产品管理人发布的公告为准。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cs="Times New Roman" w:asciiTheme="minorEastAsia" w:hAnsiTheme="minorEastAsia"/>
                <w:sz w:val="18"/>
                <w:szCs w:val="18"/>
              </w:rPr>
            </w:pPr>
            <w:r>
              <w:rPr>
                <w:rFonts w:hint="eastAsia" w:cs="仿宋_GB2312" w:asciiTheme="majorEastAsia" w:hAnsiTheme="majorEastAsia" w:eastAsiaTheme="majorEastAsia"/>
                <w:color w:val="000000" w:themeColor="text1"/>
                <w:kern w:val="0"/>
                <w:sz w:val="18"/>
                <w:szCs w:val="18"/>
                <w14:textFill>
                  <w14:solidFill>
                    <w14:schemeClr w14:val="tx1"/>
                  </w14:solidFill>
                </w14:textFill>
              </w:rPr>
              <w:t>1.</w:t>
            </w:r>
            <w:r>
              <w:rPr>
                <w:rFonts w:hint="eastAsia" w:cs="Times New Roman" w:asciiTheme="minorEastAsia" w:hAnsiTheme="minorEastAsia"/>
                <w:sz w:val="18"/>
                <w:szCs w:val="18"/>
              </w:rPr>
              <w:t>本产品成立后，开放多个预约申购/赎回期。</w:t>
            </w:r>
          </w:p>
          <w:p>
            <w:pPr>
              <w:spacing w:line="360" w:lineRule="auto"/>
              <w:rPr>
                <w:rFonts w:asciiTheme="majorEastAsia" w:hAnsiTheme="majorEastAsia"/>
                <w:bCs/>
                <w:color w:val="000000" w:themeColor="text1"/>
                <w:sz w:val="18"/>
                <w:szCs w:val="18"/>
                <w14:textFill>
                  <w14:solidFill>
                    <w14:schemeClr w14:val="tx1"/>
                  </w14:solidFill>
                </w14:textFill>
              </w:rPr>
            </w:pPr>
            <w:r>
              <w:rPr>
                <w:rFonts w:hint="eastAsia" w:cs="Times New Roman" w:asciiTheme="minorEastAsia" w:hAnsiTheme="minorEastAsia"/>
                <w:sz w:val="18"/>
                <w:szCs w:val="18"/>
              </w:rPr>
              <w:t>2</w:t>
            </w:r>
            <w:r>
              <w:rPr>
                <w:rFonts w:cs="Times New Roman" w:asciiTheme="minorEastAsia" w:hAnsiTheme="minorEastAsia"/>
                <w:sz w:val="18"/>
                <w:szCs w:val="18"/>
              </w:rPr>
              <w:t>.</w:t>
            </w:r>
            <w:r>
              <w:rPr>
                <w:rFonts w:hint="eastAsia" w:cs="Times New Roman" w:asciiTheme="minorEastAsia" w:hAnsiTheme="minorEastAsia"/>
                <w:sz w:val="18"/>
                <w:szCs w:val="18"/>
              </w:rPr>
              <w:t>预约申购安排</w:t>
            </w:r>
          </w:p>
          <w:p>
            <w:pPr>
              <w:spacing w:line="360" w:lineRule="auto"/>
              <w:rPr>
                <w:rFonts w:cs="Times New Roman" w:asciiTheme="minorEastAsia" w:hAnsiTheme="minorEastAsia"/>
                <w:sz w:val="18"/>
                <w:szCs w:val="18"/>
              </w:rPr>
            </w:pPr>
            <w:r>
              <w:rPr>
                <w:rFonts w:hint="eastAsia" w:cs="Times New Roman" w:asciiTheme="minorEastAsia" w:hAnsiTheme="minorEastAsia"/>
                <w:sz w:val="18"/>
                <w:szCs w:val="18"/>
              </w:rPr>
              <w:t>（1）申购的时间</w:t>
            </w:r>
          </w:p>
          <w:p>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□预约申购期：【2026】年【02】月【10】日11:00至【2026】年【02】月【24】日17:00；投资周期【195】天；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□预约申购期：【2026】年【02】月【25】日11:00至【2026】年【03】月【02】日17:00；投资周期【189】天。</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（2）申购的确认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603"/>
              <w:gridCol w:w="2551"/>
              <w:gridCol w:w="1276"/>
              <w:gridCol w:w="176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278" w:hRule="atLeast"/>
                <w:jc w:val="center"/>
              </w:trPr>
              <w:tc>
                <w:tcPr>
                  <w:tcW w:w="1603"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预约申购申请日</w:t>
                  </w:r>
                </w:p>
              </w:tc>
              <w:tc>
                <w:tcPr>
                  <w:tcW w:w="2551"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申购申请日和申购日</w:t>
                  </w:r>
                </w:p>
              </w:tc>
              <w:tc>
                <w:tcPr>
                  <w:tcW w:w="1276"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申购确认日</w:t>
                  </w:r>
                </w:p>
              </w:tc>
              <w:tc>
                <w:tcPr>
                  <w:tcW w:w="1760"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申购确认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557" w:hRule="atLeast"/>
                <w:jc w:val="center"/>
              </w:trPr>
              <w:tc>
                <w:tcPr>
                  <w:tcW w:w="1603"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为预约申购期内任意一日。</w:t>
                  </w:r>
                </w:p>
              </w:tc>
              <w:tc>
                <w:tcPr>
                  <w:tcW w:w="2551" w:type="dxa"/>
                </w:tcPr>
                <w:p>
                  <w:pPr>
                    <w:pStyle w:val="34"/>
                    <w:spacing w:line="360" w:lineRule="auto"/>
                    <w:jc w:val="both"/>
                    <w:rPr>
                      <w:rFonts w:ascii="黑体" w:hAnsi="黑体" w:eastAsia="黑体" w:cs="Times New Roman"/>
                      <w:color w:val="auto"/>
                      <w:sz w:val="18"/>
                      <w:szCs w:val="18"/>
                    </w:rPr>
                  </w:pPr>
                  <w:r>
                    <w:rPr>
                      <w:rFonts w:hint="eastAsia" w:cs="Times New Roman" w:asciiTheme="minorEastAsia" w:hAnsiTheme="minorEastAsia" w:eastAsiaTheme="minorEastAsia"/>
                      <w:color w:val="auto"/>
                      <w:sz w:val="18"/>
                      <w:szCs w:val="18"/>
                    </w:rPr>
                    <w:t>申购申请日：预约申购期内最后一个工作日为申购申请日</w:t>
                  </w:r>
                  <w:r>
                    <w:rPr>
                      <w:rFonts w:hint="eastAsia" w:ascii="黑体" w:hAnsi="黑体" w:eastAsia="黑体" w:cs="Times New Roman"/>
                      <w:color w:val="auto"/>
                      <w:sz w:val="18"/>
                      <w:szCs w:val="18"/>
                    </w:rPr>
                    <w:t>（注：在申购申请日，投资者的预约申购申请自动转化为申购申请）。</w:t>
                  </w:r>
                </w:p>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申购</w:t>
                  </w:r>
                  <w:r>
                    <w:rPr>
                      <w:rFonts w:cs="Times New Roman" w:asciiTheme="minorEastAsia" w:hAnsiTheme="minorEastAsia" w:eastAsiaTheme="minorEastAsia"/>
                      <w:color w:val="auto"/>
                      <w:sz w:val="18"/>
                      <w:szCs w:val="18"/>
                    </w:rPr>
                    <w:t>日</w:t>
                  </w:r>
                  <w:r>
                    <w:rPr>
                      <w:rFonts w:hint="eastAsia" w:cs="Times New Roman" w:asciiTheme="minorEastAsia" w:hAnsiTheme="minorEastAsia" w:eastAsiaTheme="minorEastAsia"/>
                      <w:color w:val="auto"/>
                      <w:sz w:val="18"/>
                      <w:szCs w:val="18"/>
                    </w:rPr>
                    <w:t>：与申购申请日为同一日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申购申请视为在申购申请日的交易时间内做出，故申购申请日即为申购日）。</w:t>
                  </w:r>
                </w:p>
              </w:tc>
              <w:tc>
                <w:tcPr>
                  <w:tcW w:w="1276"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申购日后【2】个工作日内。</w:t>
                  </w:r>
                </w:p>
              </w:tc>
              <w:tc>
                <w:tcPr>
                  <w:tcW w:w="1760"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产品管理人在申购确认日对投资者的申购申请的有效性进行确认，并登记理财份额。</w:t>
                  </w:r>
                </w:p>
              </w:tc>
            </w:tr>
          </w:tbl>
          <w:p>
            <w:pPr>
              <w:spacing w:line="360" w:lineRule="auto"/>
              <w:rPr>
                <w:rFonts w:ascii="黑体" w:hAnsi="黑体" w:eastAsia="黑体" w:cs="黑体"/>
                <w:sz w:val="18"/>
                <w:szCs w:val="18"/>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sz w:val="18"/>
                <w:szCs w:val="18"/>
              </w:rPr>
              <w:t>本产品成立后可设置多个预约申购期。</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3</w:t>
            </w:r>
            <w:r>
              <w:rPr>
                <w:rFonts w:asciiTheme="majorEastAsia" w:hAnsiTheme="majorEastAsia" w:eastAsiaTheme="majorEastAsia"/>
                <w:bCs/>
                <w:color w:val="000000" w:themeColor="text1"/>
                <w:sz w:val="18"/>
                <w:szCs w:val="18"/>
                <w14:textFill>
                  <w14:solidFill>
                    <w14:schemeClr w14:val="tx1"/>
                  </w14:solidFill>
                </w14:textFill>
              </w:rPr>
              <w:t>.预约</w:t>
            </w:r>
            <w:r>
              <w:rPr>
                <w:rFonts w:hint="eastAsia" w:asciiTheme="majorEastAsia" w:hAnsiTheme="majorEastAsia" w:eastAsiaTheme="majorEastAsia"/>
                <w:bCs/>
                <w:color w:val="000000" w:themeColor="text1"/>
                <w:sz w:val="18"/>
                <w:szCs w:val="18"/>
                <w14:textFill>
                  <w14:solidFill>
                    <w14:schemeClr w14:val="tx1"/>
                  </w14:solidFill>
                </w14:textFill>
              </w:rPr>
              <w:t>赎回安排</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（1）赎回的时间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预约赎回期：【2026】年【08】月【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25</w:t>
            </w:r>
            <w:r>
              <w:rPr>
                <w:rFonts w:hint="eastAsia" w:asciiTheme="majorEastAsia" w:hAnsiTheme="majorEastAsia" w:eastAsiaTheme="majorEastAsia"/>
                <w:bCs/>
                <w:color w:val="000000" w:themeColor="text1"/>
                <w:sz w:val="18"/>
                <w:szCs w:val="18"/>
                <w14:textFill>
                  <w14:solidFill>
                    <w14:schemeClr w14:val="tx1"/>
                  </w14:solidFill>
                </w14:textFill>
              </w:rPr>
              <w:t>】日00:00至【2026】年【0</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9</w:t>
            </w:r>
            <w:r>
              <w:rPr>
                <w:rFonts w:hint="eastAsia" w:asciiTheme="majorEastAsia" w:hAnsiTheme="majorEastAsia" w:eastAsiaTheme="majorEastAsia"/>
                <w:bCs/>
                <w:color w:val="000000" w:themeColor="text1"/>
                <w:sz w:val="18"/>
                <w:szCs w:val="18"/>
                <w14:textFill>
                  <w14:solidFill>
                    <w14:schemeClr w14:val="tx1"/>
                  </w14:solidFill>
                </w14:textFill>
              </w:rPr>
              <w:t>】月【</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07</w:t>
            </w:r>
            <w:r>
              <w:rPr>
                <w:rFonts w:hint="eastAsia" w:asciiTheme="majorEastAsia" w:hAnsiTheme="majorEastAsia" w:eastAsiaTheme="majorEastAsia"/>
                <w:bCs/>
                <w:color w:val="000000" w:themeColor="text1"/>
                <w:sz w:val="18"/>
                <w:szCs w:val="18"/>
                <w14:textFill>
                  <w14:solidFill>
                    <w14:schemeClr w14:val="tx1"/>
                  </w14:solidFill>
                </w14:textFill>
              </w:rPr>
              <w:t>】日</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17</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00</w:t>
            </w:r>
            <w:r>
              <w:rPr>
                <w:rFonts w:hint="eastAsia" w:asciiTheme="majorEastAsia" w:hAnsiTheme="majorEastAsia" w:eastAsiaTheme="majorEastAsia"/>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（2）赎回的确认</w:t>
            </w:r>
          </w:p>
          <w:tbl>
            <w:tblPr>
              <w:tblStyle w:val="25"/>
              <w:tblW w:w="7190"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2409"/>
              <w:gridCol w:w="1418"/>
              <w:gridCol w:w="16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8" w:hRule="atLeast"/>
                <w:jc w:val="center"/>
              </w:trPr>
              <w:tc>
                <w:tcPr>
                  <w:tcW w:w="1745"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预约赎回申请日</w:t>
                  </w:r>
                </w:p>
              </w:tc>
              <w:tc>
                <w:tcPr>
                  <w:tcW w:w="2409" w:type="dxa"/>
                  <w:vAlign w:val="center"/>
                </w:tcPr>
                <w:p>
                  <w:pPr>
                    <w:pStyle w:val="34"/>
                    <w:spacing w:line="360" w:lineRule="auto"/>
                    <w:jc w:val="center"/>
                    <w:rPr>
                      <w:rFonts w:cs="Times New Roman" w:asciiTheme="minorEastAsia" w:hAnsiTheme="minorEastAsia"/>
                      <w:b/>
                      <w:bCs/>
                      <w:color w:val="auto"/>
                      <w:sz w:val="18"/>
                      <w:szCs w:val="18"/>
                    </w:rPr>
                  </w:pPr>
                  <w:r>
                    <w:rPr>
                      <w:rFonts w:hint="eastAsia" w:cs="Times New Roman" w:asciiTheme="minorEastAsia" w:hAnsiTheme="minorEastAsia"/>
                      <w:b/>
                      <w:bCs/>
                      <w:color w:val="auto"/>
                      <w:sz w:val="18"/>
                      <w:szCs w:val="18"/>
                    </w:rPr>
                    <w:t>赎回申请日和赎回日</w:t>
                  </w:r>
                </w:p>
              </w:tc>
              <w:tc>
                <w:tcPr>
                  <w:tcW w:w="14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赎回确认日</w:t>
                  </w:r>
                </w:p>
              </w:tc>
              <w:tc>
                <w:tcPr>
                  <w:tcW w:w="1618" w:type="dxa"/>
                  <w:vAlign w:val="center"/>
                </w:tcPr>
                <w:p>
                  <w:pPr>
                    <w:pStyle w:val="34"/>
                    <w:spacing w:line="360" w:lineRule="auto"/>
                    <w:jc w:val="center"/>
                    <w:rPr>
                      <w:rFonts w:asciiTheme="minorEastAsia" w:hAnsiTheme="minorEastAsia"/>
                      <w:b/>
                      <w:bCs/>
                      <w:kern w:val="2"/>
                      <w:sz w:val="18"/>
                      <w:szCs w:val="18"/>
                    </w:rPr>
                  </w:pPr>
                  <w:r>
                    <w:rPr>
                      <w:rFonts w:hint="eastAsia" w:cs="Times New Roman" w:asciiTheme="minorEastAsia" w:hAnsiTheme="minorEastAsia"/>
                      <w:b/>
                      <w:bCs/>
                      <w:color w:val="auto"/>
                      <w:sz w:val="18"/>
                      <w:szCs w:val="18"/>
                    </w:rPr>
                    <w:t>赎回确认</w:t>
                  </w:r>
                  <w:r>
                    <w:rPr>
                      <w:rFonts w:cs="Times New Roman" w:asciiTheme="minorEastAsia" w:hAnsiTheme="minorEastAsia"/>
                      <w:b/>
                      <w:bCs/>
                      <w:color w:val="auto"/>
                      <w:sz w:val="18"/>
                      <w:szCs w:val="18"/>
                    </w:rPr>
                    <w:t>方式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57" w:hRule="atLeast"/>
                <w:jc w:val="center"/>
              </w:trPr>
              <w:tc>
                <w:tcPr>
                  <w:tcW w:w="1745" w:type="dxa"/>
                </w:tcPr>
                <w:p>
                  <w:pPr>
                    <w:pStyle w:val="34"/>
                    <w:spacing w:line="360" w:lineRule="auto"/>
                    <w:jc w:val="left"/>
                    <w:rPr>
                      <w:rFonts w:asciiTheme="minorEastAsia" w:hAnsiTheme="minorEastAsia"/>
                      <w:bCs/>
                      <w:color w:val="auto"/>
                      <w:kern w:val="2"/>
                      <w:sz w:val="18"/>
                      <w:szCs w:val="18"/>
                    </w:rPr>
                  </w:pPr>
                  <w:r>
                    <w:rPr>
                      <w:rFonts w:hint="eastAsia" w:cs="Times New Roman" w:asciiTheme="minorEastAsia" w:hAnsiTheme="minorEastAsia" w:eastAsiaTheme="minorEastAsia"/>
                      <w:color w:val="auto"/>
                      <w:sz w:val="18"/>
                      <w:szCs w:val="18"/>
                    </w:rPr>
                    <w:t>为预约赎回期内任意一日。</w:t>
                  </w:r>
                </w:p>
              </w:tc>
              <w:tc>
                <w:tcPr>
                  <w:tcW w:w="2409" w:type="dxa"/>
                </w:tcPr>
                <w:p>
                  <w:pPr>
                    <w:pStyle w:val="34"/>
                    <w:spacing w:line="360" w:lineRule="auto"/>
                    <w:jc w:val="both"/>
                    <w:rPr>
                      <w:rFonts w:cs="Times New Roman" w:asciiTheme="minorEastAsia" w:hAnsiTheme="minorEastAsia" w:eastAsiaTheme="minorEastAsia"/>
                      <w:color w:val="auto"/>
                      <w:sz w:val="18"/>
                      <w:szCs w:val="18"/>
                    </w:rPr>
                  </w:pPr>
                  <w:r>
                    <w:rPr>
                      <w:rFonts w:hint="eastAsia" w:cs="Times New Roman" w:asciiTheme="minorEastAsia" w:hAnsiTheme="minorEastAsia" w:eastAsiaTheme="minorEastAsia"/>
                      <w:color w:val="auto"/>
                      <w:sz w:val="18"/>
                      <w:szCs w:val="18"/>
                    </w:rPr>
                    <w:t>赎回申请日：预约赎回期内最后一个工作日为赎回申请日</w:t>
                  </w:r>
                  <w:r>
                    <w:rPr>
                      <w:rFonts w:hint="eastAsia" w:ascii="黑体" w:hAnsi="黑体" w:eastAsia="黑体" w:cs="Times New Roman"/>
                      <w:color w:val="auto"/>
                      <w:sz w:val="18"/>
                      <w:szCs w:val="18"/>
                    </w:rPr>
                    <w:t>（注：在赎回申请日，投资者的预约赎回申请自动转化为赎回申请）</w:t>
                  </w:r>
                  <w:r>
                    <w:rPr>
                      <w:rFonts w:hint="eastAsia" w:cs="Times New Roman" w:asciiTheme="minorEastAsia" w:hAnsiTheme="minorEastAsia" w:eastAsiaTheme="minorEastAsia"/>
                      <w:color w:val="auto"/>
                      <w:sz w:val="18"/>
                      <w:szCs w:val="18"/>
                    </w:rPr>
                    <w:t>。</w:t>
                  </w:r>
                </w:p>
                <w:p>
                  <w:pPr>
                    <w:pStyle w:val="34"/>
                    <w:spacing w:line="360" w:lineRule="auto"/>
                    <w:jc w:val="both"/>
                    <w:rPr>
                      <w:rFonts w:cs="Times New Roman" w:asciiTheme="minorEastAsia" w:hAnsiTheme="minorEastAsia" w:eastAsiaTheme="minorEastAsia"/>
                      <w:color w:val="auto"/>
                      <w:sz w:val="18"/>
                      <w:szCs w:val="18"/>
                    </w:rPr>
                  </w:pPr>
                  <w:r>
                    <w:rPr>
                      <w:rFonts w:cs="Times New Roman" w:asciiTheme="minorEastAsia" w:hAnsiTheme="minorEastAsia" w:eastAsiaTheme="minorEastAsia"/>
                      <w:color w:val="auto"/>
                      <w:sz w:val="18"/>
                      <w:szCs w:val="18"/>
                    </w:rPr>
                    <w:t>赎回日</w:t>
                  </w:r>
                  <w:r>
                    <w:rPr>
                      <w:rFonts w:hint="eastAsia" w:cs="Times New Roman" w:asciiTheme="minorEastAsia" w:hAnsiTheme="minorEastAsia" w:eastAsiaTheme="minorEastAsia"/>
                      <w:color w:val="auto"/>
                      <w:sz w:val="18"/>
                      <w:szCs w:val="18"/>
                    </w:rPr>
                    <w:t>：与赎回申请日为同一日</w:t>
                  </w:r>
                  <w:r>
                    <w:rPr>
                      <w:rFonts w:hint="eastAsia" w:ascii="黑体" w:hAnsi="黑体" w:eastAsia="黑体" w:cs="Times New Roman"/>
                      <w:color w:val="auto"/>
                      <w:sz w:val="18"/>
                      <w:szCs w:val="18"/>
                    </w:rPr>
                    <w:t>（注：</w:t>
                  </w:r>
                  <w:r>
                    <w:rPr>
                      <w:rFonts w:ascii="黑体" w:hAnsi="黑体" w:eastAsia="黑体" w:cs="Times New Roman"/>
                      <w:color w:val="auto"/>
                      <w:sz w:val="18"/>
                      <w:szCs w:val="18"/>
                    </w:rPr>
                    <w:t>前述</w:t>
                  </w:r>
                  <w:r>
                    <w:rPr>
                      <w:rFonts w:hint="eastAsia" w:ascii="黑体" w:hAnsi="黑体" w:eastAsia="黑体" w:cs="Times New Roman"/>
                      <w:color w:val="auto"/>
                      <w:sz w:val="18"/>
                      <w:szCs w:val="18"/>
                    </w:rPr>
                    <w:t>赎回申请视为在赎回申请日的交易时间内做出，故赎回申请日即为赎回日）。</w:t>
                  </w:r>
                </w:p>
              </w:tc>
              <w:tc>
                <w:tcPr>
                  <w:tcW w:w="14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w:t>
                  </w:r>
                </w:p>
              </w:tc>
              <w:tc>
                <w:tcPr>
                  <w:tcW w:w="1618" w:type="dxa"/>
                </w:tcPr>
                <w:p>
                  <w:pPr>
                    <w:pStyle w:val="34"/>
                    <w:spacing w:line="360" w:lineRule="auto"/>
                    <w:jc w:val="both"/>
                    <w:rPr>
                      <w:rFonts w:asciiTheme="minorEastAsia" w:hAnsiTheme="minorEastAsia"/>
                      <w:bCs/>
                      <w:kern w:val="2"/>
                      <w:sz w:val="18"/>
                      <w:szCs w:val="18"/>
                    </w:rPr>
                  </w:pPr>
                  <w:r>
                    <w:rPr>
                      <w:rFonts w:hint="eastAsia" w:cs="Times New Roman" w:asciiTheme="minorEastAsia" w:hAnsiTheme="minorEastAsia" w:eastAsiaTheme="minorEastAsia"/>
                      <w:bCs/>
                      <w:sz w:val="18"/>
                      <w:szCs w:val="18"/>
                    </w:rPr>
                    <w:t>产品管理人在赎回</w:t>
                  </w:r>
                  <w:r>
                    <w:rPr>
                      <w:rFonts w:cs="Times New Roman" w:asciiTheme="minorEastAsia" w:hAnsiTheme="minorEastAsia" w:eastAsiaTheme="minorEastAsia"/>
                      <w:bCs/>
                      <w:sz w:val="18"/>
                      <w:szCs w:val="18"/>
                    </w:rPr>
                    <w:t>确认日</w:t>
                  </w:r>
                  <w:r>
                    <w:rPr>
                      <w:rFonts w:hint="eastAsia" w:cs="Times New Roman" w:asciiTheme="minorEastAsia" w:hAnsiTheme="minorEastAsia" w:eastAsiaTheme="minorEastAsia"/>
                      <w:bCs/>
                      <w:sz w:val="18"/>
                      <w:szCs w:val="18"/>
                    </w:rPr>
                    <w:t>对投资者的赎回申请的有效性进行确认，并注销理财份额。</w:t>
                  </w:r>
                </w:p>
              </w:tc>
            </w:tr>
          </w:tbl>
          <w:p>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5</w:t>
            </w:r>
            <w:r>
              <w:rPr>
                <w:rFonts w:hint="eastAsia" w:ascii="黑体" w:hAnsi="黑体" w:eastAsia="黑体" w:cs="黑体"/>
                <w:kern w:val="0"/>
                <w:sz w:val="18"/>
              </w:rPr>
              <w:t>】个工作日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4.预约申购期/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预约赎回期的起始日和终止日如遇非工作日，则产品管理人做相应调整。</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5</w:t>
            </w:r>
            <w:r>
              <w:rPr>
                <w:rFonts w:hint="eastAsia" w:asciiTheme="majorEastAsia" w:hAnsiTheme="majorEastAsia" w:eastAsiaTheme="majorEastAsia"/>
                <w:bCs/>
                <w:color w:val="000000" w:themeColor="text1"/>
                <w:sz w:val="18"/>
                <w:szCs w:val="18"/>
                <w14:textFill>
                  <w14:solidFill>
                    <w14:schemeClr w14:val="tx1"/>
                  </w14:solidFill>
                </w14:textFill>
              </w:rPr>
              <w:t>.</w:t>
            </w:r>
            <w:r>
              <w:rPr>
                <w:rFonts w:hint="eastAsia" w:cs="Times New Roman" w:asciiTheme="minorEastAsia" w:hAnsiTheme="minorEastAsia"/>
                <w:sz w:val="18"/>
                <w:szCs w:val="18"/>
              </w:rPr>
              <w:t>本产品在一个完整投资周期结束前，产品</w:t>
            </w:r>
            <w:r>
              <w:rPr>
                <w:rFonts w:cs="Times New Roman" w:asciiTheme="minorEastAsia" w:hAnsiTheme="minorEastAsia"/>
                <w:sz w:val="18"/>
                <w:szCs w:val="18"/>
              </w:rPr>
              <w:t>管理人可以</w:t>
            </w:r>
            <w:r>
              <w:rPr>
                <w:rFonts w:hint="eastAsia" w:cs="Times New Roman" w:asciiTheme="minorEastAsia" w:hAnsiTheme="minorEastAsia"/>
                <w:sz w:val="18"/>
                <w:szCs w:val="18"/>
              </w:rPr>
              <w:t>更新产品说明书，约定后续投资周期对应的</w:t>
            </w:r>
            <w:r>
              <w:rPr>
                <w:rFonts w:asciiTheme="majorEastAsia" w:hAnsiTheme="majorEastAsia" w:eastAsiaTheme="majorEastAsia"/>
                <w:bCs/>
                <w:color w:val="000000" w:themeColor="text1"/>
                <w:sz w:val="18"/>
                <w:szCs w:val="18"/>
                <w14:textFill>
                  <w14:solidFill>
                    <w14:schemeClr w14:val="tx1"/>
                  </w14:solidFill>
                </w14:textFill>
              </w:rPr>
              <w:t>预约申购期/</w:t>
            </w:r>
            <w:r>
              <w:rPr>
                <w:rFonts w:hint="eastAsia" w:asciiTheme="majorEastAsia" w:hAnsiTheme="majorEastAsia" w:eastAsiaTheme="majorEastAsia"/>
                <w:bCs/>
                <w:color w:val="000000" w:themeColor="text1"/>
                <w:sz w:val="18"/>
                <w:szCs w:val="18"/>
                <w14:textFill>
                  <w14:solidFill>
                    <w14:schemeClr w14:val="tx1"/>
                  </w14:solidFill>
                </w14:textFill>
              </w:rPr>
              <w:t>预约赎回期。</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②代理销售机构的实际工作服务时段，最早不得早于销售文件约定</w:t>
            </w:r>
            <w:r>
              <w:rPr>
                <w:rFonts w:ascii="黑体" w:hAnsi="黑体" w:eastAsia="黑体"/>
                <w:bCs/>
                <w:color w:val="000000" w:themeColor="text1"/>
                <w:sz w:val="18"/>
                <w:szCs w:val="18"/>
                <w14:textFill>
                  <w14:solidFill>
                    <w14:schemeClr w14:val="tx1"/>
                  </w14:solidFill>
                </w14:textFill>
              </w:rPr>
              <w:t>的</w:t>
            </w:r>
            <w:r>
              <w:rPr>
                <w:rFonts w:hint="eastAsia" w:ascii="黑体" w:hAnsi="黑体" w:eastAsia="黑体"/>
                <w:bCs/>
                <w:color w:val="000000" w:themeColor="text1"/>
                <w:sz w:val="18"/>
                <w:szCs w:val="18"/>
                <w14:textFill>
                  <w14:solidFill>
                    <w14:schemeClr w14:val="tx1"/>
                  </w14:solidFill>
                </w14:textFill>
              </w:rPr>
              <w:t>起始时点、最晚不得晚于销售文件</w:t>
            </w:r>
            <w:r>
              <w:rPr>
                <w:rFonts w:ascii="黑体" w:hAnsi="黑体" w:eastAsia="黑体"/>
                <w:bCs/>
                <w:color w:val="000000" w:themeColor="text1"/>
                <w:sz w:val="18"/>
                <w:szCs w:val="18"/>
                <w14:textFill>
                  <w14:solidFill>
                    <w14:schemeClr w14:val="tx1"/>
                  </w14:solidFill>
                </w14:textFill>
              </w:rPr>
              <w:t>约定的</w:t>
            </w:r>
            <w:r>
              <w:rPr>
                <w:rFonts w:hint="eastAsia" w:ascii="黑体" w:hAnsi="黑体" w:eastAsia="黑体"/>
                <w:bCs/>
                <w:color w:val="000000" w:themeColor="text1"/>
                <w:sz w:val="18"/>
                <w:szCs w:val="18"/>
                <w14:textFill>
                  <w14:solidFill>
                    <w14:schemeClr w14:val="tx1"/>
                  </w14:solidFill>
                </w14:textFill>
              </w:rPr>
              <w:t>终止时点</w:t>
            </w:r>
            <w:r>
              <w:rPr>
                <w:rFonts w:ascii="黑体" w:hAnsi="黑体" w:eastAsia="黑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（适用【A/B</w:t>
            </w:r>
            <w:r>
              <w:rPr>
                <w:rFonts w:asciiTheme="majorEastAsia" w:hAnsiTheme="majorEastAsia" w:eastAsiaTheme="majorEastAsia"/>
                <w:bCs/>
                <w:color w:val="000000" w:themeColor="text1"/>
                <w:sz w:val="18"/>
                <w:szCs w:val="18"/>
                <w14:textFill>
                  <w14:solidFill>
                    <w14:schemeClr w14:val="tx1"/>
                  </w14:solidFill>
                </w14:textFill>
              </w:rPr>
              <w:t>/C</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 xml:space="preserve">★认购、申购与赎回的数量限制 </w:t>
            </w:r>
            <w:r>
              <w:rPr>
                <w:rFonts w:hAnsi="宋体"/>
                <w:b/>
                <w:sz w:val="18"/>
                <w:szCs w:val="18"/>
              </w:rPr>
              <w:t xml:space="preserve"> </w:t>
            </w:r>
          </w:p>
        </w:tc>
        <w:tc>
          <w:tcPr>
            <w:tcW w:w="7704" w:type="dxa"/>
            <w:shd w:val="solid" w:color="FFFFFF" w:fill="FFFFFF"/>
            <w:vAlign w:val="center"/>
          </w:tcPr>
          <w:p>
            <w:pPr>
              <w:pStyle w:val="34"/>
              <w:spacing w:line="360" w:lineRule="auto"/>
              <w:rPr>
                <w:rFonts w:asciiTheme="minorEastAsia" w:hAnsiTheme="minorEastAsia" w:eastAsiaTheme="minorEastAsia"/>
                <w:color w:val="auto"/>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1.认购的数量限制</w:t>
            </w:r>
          </w:p>
          <w:p>
            <w:pPr>
              <w:pStyle w:val="34"/>
              <w:spacing w:line="360" w:lineRule="auto"/>
              <w:rPr>
                <w:rFonts w:hAnsi="宋体"/>
                <w:bCs/>
                <w:sz w:val="18"/>
                <w:szCs w:val="18"/>
              </w:rPr>
            </w:pPr>
            <w:r>
              <w:rPr>
                <w:rFonts w:hint="eastAsia" w:asciiTheme="minorEastAsia" w:hAnsiTheme="minorEastAsia" w:eastAsiaTheme="minorEastAsia"/>
                <w:color w:val="auto"/>
                <w:sz w:val="18"/>
                <w:szCs w:val="18"/>
              </w:rPr>
              <w:t>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】。如需突破上限，请与产品管理人或销售机构客户经理联系。</w:t>
            </w:r>
          </w:p>
          <w:p>
            <w:pPr>
              <w:pStyle w:val="34"/>
              <w:spacing w:line="360" w:lineRule="auto"/>
              <w:rPr>
                <w:rFonts w:asciiTheme="minorEastAsia" w:hAnsiTheme="minorEastAsia" w:eastAsiaTheme="minorEastAsia"/>
                <w:color w:val="auto"/>
                <w:sz w:val="18"/>
                <w:szCs w:val="18"/>
              </w:rPr>
            </w:pPr>
            <w:r>
              <w:rPr>
                <w:rFonts w:hint="eastAsia" w:hAnsi="宋体"/>
                <w:bCs/>
                <w:sz w:val="18"/>
                <w:szCs w:val="18"/>
              </w:rPr>
              <w:t>2.</w:t>
            </w:r>
            <w:r>
              <w:rPr>
                <w:rFonts w:hint="eastAsia" w:asciiTheme="minorEastAsia" w:hAnsiTheme="minorEastAsia" w:eastAsiaTheme="minorEastAsia"/>
                <w:color w:val="auto"/>
                <w:sz w:val="18"/>
                <w:szCs w:val="18"/>
              </w:rPr>
              <w:t>申购的数量限制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（1）单一投资者申购上限为【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3.赎回的数量限制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（1）单一投资者赎回上限为【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（2）投资者可全部或部分赎回其理财份额，但是部分赎回后单一投资者持有产品份额不得低于【</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】。受理财利益分配去尾规则的影响，投资者持有产品份额较低时可能无法取得利益。巨额赎回情景发生时，投资者的可赎回份额需要根据巨额赎回规则确定。</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pStyle w:val="34"/>
              <w:spacing w:line="360" w:lineRule="auto"/>
              <w:rPr>
                <w:rFonts w:asciiTheme="minorEastAsia" w:hAnsiTheme="minorEastAsia" w:eastAsiaTheme="minorEastAsia"/>
                <w:color w:val="auto"/>
                <w:sz w:val="18"/>
                <w:szCs w:val="18"/>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4"/>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预约赎回期中，本产品的累计产品份额净预约赎回申请（预约赎回申请总份额扣除预约申购总份额后的余额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下同）之和达到赎回日上一日产品总份额的【10】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日之前的估值日公布的产品份额净值已扣除理财产品的费用和税收。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spacing w:line="360" w:lineRule="auto"/>
              <w:jc w:val="left"/>
              <w:rPr>
                <w:rFonts w:ascii="宋体"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spacing w:line="360" w:lineRule="auto"/>
              <w:jc w:val="left"/>
              <w:rPr>
                <w:rFonts w:asciiTheme="majorEastAsia" w:hAnsiTheme="majorEastAsia"/>
                <w:bCs/>
                <w:sz w:val="18"/>
                <w:szCs w:val="18"/>
              </w:rPr>
            </w:pPr>
            <w:r>
              <w:rPr>
                <w:rFonts w:hint="eastAsia" w:ascii="宋体" w:hAnsi="宋体"/>
                <w:bCs/>
                <w:sz w:val="18"/>
                <w:szCs w:val="18"/>
              </w:rPr>
              <w:t>（1）业绩比较基准的说明：【</w:t>
            </w:r>
            <w:r>
              <w:rPr>
                <w:rFonts w:hint="eastAsia" w:asciiTheme="majorEastAsia" w:hAnsiTheme="majorEastAsia" w:eastAsiaTheme="majorEastAsia"/>
                <w:bCs/>
                <w:sz w:val="18"/>
                <w:szCs w:val="18"/>
              </w:rPr>
              <w:t>以一年期定期存款利率为无风险利率，基于当前对未来市场的判断，根据拟投资债权类资产的信用利差、久期敞口以及流动性溢价，预判组合的波动幅度，设定业绩比较基准</w:t>
            </w:r>
            <w:r>
              <w:rPr>
                <w:rFonts w:ascii="宋体" w:hAnsi="宋体"/>
                <w:bCs/>
                <w:sz w:val="18"/>
                <w:szCs w:val="18"/>
              </w:rPr>
              <w:t>】</w:t>
            </w:r>
            <w:r>
              <w:rPr>
                <w:rFonts w:hint="eastAsia" w:ascii="宋体" w:hAnsi="宋体"/>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eastAsiaTheme="majorEastAsia"/>
                <w:bCs/>
                <w:sz w:val="18"/>
                <w:szCs w:val="18"/>
              </w:rPr>
              <w:t>：</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ascii="宋体" w:hAnsi="宋体"/>
                <w:bCs/>
                <w:sz w:val="18"/>
                <w:szCs w:val="18"/>
              </w:rPr>
            </w:pPr>
            <w:r>
              <w:rPr>
                <w:rFonts w:asciiTheme="majorEastAsia" w:hAnsiTheme="majorEastAsia"/>
                <w:sz w:val="18"/>
              </w:rPr>
              <w:t>A</w:t>
            </w:r>
            <w:r>
              <w:rPr>
                <w:rFonts w:hint="eastAsia" w:asciiTheme="majorEastAsia" w:hAnsiTheme="majorEastAsia"/>
                <w:sz w:val="18"/>
              </w:rPr>
              <w:t>类份额：年化</w:t>
            </w:r>
            <w:r>
              <w:rPr>
                <w:rFonts w:hint="eastAsia" w:ascii="宋体" w:hAnsi="宋体"/>
                <w:bCs/>
                <w:sz w:val="18"/>
                <w:szCs w:val="18"/>
              </w:rPr>
              <w:t>【</w:t>
            </w:r>
            <w:r>
              <w:rPr>
                <w:rFonts w:ascii="宋体" w:hAnsi="宋体"/>
                <w:bCs/>
                <w:sz w:val="18"/>
                <w:szCs w:val="18"/>
              </w:rPr>
              <w:t>1.</w:t>
            </w:r>
            <w:r>
              <w:rPr>
                <w:rFonts w:hint="eastAsia" w:ascii="宋体" w:hAnsi="宋体"/>
                <w:bCs/>
                <w:sz w:val="18"/>
                <w:szCs w:val="18"/>
                <w:lang w:val="en-US" w:eastAsia="zh-CN"/>
              </w:rPr>
              <w:t>25</w:t>
            </w:r>
            <w:r>
              <w:rPr>
                <w:rFonts w:hint="eastAsia" w:ascii="宋体" w:hAnsi="宋体"/>
                <w:bCs/>
                <w:sz w:val="18"/>
                <w:szCs w:val="18"/>
              </w:rPr>
              <w:t>%-</w:t>
            </w:r>
            <w:r>
              <w:t xml:space="preserve"> </w:t>
            </w:r>
            <w:r>
              <w:rPr>
                <w:rFonts w:ascii="宋体" w:hAnsi="宋体"/>
                <w:bCs/>
                <w:sz w:val="18"/>
                <w:szCs w:val="18"/>
              </w:rPr>
              <w:t>2.</w:t>
            </w:r>
            <w:r>
              <w:rPr>
                <w:rFonts w:hint="eastAsia" w:ascii="宋体" w:hAnsi="宋体"/>
                <w:bCs/>
                <w:sz w:val="18"/>
                <w:szCs w:val="18"/>
                <w:lang w:val="en-US" w:eastAsia="zh-CN"/>
              </w:rPr>
              <w:t>05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15</w:t>
            </w:r>
            <w:r>
              <w:rPr>
                <w:rFonts w:hint="eastAsia" w:ascii="宋体" w:hAnsi="宋体"/>
                <w:bCs/>
                <w:sz w:val="18"/>
                <w:szCs w:val="18"/>
              </w:rPr>
              <w:t>%-</w:t>
            </w:r>
            <w:r>
              <w:rPr>
                <w:rFonts w:hint="eastAsia" w:ascii="宋体" w:hAnsi="宋体"/>
                <w:bCs/>
                <w:sz w:val="18"/>
                <w:szCs w:val="18"/>
                <w:lang w:val="en-US" w:eastAsia="zh-CN"/>
              </w:rPr>
              <w:t>1.95</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Theme="majorEastAsia" w:hAnsiTheme="majorEastAsia" w:eastAsiaTheme="majorEastAsia"/>
                <w:bCs/>
                <w:sz w:val="18"/>
                <w:szCs w:val="18"/>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hint="eastAsia" w:asciiTheme="majorEastAsia" w:hAnsiTheme="majorEastAsia" w:eastAsiaTheme="majorEastAsia"/>
                <w:sz w:val="18"/>
                <w:szCs w:val="18"/>
              </w:rPr>
              <w:t>【</w:t>
            </w:r>
            <w:r>
              <w:rPr>
                <w:rFonts w:ascii="宋体" w:hAnsi="宋体"/>
                <w:bCs/>
                <w:sz w:val="18"/>
                <w:szCs w:val="18"/>
              </w:rPr>
              <w:t>1.</w:t>
            </w:r>
            <w:r>
              <w:rPr>
                <w:rFonts w:hint="eastAsia" w:ascii="宋体" w:hAnsi="宋体"/>
                <w:bCs/>
                <w:sz w:val="18"/>
                <w:szCs w:val="18"/>
                <w:lang w:val="en-US" w:eastAsia="zh-CN"/>
              </w:rPr>
              <w:t>30</w:t>
            </w:r>
            <w:r>
              <w:rPr>
                <w:rFonts w:hint="eastAsia" w:ascii="宋体" w:hAnsi="宋体"/>
                <w:bCs/>
                <w:sz w:val="18"/>
                <w:szCs w:val="18"/>
              </w:rPr>
              <w:t>%-</w:t>
            </w:r>
            <w:r>
              <w:t xml:space="preserve"> </w:t>
            </w:r>
            <w:r>
              <w:rPr>
                <w:rFonts w:ascii="宋体" w:hAnsi="宋体"/>
                <w:bCs/>
                <w:sz w:val="18"/>
                <w:szCs w:val="18"/>
              </w:rPr>
              <w:t>2.</w:t>
            </w:r>
            <w:r>
              <w:rPr>
                <w:rFonts w:hint="eastAsia" w:ascii="宋体" w:hAnsi="宋体"/>
                <w:bCs/>
                <w:sz w:val="18"/>
                <w:szCs w:val="18"/>
                <w:lang w:val="en-US" w:eastAsia="zh-CN"/>
              </w:rPr>
              <w:t>10</w:t>
            </w:r>
            <w:r>
              <w:rPr>
                <w:rFonts w:hint="eastAsia" w:ascii="宋体" w:hAnsi="宋体"/>
                <w:bCs/>
                <w:sz w:val="18"/>
                <w:szCs w:val="18"/>
              </w:rPr>
              <w:t>%</w:t>
            </w:r>
            <w:r>
              <w:rPr>
                <w:rFonts w:hint="eastAsia" w:asciiTheme="majorEastAsia" w:hAnsiTheme="majorEastAsia" w:eastAsiaTheme="majorEastAsia"/>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ascii="宋体" w:hAnsi="宋体"/>
                <w:bCs/>
                <w:sz w:val="18"/>
                <w:szCs w:val="18"/>
              </w:rPr>
            </w:pPr>
            <w:r>
              <w:rPr>
                <w:rFonts w:ascii="宋体"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kern w:val="0"/>
                <w:sz w:val="18"/>
                <w:szCs w:val="18"/>
              </w:rPr>
              <w:t>产品管理人设置业绩报酬计提基准。</w:t>
            </w:r>
          </w:p>
          <w:p>
            <w:pPr>
              <w:spacing w:line="360" w:lineRule="auto"/>
              <w:jc w:val="left"/>
              <w:rPr>
                <w:rFonts w:ascii="宋体" w:hAnsi="宋体"/>
                <w:sz w:val="18"/>
              </w:rPr>
            </w:pPr>
            <w:r>
              <w:rPr>
                <w:rFonts w:ascii="宋体" w:hAnsi="宋体"/>
                <w:bCs/>
                <w:sz w:val="18"/>
                <w:szCs w:val="18"/>
              </w:rPr>
              <w:t>业绩报酬计提基准的</w:t>
            </w:r>
            <w:r>
              <w:rPr>
                <w:rFonts w:ascii="宋体" w:hAnsi="宋体"/>
                <w:sz w:val="18"/>
              </w:rPr>
              <w:t>设定</w:t>
            </w:r>
            <w:r>
              <w:rPr>
                <w:rFonts w:hint="eastAsia" w:ascii="宋体" w:hAnsi="宋体"/>
                <w:sz w:val="18"/>
              </w:rPr>
              <w:t>：管理人</w:t>
            </w:r>
            <w:r>
              <w:rPr>
                <w:rFonts w:ascii="宋体" w:hAnsi="宋体"/>
                <w:sz w:val="18"/>
              </w:rPr>
              <w:t>对本产品设定</w:t>
            </w:r>
            <w:r>
              <w:rPr>
                <w:rFonts w:hint="eastAsia" w:ascii="宋体" w:hAnsi="宋体"/>
                <w:sz w:val="18"/>
              </w:rPr>
              <w:t>业绩报酬计提基准：【</w:t>
            </w:r>
            <w:r>
              <w:rPr>
                <w:rFonts w:hint="eastAsia" w:ascii="宋体" w:hAnsi="宋体"/>
                <w:bCs/>
                <w:sz w:val="18"/>
                <w:szCs w:val="18"/>
              </w:rPr>
              <w:t>业绩比较基准中枢</w:t>
            </w:r>
            <w:r>
              <w:rPr>
                <w:rFonts w:hint="eastAsia" w:ascii="宋体" w:hAnsi="宋体"/>
                <w:sz w:val="18"/>
              </w:rPr>
              <w:t>】。</w:t>
            </w:r>
          </w:p>
          <w:p>
            <w:pPr>
              <w:spacing w:line="360" w:lineRule="auto"/>
              <w:jc w:val="left"/>
              <w:rPr>
                <w:rFonts w:ascii="宋体" w:hAnsi="宋体"/>
                <w:bCs/>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sz w:val="18"/>
                <w:szCs w:val="18"/>
              </w:rPr>
              <w:t>★</w:t>
            </w:r>
            <w:r>
              <w:rPr>
                <w:rFonts w:hint="eastAsia" w:ascii="黑体" w:hAnsi="黑体" w:eastAsia="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b/>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2）申购费：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3）赎回费：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4）销售服</w:t>
            </w:r>
            <w:r>
              <w:rPr>
                <w:rFonts w:hint="eastAsia" w:ascii="黑体" w:hAnsi="黑体" w:eastAsia="黑体"/>
                <w:bCs/>
                <w:color w:val="000000" w:themeColor="text1"/>
                <w:sz w:val="18"/>
                <w:szCs w:val="18"/>
                <w14:textFill>
                  <w14:solidFill>
                    <w14:schemeClr w14:val="tx1"/>
                  </w14:solidFill>
                </w14:textFill>
              </w:rPr>
              <w:t>务费：</w:t>
            </w:r>
            <w:bookmarkStart w:id="182" w:name="_GoBack"/>
            <w:bookmarkEnd w:id="182"/>
          </w:p>
          <w:p>
            <w:pPr>
              <w:spacing w:line="360" w:lineRule="auto"/>
              <w:rPr>
                <w:rFonts w:asciiTheme="majorEastAsia" w:hAnsiTheme="majorEastAsia" w:eastAsiaTheme="majorEastAsia"/>
                <w:sz w:val="18"/>
                <w:szCs w:val="18"/>
              </w:rPr>
            </w:pPr>
            <w:r>
              <w:rPr>
                <w:rFonts w:asciiTheme="majorEastAsia" w:hAnsiTheme="majorEastAsia"/>
                <w:sz w:val="18"/>
              </w:rPr>
              <w:t>A</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4</w:t>
            </w:r>
            <w:r>
              <w:rPr>
                <w:rFonts w:hint="eastAsia" w:asciiTheme="majorEastAsia" w:hAnsiTheme="majorEastAsia" w:eastAsiaTheme="majorEastAsia"/>
                <w:sz w:val="18"/>
                <w:szCs w:val="18"/>
              </w:rPr>
              <w:t>0%】</w:t>
            </w:r>
            <w:r>
              <w:rPr>
                <w:rFonts w:asciiTheme="majorEastAsia" w:hAnsiTheme="majorEastAsia" w:eastAsiaTheme="majorEastAsia"/>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asciiTheme="majorEastAsia" w:hAnsiTheme="majorEastAsia"/>
                <w:sz w:val="18"/>
              </w:rPr>
              <w:t>B</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w:t>
            </w:r>
            <w:r>
              <w:rPr>
                <w:rFonts w:hint="eastAsia" w:asciiTheme="majorEastAsia" w:hAnsiTheme="majorEastAsia" w:eastAsiaTheme="majorEastAsia"/>
                <w:sz w:val="18"/>
                <w:szCs w:val="18"/>
              </w:rPr>
              <w:t>0%】</w:t>
            </w:r>
            <w:r>
              <w:rPr>
                <w:rFonts w:hint="eastAsia" w:ascii="宋体" w:hAnsi="宋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asciiTheme="majorEastAsia" w:hAnsiTheme="majorEastAsia"/>
                <w:sz w:val="18"/>
              </w:rPr>
              <w:t>C</w:t>
            </w:r>
            <w:r>
              <w:rPr>
                <w:rFonts w:hint="eastAsia" w:asciiTheme="majorEastAsia" w:hAnsiTheme="majorEastAsia"/>
                <w:sz w:val="18"/>
              </w:rPr>
              <w:t>类份额：</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35</w:t>
            </w:r>
            <w:r>
              <w:rPr>
                <w:rFonts w:hint="eastAsia" w:asciiTheme="majorEastAsia" w:hAnsiTheme="majorEastAsia" w:eastAsiaTheme="majorEastAsia"/>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0.20%</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6）产品托管费：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sz w:val="18"/>
                <w:szCs w:val="18"/>
                <w:lang w:val="en-US" w:eastAsia="zh-CN"/>
              </w:rPr>
              <w:t>0.03%</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7）超额业绩报酬：</w:t>
            </w:r>
          </w:p>
          <w:p>
            <w:pPr>
              <w:widowControl/>
              <w:spacing w:line="360" w:lineRule="auto"/>
              <w:jc w:val="left"/>
              <w:rPr>
                <w:rFonts w:hint="eastAsia" w:ascii="黑体" w:hAnsi="黑体" w:eastAsia="黑体" w:cs="黑体"/>
                <w:sz w:val="18"/>
                <w:szCs w:val="18"/>
              </w:rPr>
            </w:pPr>
            <w:r>
              <w:rPr>
                <w:rFonts w:hint="eastAsia" w:ascii="黑体" w:hAnsi="黑体" w:eastAsia="黑体" w:cs="黑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w:t>
            </w:r>
            <w:r>
              <w:rPr>
                <w:rFonts w:hint="eastAsia" w:ascii="黑体" w:hAnsi="黑体" w:eastAsia="黑体" w:cs="黑体"/>
                <w:sz w:val="18"/>
                <w:szCs w:val="18"/>
                <w:lang w:val="en-US" w:eastAsia="zh-CN"/>
              </w:rPr>
              <w:t>30%</w:t>
            </w:r>
            <w:r>
              <w:rPr>
                <w:rFonts w:hint="eastAsia" w:ascii="黑体" w:hAnsi="黑体" w:eastAsia="黑体" w:cs="黑体"/>
                <w:sz w:val="18"/>
                <w:szCs w:val="18"/>
              </w:rPr>
              <w:t>】作为超额业绩报酬。</w:t>
            </w:r>
          </w:p>
          <w:p>
            <w:pPr>
              <w:spacing w:line="360" w:lineRule="auto"/>
              <w:rPr>
                <w:rFonts w:hint="eastAsia"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8" w:name="_Toc79154666"/>
      <w:bookmarkStart w:id="9" w:name="_Toc116984886"/>
      <w:bookmarkStart w:id="10" w:name="_Toc176181114"/>
      <w:bookmarkStart w:id="11" w:name="_Toc92377132"/>
      <w:r>
        <w:rPr>
          <w:rFonts w:ascii="Times New Roman"/>
          <w:sz w:val="30"/>
        </w:rPr>
        <w:t>第</w:t>
      </w:r>
      <w:r>
        <w:rPr>
          <w:rFonts w:hint="eastAsia" w:ascii="Times New Roman"/>
          <w:sz w:val="30"/>
        </w:rPr>
        <w:t>三条</w:t>
      </w:r>
      <w:r>
        <w:rPr>
          <w:rFonts w:ascii="Times New Roman"/>
          <w:sz w:val="30"/>
        </w:rPr>
        <w:t xml:space="preserve">  </w:t>
      </w:r>
      <w:bookmarkStart w:id="12" w:name="_Toc79392573"/>
      <w:r>
        <w:rPr>
          <w:rFonts w:hint="eastAsia" w:ascii="Times New Roman"/>
          <w:sz w:val="30"/>
        </w:rPr>
        <w:t>理财产品的认购</w:t>
      </w:r>
      <w:bookmarkEnd w:id="8"/>
      <w:bookmarkEnd w:id="9"/>
      <w:bookmarkEnd w:id="10"/>
      <w:bookmarkEnd w:id="11"/>
    </w:p>
    <w:p>
      <w:pPr>
        <w:spacing w:line="360" w:lineRule="auto"/>
        <w:ind w:firstLine="361" w:firstLineChars="200"/>
        <w:outlineLvl w:val="1"/>
        <w:rPr>
          <w:rFonts w:asciiTheme="minorEastAsia" w:hAnsiTheme="minorEastAsia"/>
          <w:b/>
          <w:bCs/>
          <w:sz w:val="18"/>
          <w:szCs w:val="18"/>
        </w:rPr>
      </w:pPr>
      <w:bookmarkStart w:id="13" w:name="_Hlt88031774"/>
      <w:bookmarkEnd w:id="13"/>
      <w:bookmarkStart w:id="14" w:name="_Hlt88031741"/>
      <w:r>
        <w:rPr>
          <w:rFonts w:hint="eastAsia" w:asciiTheme="minorEastAsia" w:hAnsiTheme="minorEastAsia"/>
          <w:b/>
          <w:bCs/>
          <w:sz w:val="18"/>
          <w:szCs w:val="18"/>
        </w:rPr>
        <w:t>（一）理财产品的认购</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认购期/募集期内投资者可提交认购申请。提交认购申请并不代表认购成功，产品管理人将在认购确认日确认投资者是否认购成功，是否成功以管理人的确认结果为准。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6.认购份额的计算</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认购期/募集期内资金产生的利息（如有），不计入本金份额。</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5" w:name="_Toc116984887"/>
      <w:bookmarkStart w:id="16" w:name="_Toc176181115"/>
      <w:bookmarkStart w:id="17" w:name="_Toc92377133"/>
      <w:bookmarkStart w:id="18" w:name="_Toc79154667"/>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5"/>
      <w:bookmarkEnd w:id="16"/>
      <w:bookmarkEnd w:id="17"/>
      <w:bookmarkEnd w:id="18"/>
    </w:p>
    <w:bookmarkEnd w:id="14"/>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本产品设置预约申购期，具体的预约申购期时间以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本产品预约申购期内提出预约申购申请。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2.申购的方式</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bCs/>
          <w:kern w:val="0"/>
          <w:sz w:val="18"/>
          <w:szCs w:val="18"/>
        </w:rPr>
      </w:pPr>
      <w:r>
        <w:rPr>
          <w:rFonts w:hint="eastAsia" w:asciiTheme="minorEastAsia" w:hAnsiTheme="minorEastAsia"/>
          <w:bCs/>
          <w:kern w:val="0"/>
          <w:sz w:val="18"/>
          <w:szCs w:val="18"/>
        </w:rPr>
        <w:t>提交预约申购申请并不代表申购成功，产品管理人将在申购确认日确认投资者是否申购成功，是否成功以管理人的确认结果为准。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净申购金额=申购金额/（1+申购费率）</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申购费用=申购金额－净申购金额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申购份额=净申购金额/申购日产品份额净值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上述计算结果均按四舍五入方法，保留到小数点后2位，由此产生的收益或损失由理财产品承担。</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本产品设置预约赎回期，具体的预约赎回期时间以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Ansi="宋体"/>
          <w:bCs/>
          <w:color w:val="auto"/>
          <w:sz w:val="18"/>
          <w:szCs w:val="18"/>
        </w:rPr>
        <w:t>投资者</w:t>
      </w:r>
      <w:r>
        <w:rPr>
          <w:rFonts w:hint="eastAsia" w:hAnsi="宋体"/>
          <w:bCs/>
          <w:color w:val="auto"/>
          <w:sz w:val="18"/>
          <w:szCs w:val="18"/>
        </w:rPr>
        <w:t>可在</w:t>
      </w:r>
      <w:r>
        <w:rPr>
          <w:rFonts w:hint="eastAsia" w:asciiTheme="majorEastAsia" w:hAnsiTheme="majorEastAsia" w:eastAsiaTheme="majorEastAsia"/>
          <w:bCs/>
          <w:color w:val="auto"/>
          <w:sz w:val="18"/>
          <w:szCs w:val="18"/>
        </w:rPr>
        <w:t>本产品预约赎回期内提出预约赎回申请。</w:t>
      </w:r>
    </w:p>
    <w:p>
      <w:pPr>
        <w:pStyle w:val="34"/>
        <w:spacing w:line="360" w:lineRule="auto"/>
        <w:ind w:firstLine="361" w:firstLineChars="200"/>
        <w:outlineLvl w:val="2"/>
        <w:rPr>
          <w:rFonts w:asciiTheme="minorEastAsia" w:hAnsiTheme="minorEastAsia"/>
          <w:b/>
          <w:bCs/>
          <w:color w:val="auto"/>
          <w:sz w:val="18"/>
          <w:szCs w:val="18"/>
        </w:rPr>
      </w:pPr>
      <w:r>
        <w:rPr>
          <w:rFonts w:hint="eastAsia" w:asciiTheme="minorEastAsia" w:hAnsiTheme="minorEastAsia"/>
          <w:b/>
          <w:bCs/>
          <w:color w:val="auto"/>
          <w:sz w:val="18"/>
          <w:szCs w:val="18"/>
        </w:rPr>
        <w:t>2.赎回的方式</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4"/>
        <w:spacing w:line="360" w:lineRule="auto"/>
        <w:ind w:firstLine="361" w:firstLineChars="200"/>
        <w:outlineLvl w:val="2"/>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pPr>
        <w:spacing w:line="360" w:lineRule="auto"/>
        <w:ind w:firstLine="360" w:firstLineChars="200"/>
        <w:rPr>
          <w:rFonts w:asciiTheme="minorEastAsia" w:hAnsiTheme="minorEastAsia" w:eastAsiaTheme="minorEastAsia"/>
          <w:sz w:val="18"/>
          <w:szCs w:val="18"/>
        </w:rPr>
      </w:pPr>
      <w:r>
        <w:rPr>
          <w:rFonts w:hint="eastAsia" w:asciiTheme="minorEastAsia" w:hAnsiTheme="minorEastAsia"/>
          <w:bCs/>
          <w:sz w:val="18"/>
          <w:szCs w:val="18"/>
        </w:rPr>
        <w:t>提交预约赎回申请并不代表赎回成功，产品管理人将在赎回确认日确认投资者是否赎回成功，是否成功以管理人的确认结果为准。</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outlineLvl w:val="2"/>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pStyle w:val="34"/>
        <w:spacing w:line="360" w:lineRule="auto"/>
        <w:ind w:firstLine="361" w:firstLineChars="200"/>
        <w:outlineLvl w:val="2"/>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赎回总金额=赎回份额×赎回日该产品份额净值</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赎回费用=赎回总金额×赎回费率</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净赎回金额=赎回总金额-赎回费用</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4"/>
        <w:spacing w:line="360" w:lineRule="auto"/>
        <w:ind w:firstLine="361" w:firstLineChars="200"/>
        <w:outlineLvl w:val="2"/>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3.</w:t>
      </w:r>
      <w:r>
        <w:rPr>
          <w:rFonts w:asciiTheme="majorEastAsia" w:hAnsiTheme="majorEastAsia" w:eastAsiaTheme="majorEastAsia"/>
          <w:color w:val="auto"/>
          <w:sz w:val="18"/>
          <w:szCs w:val="18"/>
        </w:rPr>
        <w:t>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w:t>
      </w:r>
      <w:r>
        <w:rPr>
          <w:rFonts w:asciiTheme="majorEastAsia" w:hAnsiTheme="majorEastAsia" w:eastAsiaTheme="majorEastAsia"/>
          <w:color w:val="auto"/>
          <w:sz w:val="18"/>
          <w:szCs w:val="18"/>
        </w:rPr>
        <w:t>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超出部分的净预约赎回申请，但投资者可于下一预约赎回期重新进行预约赎回申请；（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outlineLvl w:val="2"/>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在发生巨额赎回产品管理人暂停接受投资者预约赎回申请时，产品管理人将依约定发布相关公告信息。</w:t>
      </w:r>
    </w:p>
    <w:p>
      <w:pPr>
        <w:pStyle w:val="34"/>
        <w:spacing w:line="360" w:lineRule="auto"/>
        <w:ind w:left="210" w:leftChars="100" w:firstLine="181" w:firstLineChars="100"/>
        <w:outlineLvl w:val="1"/>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outlineLvl w:val="1"/>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2"/>
    <w:p>
      <w:pPr>
        <w:pStyle w:val="2"/>
        <w:spacing w:before="0" w:after="0" w:line="360" w:lineRule="auto"/>
        <w:jc w:val="center"/>
        <w:rPr>
          <w:rFonts w:ascii="Times New Roman"/>
          <w:sz w:val="30"/>
        </w:rPr>
      </w:pPr>
      <w:bookmarkStart w:id="19" w:name="_Toc116984888"/>
      <w:bookmarkStart w:id="20" w:name="_Toc27189"/>
      <w:bookmarkStart w:id="21" w:name="_Toc79154668"/>
      <w:bookmarkStart w:id="22" w:name="_Toc15203"/>
      <w:bookmarkStart w:id="23" w:name="_Toc90742390"/>
      <w:bookmarkStart w:id="24" w:name="_Toc3266"/>
      <w:bookmarkStart w:id="25" w:name="_Toc29784"/>
      <w:bookmarkStart w:id="26" w:name="_Toc16265"/>
      <w:bookmarkStart w:id="27" w:name="_Toc176181116"/>
      <w:bookmarkStart w:id="28" w:name="_Toc27226"/>
      <w:bookmarkStart w:id="29" w:name="_Toc90742321"/>
      <w:bookmarkStart w:id="30" w:name="_Toc22074"/>
      <w:bookmarkStart w:id="31" w:name="_Toc74065741"/>
      <w:bookmarkStart w:id="32" w:name="_Toc29948"/>
      <w:bookmarkStart w:id="33" w:name="_Toc90742688"/>
      <w:bookmarkStart w:id="34" w:name="_Toc6714"/>
      <w:bookmarkStart w:id="35" w:name="_Toc92377134"/>
      <w:bookmarkStart w:id="36" w:name="_Toc7151"/>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r>
        <w:rPr>
          <w:rFonts w:hint="eastAsia" w:asciiTheme="majorEastAsia" w:hAnsiTheme="majorEastAsia" w:eastAsiaTheme="majorEastAsia"/>
          <w:bCs/>
          <w:color w:val="auto"/>
          <w:sz w:val="18"/>
          <w:szCs w:val="18"/>
          <w:lang w:eastAsia="zh-CN"/>
        </w:rPr>
        <w:t>。</w:t>
      </w:r>
      <w:r>
        <w:rPr>
          <w:rFonts w:hint="eastAsia" w:asciiTheme="majorEastAsia" w:hAnsiTheme="majorEastAsia" w:eastAsiaTheme="majorEastAsia"/>
          <w:bCs/>
          <w:color w:val="auto"/>
          <w:sz w:val="18"/>
          <w:szCs w:val="18"/>
        </w:rPr>
        <w:t>】</w:t>
      </w:r>
      <w:permEnd w:id="14"/>
    </w:p>
    <w:p>
      <w:pPr>
        <w:pStyle w:val="34"/>
        <w:spacing w:line="360" w:lineRule="auto"/>
        <w:ind w:firstLine="361" w:firstLineChars="200"/>
        <w:outlineLvl w:val="1"/>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本产品主要投资范围包括但不限于（实际投资范围可根据法律法规及监管规定进行调整）：</w:t>
      </w:r>
    </w:p>
    <w:p>
      <w:pPr>
        <w:pStyle w:val="34"/>
        <w:spacing w:line="360" w:lineRule="auto"/>
        <w:ind w:firstLine="360" w:firstLineChars="200"/>
        <w:rPr>
          <w:rFonts w:asciiTheme="majorEastAsia" w:hAnsiTheme="majorEastAsia" w:eastAsiaTheme="majorEastAsia"/>
          <w:bCs/>
          <w:color w:val="auto"/>
          <w:sz w:val="18"/>
          <w:szCs w:val="18"/>
        </w:rPr>
      </w:pPr>
      <w:permStart w:id="15" w:edGrp="everyone"/>
      <w:r>
        <w:rPr>
          <w:rFonts w:hint="eastAsia" w:asciiTheme="majorEastAsia" w:hAnsiTheme="majorEastAsia" w:eastAsiaTheme="majorEastAsia"/>
          <w:bCs/>
          <w:color w:val="auto"/>
          <w:sz w:val="18"/>
          <w:szCs w:val="18"/>
        </w:rPr>
        <w:t>（1）银行存款、债券逆回购、货币基金等货币市场工具及其它银行间和交易所资金融通工具；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（3）符合监管要求的债权类资产。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（4）以套期保值为目的的国债期货、利率互换、信用风险缓释工具、债券借贷。</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（6）其他风险不高于前述资产的资产。</w:t>
      </w:r>
      <w:permEnd w:id="15"/>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（1）本产品投资于债权类资产的比例不低于产品总资产的80%。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（2）符合监管要求的非标准化债权类资产低于产品净资产的50%。</w:t>
      </w:r>
    </w:p>
    <w:p>
      <w:pPr>
        <w:autoSpaceDE w:val="0"/>
        <w:autoSpaceDN w:val="0"/>
        <w:adjustRightInd w:val="0"/>
        <w:spacing w:line="360" w:lineRule="auto"/>
        <w:ind w:firstLine="360" w:firstLineChars="200"/>
        <w:jc w:val="left"/>
        <w:rPr>
          <w:rFonts w:hint="eastAsia" w:asciiTheme="majorEastAsia" w:hAnsiTheme="majorEastAsia" w:eastAsiaTheme="majorEastAsia"/>
          <w:bCs/>
          <w:color w:val="auto"/>
          <w:sz w:val="18"/>
          <w:szCs w:val="18"/>
        </w:rPr>
      </w:pPr>
      <w:r>
        <w:rPr>
          <w:rFonts w:hint="eastAsia" w:asciiTheme="majorEastAsia" w:hAnsiTheme="majorEastAsia" w:eastAsiaTheme="majorEastAsia"/>
          <w:bCs/>
          <w:kern w:val="0"/>
          <w:sz w:val="18"/>
          <w:szCs w:val="18"/>
        </w:rPr>
        <w:t>（3）国债期货、利率互换、债券借贷的合约价值占产品总资产比例不高于5%</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 非因管理人主观因素导致突破前款规定比例限制的，产品管理人在流动性受限资产可出售、可转让或者恢复交易的1</w:t>
      </w:r>
      <w:r>
        <w:rPr>
          <w:rFonts w:hint="eastAsia" w:asciiTheme="majorEastAsia" w:hAnsiTheme="majorEastAsia" w:eastAsiaTheme="majorEastAsia"/>
          <w:bCs/>
          <w:color w:val="auto"/>
          <w:sz w:val="18"/>
          <w:szCs w:val="18"/>
          <w:lang w:val="en-US" w:eastAsia="zh-CN"/>
        </w:rPr>
        <w:t>5</w:t>
      </w:r>
      <w:r>
        <w:rPr>
          <w:rFonts w:hint="eastAsia" w:asciiTheme="majorEastAsia" w:hAnsiTheme="majorEastAsia" w:eastAsiaTheme="majorEastAsia"/>
          <w:bCs/>
          <w:color w:val="auto"/>
          <w:sz w:val="18"/>
          <w:szCs w:val="18"/>
        </w:rPr>
        <w:t xml:space="preserve">个交易日内调整至符合要求，监管机构规定的特殊情形除外。 </w:t>
      </w:r>
    </w:p>
    <w:p>
      <w:pPr>
        <w:autoSpaceDE w:val="0"/>
        <w:autoSpaceDN w:val="0"/>
        <w:adjustRightInd w:val="0"/>
        <w:spacing w:line="360" w:lineRule="auto"/>
        <w:ind w:firstLine="361" w:firstLineChars="200"/>
        <w:jc w:val="left"/>
        <w:rPr>
          <w:rFonts w:asciiTheme="majorEastAsia" w:hAnsiTheme="majorEastAsia" w:eastAsiaTheme="majorEastAsia"/>
          <w:bCs/>
          <w:sz w:val="18"/>
          <w:szCs w:val="18"/>
        </w:rPr>
      </w:pPr>
      <w:r>
        <w:rPr>
          <w:rFonts w:hint="eastAsia" w:asciiTheme="majorEastAsia" w:hAnsiTheme="majorEastAsia" w:eastAsiaTheme="majorEastAsia"/>
          <w:b/>
          <w:bCs/>
          <w:kern w:val="0"/>
          <w:sz w:val="18"/>
          <w:szCs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outlineLvl w:val="1"/>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pStyle w:val="34"/>
        <w:spacing w:line="360" w:lineRule="auto"/>
        <w:ind w:firstLine="360" w:firstLineChars="200"/>
        <w:rPr>
          <w:rFonts w:asciiTheme="majorEastAsia" w:hAnsiTheme="majorEastAsia" w:eastAsiaTheme="majorEastAsia"/>
          <w:color w:val="auto"/>
          <w:sz w:val="18"/>
          <w:szCs w:val="18"/>
        </w:rPr>
      </w:pPr>
      <w:permStart w:id="18" w:edGrp="everyone"/>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本</w:t>
      </w:r>
      <w:r>
        <w:rPr>
          <w:rFonts w:hint="eastAsia" w:asciiTheme="majorEastAsia" w:hAnsiTheme="majorEastAsia" w:eastAsiaTheme="majorEastAsia"/>
          <w:color w:val="auto"/>
          <w:sz w:val="18"/>
          <w:szCs w:val="18"/>
        </w:rPr>
        <w:t>产品投资单只证券或者单只公募证券投资基金的市值不得超过该理财产品净资产的</w:t>
      </w:r>
      <w:r>
        <w:rPr>
          <w:rFonts w:asciiTheme="majorEastAsia" w:hAnsiTheme="majorEastAsia" w:eastAsiaTheme="majorEastAsia"/>
          <w:color w:val="auto"/>
          <w:sz w:val="18"/>
          <w:szCs w:val="18"/>
        </w:rPr>
        <w:t>10%</w:t>
      </w:r>
      <w:r>
        <w:rPr>
          <w:rFonts w:hint="eastAsia" w:asciiTheme="majorEastAsia" w:hAnsiTheme="majorEastAsia" w:eastAsiaTheme="majorEastAsia"/>
          <w:color w:val="auto"/>
          <w:sz w:val="18"/>
          <w:szCs w:val="18"/>
        </w:rPr>
        <w:t>。</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（3）本产品管理人全部理财产品持有单一上市公司发行的股票，不得超过该上市公司可流通股票的30%。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（4）本产品管理人全部开放式公募理财产品投资单一上市公司发行的股票不得超过该上市公司可流通股票的15%。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（5）本产品直接投资于流动性受限资产的市值在开放日不得超过该产品资产净值的15%。</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本产品每日确认且需当日支付的净赎回申请不超过前一工作日产品7个工作日可变现资产的可变现价值，银保监会另有规定的除外。在开放日前一工作日内，本产品7个工作日可变现资产的可变现价值应当不低于该产品资产净值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kern w:val="0"/>
          <w:sz w:val="18"/>
          <w:szCs w:val="18"/>
        </w:rPr>
        <w:t>（8）本产品因为流动性需要可开展存单质押、债券正回购等融资业务，本产品总资产不超过净资产的140%</w:t>
      </w:r>
      <w:r>
        <w:rPr>
          <w:rFonts w:hint="eastAsia" w:asciiTheme="majorEastAsia" w:hAnsiTheme="majorEastAsia" w:eastAsiaTheme="majorEastAsia"/>
          <w:bCs/>
          <w:sz w:val="18"/>
          <w:szCs w:val="18"/>
        </w:rPr>
        <w:t xml:space="preserve">。 </w:t>
      </w:r>
      <w:permEnd w:id="18"/>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outlineLvl w:val="1"/>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bCs/>
          <w:color w:val="auto"/>
          <w:sz w:val="18"/>
          <w:szCs w:val="18"/>
        </w:rPr>
      </w:pPr>
      <w:permStart w:id="19" w:edGrp="everyone"/>
      <w:r>
        <w:rPr>
          <w:rFonts w:hint="eastAsia" w:asciiTheme="majorEastAsia" w:hAnsiTheme="majorEastAsia" w:eastAsiaTheme="majorEastAsia"/>
          <w:bCs/>
          <w:color w:val="auto"/>
          <w:sz w:val="18"/>
          <w:szCs w:val="18"/>
        </w:rPr>
        <w:t>【通过对经济基本面、企业盈利、无风险利率水平、资金面等因素进行定性和定量分析，根据产品的业绩目标和回撤目标制定各个阶段产品资产投资比例。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ermEnd w:id="19"/>
    <w:p>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37" w:name="_Toc18797"/>
      <w:bookmarkStart w:id="38" w:name="_Toc21988"/>
      <w:bookmarkStart w:id="39" w:name="_Toc176181117"/>
      <w:bookmarkStart w:id="40" w:name="_Toc14893"/>
      <w:bookmarkStart w:id="41" w:name="_Toc7848"/>
      <w:bookmarkStart w:id="42" w:name="_Toc79154669"/>
      <w:bookmarkStart w:id="43" w:name="_Toc18526"/>
      <w:bookmarkStart w:id="44" w:name="_Toc116984889"/>
      <w:bookmarkStart w:id="45" w:name="_Toc4741"/>
      <w:bookmarkStart w:id="46" w:name="_Toc74065742"/>
      <w:bookmarkStart w:id="47" w:name="_Toc26986"/>
      <w:bookmarkStart w:id="48" w:name="_Toc92377135"/>
      <w:bookmarkStart w:id="49" w:name="_Toc17912"/>
      <w:bookmarkStart w:id="50" w:name="_Toc141703885"/>
      <w:bookmarkStart w:id="51" w:name="_Toc18329"/>
      <w:bookmarkStart w:id="52" w:name="_Toc1823"/>
      <w:bookmarkStart w:id="53" w:name="_Toc139991735"/>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34"/>
        <w:spacing w:line="360" w:lineRule="auto"/>
        <w:ind w:firstLine="361" w:firstLineChars="200"/>
        <w:outlineLvl w:val="1"/>
        <w:rPr>
          <w:rFonts w:asciiTheme="majorEastAsia" w:hAnsiTheme="majorEastAsia" w:eastAsiaTheme="majorEastAsia"/>
          <w:b/>
          <w:color w:val="auto"/>
          <w:sz w:val="18"/>
          <w:szCs w:val="18"/>
        </w:rPr>
      </w:pPr>
      <w:bookmarkStart w:id="54"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54"/>
    <w:p>
      <w:pPr>
        <w:pStyle w:val="2"/>
        <w:spacing w:before="0" w:after="0" w:line="360" w:lineRule="auto"/>
        <w:jc w:val="center"/>
        <w:rPr>
          <w:rFonts w:ascii="Times New Roman"/>
          <w:sz w:val="28"/>
          <w:szCs w:val="28"/>
        </w:rPr>
      </w:pPr>
      <w:bookmarkStart w:id="55" w:name="_Toc92377136"/>
      <w:bookmarkStart w:id="56" w:name="_Toc176181118"/>
      <w:bookmarkStart w:id="57" w:name="_Toc116984890"/>
      <w:bookmarkStart w:id="58" w:name="_Toc83391971"/>
      <w:bookmarkStart w:id="59" w:name="_Toc139991736"/>
      <w:bookmarkStart w:id="60" w:name="_Toc23822"/>
      <w:bookmarkStart w:id="61" w:name="_Toc74065743"/>
      <w:bookmarkStart w:id="62" w:name="_Toc79392606"/>
      <w:bookmarkStart w:id="63" w:name="_Toc610"/>
      <w:bookmarkStart w:id="64" w:name="_Toc123112234"/>
      <w:bookmarkStart w:id="65" w:name="_Toc98560352"/>
      <w:bookmarkStart w:id="66" w:name="_Toc79154670"/>
      <w:bookmarkStart w:id="67" w:name="_Toc1270"/>
      <w:bookmarkStart w:id="68" w:name="_Toc17244"/>
      <w:bookmarkStart w:id="69" w:name="_Toc141703886"/>
      <w:bookmarkStart w:id="70" w:name="_Toc1427"/>
      <w:bookmarkStart w:id="71" w:name="_Toc23261"/>
      <w:bookmarkStart w:id="72" w:name="_Toc123051452"/>
      <w:bookmarkStart w:id="73" w:name="_Toc123102453"/>
      <w:bookmarkStart w:id="74" w:name="_Toc20733"/>
      <w:bookmarkStart w:id="75" w:name="_Toc10463"/>
      <w:bookmarkStart w:id="76" w:name="_Toc7920"/>
      <w:bookmarkStart w:id="77" w:name="_Toc4003"/>
      <w:bookmarkStart w:id="78" w:name="_Toc48649707"/>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55"/>
      <w:bookmarkEnd w:id="56"/>
      <w:bookmarkEnd w:id="57"/>
      <w:bookmarkEnd w:id="58"/>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asciiTheme="minorEastAsia" w:hAnsiTheme="minorEastAsia" w:eastAsiaTheme="minorEastAsia"/>
          <w:sz w:val="18"/>
          <w:szCs w:val="18"/>
        </w:rPr>
        <w:t>本产品存续期间</w:t>
      </w:r>
      <w:r>
        <w:rPr>
          <w:rFonts w:hint="eastAsia" w:cs="Times New Roman" w:asciiTheme="minorEastAsia" w:hAnsiTheme="minorEastAsia" w:eastAsiaTheme="minorEastAsia"/>
          <w:sz w:val="18"/>
          <w:szCs w:val="18"/>
        </w:rPr>
        <w:t>，每【</w:t>
      </w:r>
      <w:r>
        <w:rPr>
          <w:rFonts w:hint="eastAsia" w:cs="Times New Roman" w:asciiTheme="minorEastAsia" w:hAnsiTheme="minorEastAsia" w:eastAsiaTheme="minorEastAsia"/>
          <w:sz w:val="18"/>
          <w:szCs w:val="18"/>
          <w:lang w:val="en-US" w:eastAsia="zh-CN"/>
        </w:rPr>
        <w:t>周</w:t>
      </w:r>
      <w:r>
        <w:rPr>
          <w:rFonts w:hint="eastAsia" w:cs="Times New Roman" w:asciiTheme="minorEastAsia" w:hAnsiTheme="minorEastAsia" w:eastAsiaTheme="minorEastAsia"/>
          <w:sz w:val="18"/>
          <w:szCs w:val="18"/>
        </w:rPr>
        <w:t>】进行一次估值。如遇产品</w:t>
      </w:r>
      <w:r>
        <w:rPr>
          <w:rFonts w:cs="Times New Roman" w:asciiTheme="minorEastAsia" w:hAnsiTheme="minorEastAsia" w:eastAsiaTheme="minorEastAsia"/>
          <w:sz w:val="18"/>
          <w:szCs w:val="18"/>
        </w:rPr>
        <w:t>申购</w:t>
      </w:r>
      <w:r>
        <w:rPr>
          <w:rFonts w:hint="eastAsia" w:cs="Times New Roman" w:asciiTheme="minorEastAsia" w:hAnsiTheme="minorEastAsia" w:eastAsiaTheme="minorEastAsia"/>
          <w:sz w:val="18"/>
          <w:szCs w:val="18"/>
        </w:rPr>
        <w:t>日</w:t>
      </w:r>
      <w:r>
        <w:rPr>
          <w:rFonts w:cs="Times New Roman" w:asciiTheme="minorEastAsia" w:hAnsiTheme="minorEastAsia" w:eastAsiaTheme="minorEastAsia"/>
          <w:sz w:val="18"/>
          <w:szCs w:val="18"/>
        </w:rPr>
        <w:t>/赎回</w:t>
      </w:r>
      <w:r>
        <w:rPr>
          <w:rFonts w:hint="eastAsia" w:cs="Times New Roman" w:asciiTheme="minorEastAsia" w:hAnsiTheme="minorEastAsia" w:eastAsiaTheme="minorEastAsia"/>
          <w:sz w:val="18"/>
          <w:szCs w:val="18"/>
        </w:rPr>
        <w:t>日、季度末</w:t>
      </w:r>
      <w:r>
        <w:rPr>
          <w:rFonts w:cs="Times New Roman" w:asciiTheme="minorEastAsia" w:hAnsiTheme="minorEastAsia" w:eastAsiaTheme="minorEastAsia"/>
          <w:sz w:val="18"/>
          <w:szCs w:val="18"/>
        </w:rPr>
        <w:t>、半年度</w:t>
      </w:r>
      <w:r>
        <w:rPr>
          <w:rFonts w:hint="eastAsia" w:cs="Times New Roman" w:asciiTheme="minorEastAsia" w:hAnsiTheme="minorEastAsia" w:eastAsiaTheme="minorEastAsia"/>
          <w:sz w:val="18"/>
          <w:szCs w:val="18"/>
        </w:rPr>
        <w:t>末</w:t>
      </w:r>
      <w:r>
        <w:rPr>
          <w:rFonts w:cs="Times New Roman" w:asciiTheme="minorEastAsia" w:hAnsiTheme="minorEastAsia" w:eastAsiaTheme="minorEastAsia"/>
          <w:sz w:val="18"/>
          <w:szCs w:val="18"/>
        </w:rPr>
        <w:t>、年度</w:t>
      </w:r>
      <w:r>
        <w:rPr>
          <w:rFonts w:hint="eastAsia" w:cs="Times New Roman" w:asciiTheme="minorEastAsia" w:hAnsiTheme="minorEastAsia" w:eastAsiaTheme="minorEastAsia"/>
          <w:sz w:val="18"/>
          <w:szCs w:val="18"/>
        </w:rPr>
        <w:t>末等时间节点管理</w:t>
      </w:r>
      <w:r>
        <w:rPr>
          <w:rFonts w:cs="Times New Roman" w:asciiTheme="minorEastAsia" w:hAnsiTheme="minorEastAsia" w:eastAsiaTheme="minorEastAsia"/>
          <w:sz w:val="18"/>
          <w:szCs w:val="18"/>
        </w:rPr>
        <w:t>人将</w:t>
      </w:r>
      <w:r>
        <w:rPr>
          <w:rFonts w:hint="eastAsia" w:cs="Times New Roman" w:asciiTheme="minorEastAsia" w:hAnsiTheme="minorEastAsia" w:eastAsiaTheme="minorEastAsia"/>
          <w:sz w:val="18"/>
          <w:szCs w:val="18"/>
        </w:rPr>
        <w:t>增加估值日</w:t>
      </w:r>
      <w:r>
        <w:rPr>
          <w:rFonts w:hint="eastAsia" w:asciiTheme="minorEastAsia" w:hAnsiTheme="minorEastAsia" w:eastAsiaTheme="minorEastAsia"/>
          <w:color w:val="2E3033"/>
          <w:sz w:val="18"/>
          <w:szCs w:val="18"/>
        </w:rPr>
        <w:t>。</w:t>
      </w:r>
    </w:p>
    <w:permEnd w:id="20"/>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4"/>
        <w:spacing w:line="360" w:lineRule="auto"/>
        <w:ind w:firstLine="361" w:firstLineChars="200"/>
        <w:outlineLvl w:val="1"/>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标准化债权类资产估值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1）标准化债权类资产以公允价值计量，主要依据为第三方估值机构提供的价格数据。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w:t>
      </w:r>
      <w:r>
        <w:rPr>
          <w:rFonts w:hint="eastAsia" w:asciiTheme="majorEastAsia" w:hAnsiTheme="majorEastAsia" w:eastAsiaTheme="majorEastAsia"/>
          <w:bCs/>
          <w:sz w:val="18"/>
          <w:szCs w:val="18"/>
        </w:rPr>
        <w:t>对已发行但未上市流通，且第三方估值机构未提供估值数据的标准化债权类资产，采用当前情况下适用并且有足够可利用数据和其他信息支持的估值技术确定其公允价值。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sz w:val="18"/>
          <w:szCs w:val="18"/>
        </w:rPr>
        <w:t>对于同时在多个不同市场交易的标准化债权类资产，按照其所处的市场及相应的估值标准，分别进行估值。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3.非标准化债权类资产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4.上市公司股票</w:t>
      </w:r>
      <w:r>
        <w:rPr>
          <w:rFonts w:hint="eastAsia" w:asciiTheme="majorEastAsia" w:hAnsiTheme="majorEastAsia" w:eastAsiaTheme="majorEastAsia"/>
          <w:bCs/>
          <w:color w:val="auto"/>
          <w:sz w:val="18"/>
          <w:szCs w:val="18"/>
        </w:rPr>
        <w:t>估值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5.未上市公司股权</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int="eastAsia"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6.</w:t>
      </w:r>
      <w:r>
        <w:rPr>
          <w:rFonts w:hint="eastAsia" w:asciiTheme="minorEastAsia" w:hAnsiTheme="minorEastAsia" w:eastAsiaTheme="minorEastAsia"/>
          <w:color w:val="auto"/>
          <w:sz w:val="18"/>
          <w:szCs w:val="18"/>
        </w:rPr>
        <w:t>优先股</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7.</w:t>
      </w:r>
      <w:r>
        <w:rPr>
          <w:rFonts w:hint="eastAsia" w:asciiTheme="minorEastAsia" w:hAnsiTheme="minorEastAsia" w:eastAsiaTheme="minorEastAsia"/>
          <w:color w:val="auto"/>
          <w:sz w:val="18"/>
          <w:szCs w:val="18"/>
        </w:rPr>
        <w:t>证券投资基金估值</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r>
        <w:rPr>
          <w:rFonts w:asciiTheme="minorEastAsia" w:hAnsiTheme="minorEastAsia" w:eastAsiaTheme="minorEastAsia"/>
          <w:color w:val="auto"/>
          <w:sz w:val="18"/>
          <w:szCs w:val="18"/>
        </w:rPr>
        <w:t>。</w:t>
      </w:r>
    </w:p>
    <w:p>
      <w:pPr>
        <w:pStyle w:val="34"/>
        <w:spacing w:line="360" w:lineRule="auto"/>
        <w:ind w:firstLine="360" w:firstLineChars="200"/>
        <w:outlineLvl w:val="2"/>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8.</w:t>
      </w:r>
      <w:r>
        <w:rPr>
          <w:rFonts w:hint="eastAsia" w:asciiTheme="minorEastAsia" w:hAnsiTheme="minorEastAsia" w:eastAsiaTheme="minorEastAsia"/>
          <w:color w:val="auto"/>
          <w:sz w:val="18"/>
          <w:szCs w:val="18"/>
        </w:rPr>
        <w:t>其他资产管理产品的估值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（2）对于非交易所交易的衍生金融工具，可依据第三方机构提供的价格数据或采取相应衍生金融工具估值模型确定公允价值。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10.</w:t>
      </w:r>
      <w:r>
        <w:rPr>
          <w:rFonts w:hint="eastAsia" w:asciiTheme="minorEastAsia" w:hAnsiTheme="minorEastAsia" w:eastAsiaTheme="minorEastAsia"/>
          <w:color w:val="auto"/>
          <w:sz w:val="18"/>
          <w:szCs w:val="18"/>
        </w:rPr>
        <w:t>存款、拆借、回购等货币市场工具的估值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outlineLvl w:val="1"/>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 xml:space="preserve">3. </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4"/>
        <w:spacing w:line="360" w:lineRule="auto"/>
        <w:ind w:firstLine="361" w:firstLineChars="200"/>
        <w:outlineLvl w:val="1"/>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1" w:firstLineChars="200"/>
        <w:outlineLvl w:val="1"/>
        <w:rPr>
          <w:rFonts w:ascii="黑体" w:hAnsi="黑体" w:eastAsia="黑体"/>
          <w:b/>
          <w:sz w:val="18"/>
          <w:szCs w:val="18"/>
        </w:rPr>
      </w:pPr>
      <w:r>
        <w:rPr>
          <w:rFonts w:hint="eastAsia" w:ascii="黑体" w:hAnsi="黑体" w:eastAsia="黑体"/>
          <w:b/>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Pr>
        <w:pStyle w:val="2"/>
        <w:spacing w:before="0" w:after="0" w:line="360" w:lineRule="auto"/>
        <w:ind w:left="60" w:firstLine="10"/>
        <w:jc w:val="center"/>
        <w:rPr>
          <w:rFonts w:ascii="Times New Roman"/>
          <w:sz w:val="30"/>
        </w:rPr>
      </w:pPr>
      <w:bookmarkStart w:id="79" w:name="_Hlt70481650"/>
      <w:bookmarkEnd w:id="79"/>
      <w:bookmarkStart w:id="80" w:name="_Toc29251"/>
      <w:bookmarkStart w:id="81" w:name="_Toc79154671"/>
      <w:bookmarkStart w:id="82" w:name="_Toc31644"/>
      <w:bookmarkStart w:id="83" w:name="_Toc12245"/>
      <w:bookmarkStart w:id="84" w:name="_Toc31653"/>
      <w:bookmarkStart w:id="85" w:name="_Toc123102454"/>
      <w:bookmarkStart w:id="86" w:name="_Toc15143"/>
      <w:bookmarkStart w:id="87" w:name="_Toc123112235"/>
      <w:bookmarkStart w:id="88" w:name="_Toc139991737"/>
      <w:bookmarkStart w:id="89" w:name="_Toc98560353"/>
      <w:bookmarkStart w:id="90" w:name="_Toc26207"/>
      <w:bookmarkStart w:id="91" w:name="_Toc141703887"/>
      <w:bookmarkStart w:id="92" w:name="_Toc14835"/>
      <w:bookmarkStart w:id="93" w:name="_Toc123051453"/>
      <w:bookmarkStart w:id="94" w:name="_Toc116984891"/>
      <w:bookmarkStart w:id="95" w:name="_Toc6405"/>
      <w:bookmarkStart w:id="96" w:name="_Toc92377137"/>
      <w:bookmarkStart w:id="97" w:name="_Toc74065744"/>
      <w:bookmarkStart w:id="98" w:name="_Toc176181119"/>
      <w:bookmarkStart w:id="99" w:name="_Toc31235"/>
      <w:bookmarkStart w:id="100" w:name="_Toc360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Start w:id="101" w:name="_Hlt55355235"/>
      <w:bookmarkEnd w:id="101"/>
      <w:bookmarkStart w:id="102" w:name="_Toc79392580"/>
      <w:bookmarkStart w:id="103" w:name="_Toc523711668"/>
      <w:bookmarkStart w:id="104" w:name="_Toc15118234"/>
      <w:bookmarkStart w:id="105" w:name="_Toc57530239"/>
    </w:p>
    <w:p>
      <w:pPr>
        <w:pStyle w:val="34"/>
        <w:spacing w:line="360" w:lineRule="auto"/>
        <w:ind w:firstLine="361" w:firstLineChars="200"/>
        <w:outlineLvl w:val="1"/>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outlineLvl w:val="1"/>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outlineLvl w:val="1"/>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outlineLvl w:val="1"/>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outlineLvl w:val="2"/>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outlineLvl w:val="2"/>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02"/>
    <w:bookmarkEnd w:id="103"/>
    <w:bookmarkEnd w:id="104"/>
    <w:bookmarkEnd w:id="105"/>
    <w:p>
      <w:pPr>
        <w:pStyle w:val="2"/>
        <w:spacing w:before="0" w:after="0" w:line="360" w:lineRule="auto"/>
        <w:jc w:val="center"/>
        <w:rPr>
          <w:rFonts w:ascii="Times New Roman"/>
          <w:sz w:val="30"/>
        </w:rPr>
      </w:pPr>
      <w:bookmarkStart w:id="106" w:name="_Hlt88825574"/>
      <w:bookmarkEnd w:id="106"/>
      <w:bookmarkStart w:id="107" w:name="_Hlt88897298"/>
      <w:bookmarkEnd w:id="107"/>
      <w:bookmarkStart w:id="108" w:name="_Toc123102455"/>
      <w:bookmarkStart w:id="109" w:name="_Toc141703888"/>
      <w:bookmarkStart w:id="110" w:name="_Toc176181120"/>
      <w:bookmarkStart w:id="111" w:name="_Toc139991738"/>
      <w:bookmarkStart w:id="112" w:name="_Toc3321"/>
      <w:bookmarkStart w:id="113" w:name="_Toc79154672"/>
      <w:bookmarkStart w:id="114" w:name="_Toc98560354"/>
      <w:bookmarkStart w:id="115" w:name="_Toc92377138"/>
      <w:bookmarkStart w:id="116" w:name="_Toc6447"/>
      <w:bookmarkStart w:id="117" w:name="_Toc11030"/>
      <w:bookmarkStart w:id="118" w:name="_Toc25783"/>
      <w:bookmarkStart w:id="119" w:name="_Toc7058"/>
      <w:bookmarkStart w:id="120" w:name="_Toc3771"/>
      <w:bookmarkStart w:id="121" w:name="_Toc9706"/>
      <w:bookmarkStart w:id="122" w:name="_Toc116984892"/>
      <w:bookmarkStart w:id="123" w:name="_Toc4559"/>
      <w:bookmarkStart w:id="124" w:name="_Toc123051454"/>
      <w:bookmarkStart w:id="125" w:name="_Toc74065745"/>
      <w:bookmarkStart w:id="126" w:name="_Toc123112236"/>
      <w:bookmarkStart w:id="127" w:name="_Toc10650"/>
      <w:bookmarkStart w:id="128" w:name="_Toc18567"/>
      <w:bookmarkStart w:id="129" w:name="_Toc79392583"/>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34"/>
        <w:spacing w:line="360" w:lineRule="auto"/>
        <w:ind w:firstLine="361" w:firstLineChars="200"/>
        <w:outlineLvl w:val="1"/>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outlineLvl w:val="2"/>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Style w:val="30"/>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pStyle w:val="3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业绩报酬计提基准的设置、超额业绩报酬的具体比例数值以《产品说明书》“第二条 理财产品基本情况”为准。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①按投资者每份产品份额分别计算年化收益率并计提超额业绩报酬；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③在每个投资周期赎回日提取超额业绩报酬的，超额业绩报酬从理财资金中扣除；在产品终止日提取超额业绩报酬的，超额业绩报酬从清算资金中扣除。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每份产品份额超额业绩报酬每日计提，每个投资周期赎回日或产品终止日结算。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产品管理人对每份产品份额当前年化收益率（R）超过当前业绩报酬计提基准的部分，按比例（N）以及该份产品份额当前投资周期天数（D）提取超额业绩报酬，计算方法如下：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hint="eastAsia" w:ascii="黑体" w:hAnsi="黑体" w:eastAsia="黑体" w:cs="黑体"/>
          <w:sz w:val="18"/>
          <w:szCs w:val="18"/>
        </w:rPr>
      </w:pPr>
      <w:r>
        <w:rPr>
          <w:rFonts w:hint="eastAsia" w:asciiTheme="majorEastAsia" w:hAnsiTheme="majorEastAsia" w:eastAsiaTheme="majorEastAsia"/>
          <w:sz w:val="18"/>
          <w:szCs w:val="18"/>
        </w:rPr>
        <w:t>当R＞当前业绩报酬计提基准，超额业绩报酬=投资者持有的产品份额数量×产品成立日或当前投资周期产品份额申购日的产品份额净值×（R-当前业绩报酬计提基准）×N×D/365。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23"/>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outlineLvl w:val="2"/>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（1）发生巨额赎回时，为保护投资者利益，产品管理人有权对赎回日至赎回确认日之间的各项费用进行减免。</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（2）产品管理人有权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outlineLvl w:val="1"/>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30" w:name="_Toc1745"/>
      <w:bookmarkStart w:id="131" w:name="_Toc3963"/>
      <w:r>
        <w:br w:type="page"/>
      </w:r>
      <w:bookmarkStart w:id="132" w:name="_Toc139991739"/>
      <w:bookmarkStart w:id="133" w:name="_Toc123051455"/>
      <w:bookmarkStart w:id="134" w:name="_Toc141703889"/>
      <w:bookmarkStart w:id="135" w:name="_Toc16164"/>
      <w:bookmarkStart w:id="136" w:name="_Toc116984893"/>
      <w:bookmarkStart w:id="137" w:name="_Toc98560355"/>
      <w:bookmarkStart w:id="138" w:name="_Toc31821"/>
      <w:bookmarkStart w:id="139" w:name="_Toc79154673"/>
      <w:bookmarkStart w:id="140" w:name="_Toc725"/>
      <w:bookmarkStart w:id="141" w:name="_Toc10398"/>
      <w:bookmarkStart w:id="142" w:name="_Toc123112237"/>
      <w:bookmarkStart w:id="143" w:name="_Toc176181121"/>
      <w:bookmarkStart w:id="144" w:name="_Toc92377139"/>
      <w:bookmarkStart w:id="145" w:name="_Toc74065746"/>
      <w:bookmarkStart w:id="146" w:name="_Toc3080"/>
      <w:bookmarkStart w:id="147" w:name="_Toc123102456"/>
      <w:bookmarkStart w:id="148" w:name="_Toc21735"/>
      <w:bookmarkStart w:id="149" w:name="_Toc3572"/>
      <w:bookmarkStart w:id="150" w:name="_Toc18206"/>
      <w:r>
        <w:rPr>
          <w:rFonts w:hint="eastAsia"/>
          <w:sz w:val="30"/>
        </w:rPr>
        <w:t>第十条</w:t>
      </w:r>
      <w:r>
        <w:rPr>
          <w:sz w:val="30"/>
        </w:rPr>
        <w:t xml:space="preserve">  </w:t>
      </w:r>
      <w:r>
        <w:rPr>
          <w:rFonts w:hint="eastAsia"/>
          <w:sz w:val="30"/>
        </w:rPr>
        <w:t>理财产品的终止与清算</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spacing w:line="360" w:lineRule="auto"/>
        <w:ind w:firstLine="361" w:firstLineChars="200"/>
        <w:outlineLvl w:val="1"/>
        <w:rPr>
          <w:rFonts w:asciiTheme="majorEastAsia" w:hAnsiTheme="majorEastAsia" w:eastAsiaTheme="majorEastAsia"/>
          <w:b/>
          <w:bCs/>
          <w:sz w:val="18"/>
          <w:szCs w:val="18"/>
        </w:rPr>
      </w:pPr>
      <w:bookmarkStart w:id="151" w:name="_Toc57530252"/>
      <w:bookmarkStart w:id="152" w:name="_Toc79392593"/>
      <w:bookmarkStart w:id="153" w:name="_Toc15118245"/>
      <w:r>
        <w:rPr>
          <w:rFonts w:hint="eastAsia" w:asciiTheme="majorEastAsia" w:hAnsiTheme="majorEastAsia" w:eastAsiaTheme="majorEastAsia"/>
          <w:b/>
          <w:bCs/>
          <w:sz w:val="18"/>
          <w:szCs w:val="18"/>
        </w:rPr>
        <w:t>（一）理财产品的终止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outlineLvl w:val="2"/>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outlineLvl w:val="1"/>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51"/>
    <w:bookmarkEnd w:id="152"/>
    <w:bookmarkEnd w:id="15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pStyle w:val="2"/>
        <w:spacing w:before="0" w:after="0" w:line="360" w:lineRule="auto"/>
        <w:jc w:val="center"/>
        <w:rPr>
          <w:rFonts w:ascii="Times New Roman"/>
          <w:sz w:val="18"/>
          <w:szCs w:val="18"/>
        </w:rPr>
      </w:pPr>
      <w:r>
        <w:rPr>
          <w:rFonts w:ascii="Times New Roman"/>
          <w:b w:val="0"/>
          <w:bCs w:val="0"/>
          <w:kern w:val="2"/>
        </w:rPr>
        <w:br w:type="page"/>
      </w:r>
      <w:bookmarkStart w:id="154" w:name="_Toc176181122"/>
      <w:bookmarkStart w:id="155" w:name="_Toc116984894"/>
      <w:bookmarkStart w:id="156" w:name="_Toc92377140"/>
      <w:bookmarkStart w:id="157" w:name="_Toc139991740"/>
      <w:bookmarkStart w:id="158" w:name="_Toc17920"/>
      <w:bookmarkStart w:id="159" w:name="_Toc32584"/>
      <w:bookmarkStart w:id="160" w:name="_Toc141703890"/>
      <w:bookmarkStart w:id="161" w:name="_Toc123112238"/>
      <w:bookmarkStart w:id="162" w:name="_Toc5170"/>
      <w:bookmarkStart w:id="163" w:name="_Toc3329"/>
      <w:bookmarkStart w:id="164" w:name="_Toc98560356"/>
      <w:bookmarkStart w:id="165" w:name="_Toc83391975"/>
      <w:bookmarkStart w:id="166" w:name="_Toc74065747"/>
      <w:bookmarkStart w:id="167" w:name="_Toc739"/>
      <w:bookmarkStart w:id="168" w:name="_Toc17198"/>
      <w:bookmarkStart w:id="169" w:name="_Toc79392622"/>
      <w:bookmarkStart w:id="170" w:name="_Toc48649708"/>
      <w:bookmarkStart w:id="171" w:name="_Toc8791"/>
      <w:bookmarkStart w:id="172" w:name="_Toc79154674"/>
      <w:bookmarkStart w:id="173" w:name="_Toc123051456"/>
      <w:bookmarkStart w:id="174" w:name="_Toc29408"/>
      <w:bookmarkStart w:id="175" w:name="_Toc32092"/>
      <w:bookmarkStart w:id="176" w:name="_Toc21237"/>
      <w:bookmarkStart w:id="177" w:name="_Toc123102457"/>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54"/>
      <w:bookmarkEnd w:id="155"/>
      <w:bookmarkEnd w:id="156"/>
    </w:p>
    <w:p>
      <w:pPr>
        <w:spacing w:line="360" w:lineRule="auto"/>
        <w:ind w:firstLine="361" w:firstLineChars="200"/>
        <w:outlineLvl w:val="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outlineLvl w:val="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outlineLvl w:val="2"/>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outlineLvl w:val="2"/>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outlineLvl w:val="2"/>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outlineLvl w:val="2"/>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outlineLvl w:val="2"/>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outlineLvl w:val="2"/>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outlineLvl w:val="2"/>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特别提示：在一个完整投资周期结束前，管理人将同步更新产品说明书中的业绩比较基准（如有）、业绩报酬计提基准（如有），以明确列示下一个完整投资周期对应的业绩比较基准（如有）、业绩报酬计提基准（如有）。</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Pr>
        <w:spacing w:line="360" w:lineRule="auto"/>
        <w:rPr>
          <w:bCs/>
          <w:sz w:val="24"/>
        </w:rPr>
      </w:pPr>
      <w:r>
        <w:rPr>
          <w:sz w:val="24"/>
        </w:rPr>
        <w:br w:type="page"/>
      </w:r>
    </w:p>
    <w:p>
      <w:pPr>
        <w:pStyle w:val="2"/>
        <w:spacing w:before="0" w:after="0" w:line="360" w:lineRule="auto"/>
        <w:jc w:val="center"/>
        <w:rPr>
          <w:rFonts w:ascii="Times New Roman"/>
          <w:b w:val="0"/>
          <w:sz w:val="30"/>
        </w:rPr>
      </w:pPr>
      <w:bookmarkStart w:id="178" w:name="_Toc176181123"/>
      <w:bookmarkStart w:id="179" w:name="_Toc92377141"/>
      <w:bookmarkStart w:id="180" w:name="_Toc116984895"/>
      <w:bookmarkStart w:id="181"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78"/>
      <w:bookmarkEnd w:id="179"/>
      <w:bookmarkEnd w:id="180"/>
      <w:bookmarkEnd w:id="181"/>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25"/>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outlineLvl w:val="1"/>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outlineLvl w:val="1"/>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outlineLvl w:val="1"/>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outlineLvl w:val="1"/>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outlineLvl w:val="1"/>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outlineLvl w:val="1"/>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outlineLvl w:val="1"/>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outlineLvl w:val="1"/>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outlineLvl w:val="1"/>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outlineLvl w:val="1"/>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outlineLvl w:val="1"/>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outlineLvl w:val="1"/>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rFonts w:hint="eastAsia" w:cs="Arial"/>
                <w:sz w:val="18"/>
                <w:szCs w:val="18"/>
              </w:rPr>
              <w:t>签</w:t>
            </w:r>
            <w:r>
              <w:rPr>
                <w:rFonts w:cs="Arial"/>
                <w:sz w:val="18"/>
                <w:szCs w:val="18"/>
              </w:rPr>
              <w:t>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w:t>
            </w:r>
            <w:r>
              <w:rPr>
                <w:rFonts w:cs="Arial"/>
                <w:sz w:val="18"/>
                <w:szCs w:val="18"/>
              </w:rPr>
              <w:t>名</w:t>
            </w:r>
            <w:r>
              <w:rPr>
                <w:rFonts w:hint="eastAsia"/>
                <w:sz w:val="18"/>
                <w:szCs w:val="18"/>
              </w:rPr>
              <w:t>/</w:t>
            </w:r>
            <w:r>
              <w:rPr>
                <w:rFonts w:hint="eastAsia" w:cs="Arial"/>
                <w:sz w:val="18"/>
                <w:szCs w:val="18"/>
              </w:rPr>
              <w:t>盖章</w:t>
            </w:r>
            <w:r>
              <w:rPr>
                <w:rFonts w:hint="eastAsia"/>
                <w:sz w:val="18"/>
                <w:szCs w:val="18"/>
              </w:rPr>
              <w:t>/线上确认</w:t>
            </w:r>
            <w:r>
              <w:rPr>
                <w:rFonts w:hint="eastAsia" w:cs="Arial"/>
                <w:sz w:val="18"/>
                <w:szCs w:val="18"/>
              </w:rPr>
              <w:t>）：</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4"/>
          <w:jc w:val="center"/>
        </w:pPr>
        <w:r>
          <w:fldChar w:fldCharType="begin"/>
        </w:r>
        <w:r>
          <w:instrText xml:space="preserve"> PAGE   \* MERGEFORMAT </w:instrText>
        </w:r>
        <w:r>
          <w:fldChar w:fldCharType="separate"/>
        </w:r>
        <w:r>
          <w:rPr>
            <w:lang w:val="zh-CN"/>
          </w:rPr>
          <w:t>21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Full" w:cryptAlgorithmClass="hash" w:cryptAlgorithmType="typeAny" w:cryptAlgorithmSid="4" w:cryptSpinCount="0" w:hash="yTWya+WZyuf6AR/Uvss9VUT9Mvc=" w:salt="3qtqIOIR+qOsMW+W+GVI8w=="/>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9A5"/>
    <w:rsid w:val="000310FD"/>
    <w:rsid w:val="00033D3E"/>
    <w:rsid w:val="000360AD"/>
    <w:rsid w:val="00036724"/>
    <w:rsid w:val="0004119D"/>
    <w:rsid w:val="0004124F"/>
    <w:rsid w:val="00041958"/>
    <w:rsid w:val="00042C76"/>
    <w:rsid w:val="00042CE7"/>
    <w:rsid w:val="000438E6"/>
    <w:rsid w:val="00043A9D"/>
    <w:rsid w:val="00044823"/>
    <w:rsid w:val="00045941"/>
    <w:rsid w:val="00047C30"/>
    <w:rsid w:val="00050766"/>
    <w:rsid w:val="0005088E"/>
    <w:rsid w:val="00051DE2"/>
    <w:rsid w:val="000554D6"/>
    <w:rsid w:val="00055773"/>
    <w:rsid w:val="00055941"/>
    <w:rsid w:val="000559BC"/>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1DC7"/>
    <w:rsid w:val="000826C9"/>
    <w:rsid w:val="00082E45"/>
    <w:rsid w:val="00085DD5"/>
    <w:rsid w:val="0009086F"/>
    <w:rsid w:val="00091121"/>
    <w:rsid w:val="0009142A"/>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0B"/>
    <w:rsid w:val="000B6819"/>
    <w:rsid w:val="000B7F67"/>
    <w:rsid w:val="000C0789"/>
    <w:rsid w:val="000C1D8E"/>
    <w:rsid w:val="000C31AC"/>
    <w:rsid w:val="000C3B81"/>
    <w:rsid w:val="000C69CB"/>
    <w:rsid w:val="000C6BF4"/>
    <w:rsid w:val="000C7C96"/>
    <w:rsid w:val="000D0C3A"/>
    <w:rsid w:val="000D10B1"/>
    <w:rsid w:val="000D1473"/>
    <w:rsid w:val="000D19CF"/>
    <w:rsid w:val="000D2623"/>
    <w:rsid w:val="000D382E"/>
    <w:rsid w:val="000D3E2A"/>
    <w:rsid w:val="000D4DAE"/>
    <w:rsid w:val="000D548F"/>
    <w:rsid w:val="000D591B"/>
    <w:rsid w:val="000E008C"/>
    <w:rsid w:val="000E10C7"/>
    <w:rsid w:val="000E181B"/>
    <w:rsid w:val="000E18C8"/>
    <w:rsid w:val="000E2054"/>
    <w:rsid w:val="000E599E"/>
    <w:rsid w:val="000E5A74"/>
    <w:rsid w:val="000E7029"/>
    <w:rsid w:val="000E798C"/>
    <w:rsid w:val="000E7BB9"/>
    <w:rsid w:val="000F09FA"/>
    <w:rsid w:val="000F4322"/>
    <w:rsid w:val="000F556F"/>
    <w:rsid w:val="000F7FB5"/>
    <w:rsid w:val="00100295"/>
    <w:rsid w:val="00100789"/>
    <w:rsid w:val="00100D6E"/>
    <w:rsid w:val="00101A1D"/>
    <w:rsid w:val="00102BE2"/>
    <w:rsid w:val="00103221"/>
    <w:rsid w:val="001048D9"/>
    <w:rsid w:val="00104FAB"/>
    <w:rsid w:val="00104FAF"/>
    <w:rsid w:val="0010605A"/>
    <w:rsid w:val="0011092D"/>
    <w:rsid w:val="00111430"/>
    <w:rsid w:val="00112922"/>
    <w:rsid w:val="001139C8"/>
    <w:rsid w:val="001157E6"/>
    <w:rsid w:val="00115A4C"/>
    <w:rsid w:val="00116240"/>
    <w:rsid w:val="00121A98"/>
    <w:rsid w:val="00122AA4"/>
    <w:rsid w:val="00122E28"/>
    <w:rsid w:val="001232D0"/>
    <w:rsid w:val="0012639A"/>
    <w:rsid w:val="00126548"/>
    <w:rsid w:val="00127FAE"/>
    <w:rsid w:val="00131B8F"/>
    <w:rsid w:val="00134EC8"/>
    <w:rsid w:val="00135106"/>
    <w:rsid w:val="00137458"/>
    <w:rsid w:val="00140FD0"/>
    <w:rsid w:val="00142E86"/>
    <w:rsid w:val="0014343D"/>
    <w:rsid w:val="00144336"/>
    <w:rsid w:val="00144A06"/>
    <w:rsid w:val="00144E84"/>
    <w:rsid w:val="00145B88"/>
    <w:rsid w:val="00146F91"/>
    <w:rsid w:val="001507DF"/>
    <w:rsid w:val="00153415"/>
    <w:rsid w:val="001547CA"/>
    <w:rsid w:val="00154F9C"/>
    <w:rsid w:val="001562FA"/>
    <w:rsid w:val="0016331D"/>
    <w:rsid w:val="00163655"/>
    <w:rsid w:val="00163854"/>
    <w:rsid w:val="00165A87"/>
    <w:rsid w:val="00165A9A"/>
    <w:rsid w:val="00167B0D"/>
    <w:rsid w:val="00167E3A"/>
    <w:rsid w:val="00171033"/>
    <w:rsid w:val="001715BB"/>
    <w:rsid w:val="00172BBF"/>
    <w:rsid w:val="0017394A"/>
    <w:rsid w:val="0017488D"/>
    <w:rsid w:val="00175F68"/>
    <w:rsid w:val="00176589"/>
    <w:rsid w:val="0017664C"/>
    <w:rsid w:val="00176C88"/>
    <w:rsid w:val="00180376"/>
    <w:rsid w:val="0018145F"/>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97C49"/>
    <w:rsid w:val="001A0033"/>
    <w:rsid w:val="001A141C"/>
    <w:rsid w:val="001A352E"/>
    <w:rsid w:val="001A381F"/>
    <w:rsid w:val="001A434D"/>
    <w:rsid w:val="001B218F"/>
    <w:rsid w:val="001B21AE"/>
    <w:rsid w:val="001B5BBB"/>
    <w:rsid w:val="001C31CB"/>
    <w:rsid w:val="001C3B80"/>
    <w:rsid w:val="001C3C81"/>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E794F"/>
    <w:rsid w:val="001F00E4"/>
    <w:rsid w:val="001F08F9"/>
    <w:rsid w:val="001F1823"/>
    <w:rsid w:val="001F26D2"/>
    <w:rsid w:val="001F4671"/>
    <w:rsid w:val="001F6BB0"/>
    <w:rsid w:val="001F7B81"/>
    <w:rsid w:val="001F7E0A"/>
    <w:rsid w:val="00201415"/>
    <w:rsid w:val="0020141D"/>
    <w:rsid w:val="00204063"/>
    <w:rsid w:val="0020563F"/>
    <w:rsid w:val="00205892"/>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4D42"/>
    <w:rsid w:val="0024625D"/>
    <w:rsid w:val="00247F2A"/>
    <w:rsid w:val="002509C7"/>
    <w:rsid w:val="00251975"/>
    <w:rsid w:val="00252788"/>
    <w:rsid w:val="002533A3"/>
    <w:rsid w:val="00253B8C"/>
    <w:rsid w:val="00254D9A"/>
    <w:rsid w:val="00255373"/>
    <w:rsid w:val="002553DF"/>
    <w:rsid w:val="0025557C"/>
    <w:rsid w:val="00255628"/>
    <w:rsid w:val="0025790B"/>
    <w:rsid w:val="00264630"/>
    <w:rsid w:val="002653AC"/>
    <w:rsid w:val="00265722"/>
    <w:rsid w:val="00266037"/>
    <w:rsid w:val="00266978"/>
    <w:rsid w:val="00266DAB"/>
    <w:rsid w:val="002714F7"/>
    <w:rsid w:val="00272C40"/>
    <w:rsid w:val="00273F65"/>
    <w:rsid w:val="00274DDB"/>
    <w:rsid w:val="00274E47"/>
    <w:rsid w:val="00274FFD"/>
    <w:rsid w:val="00275526"/>
    <w:rsid w:val="00275757"/>
    <w:rsid w:val="00276ACE"/>
    <w:rsid w:val="00277772"/>
    <w:rsid w:val="00281B9A"/>
    <w:rsid w:val="00282392"/>
    <w:rsid w:val="002826EB"/>
    <w:rsid w:val="00282B2B"/>
    <w:rsid w:val="002869B1"/>
    <w:rsid w:val="002877ED"/>
    <w:rsid w:val="00290893"/>
    <w:rsid w:val="0029197D"/>
    <w:rsid w:val="00293329"/>
    <w:rsid w:val="0029576C"/>
    <w:rsid w:val="00297628"/>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174"/>
    <w:rsid w:val="002C446D"/>
    <w:rsid w:val="002C6117"/>
    <w:rsid w:val="002C6DB5"/>
    <w:rsid w:val="002D1DEF"/>
    <w:rsid w:val="002D3AB7"/>
    <w:rsid w:val="002D3AEF"/>
    <w:rsid w:val="002D6AFD"/>
    <w:rsid w:val="002D7737"/>
    <w:rsid w:val="002E134B"/>
    <w:rsid w:val="002E25FC"/>
    <w:rsid w:val="002E393C"/>
    <w:rsid w:val="002E4722"/>
    <w:rsid w:val="002E5F4C"/>
    <w:rsid w:val="002E6721"/>
    <w:rsid w:val="002E7C23"/>
    <w:rsid w:val="002F0CD5"/>
    <w:rsid w:val="002F11BA"/>
    <w:rsid w:val="002F29C4"/>
    <w:rsid w:val="002F389F"/>
    <w:rsid w:val="002F45BC"/>
    <w:rsid w:val="002F4C49"/>
    <w:rsid w:val="00301106"/>
    <w:rsid w:val="003029FF"/>
    <w:rsid w:val="0030325C"/>
    <w:rsid w:val="00303FB7"/>
    <w:rsid w:val="00304C4E"/>
    <w:rsid w:val="00304D9D"/>
    <w:rsid w:val="00306DA6"/>
    <w:rsid w:val="0031156D"/>
    <w:rsid w:val="00311CBF"/>
    <w:rsid w:val="003122D5"/>
    <w:rsid w:val="00313E17"/>
    <w:rsid w:val="0031786D"/>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368C"/>
    <w:rsid w:val="0036433E"/>
    <w:rsid w:val="00370696"/>
    <w:rsid w:val="00371546"/>
    <w:rsid w:val="003727DA"/>
    <w:rsid w:val="00373305"/>
    <w:rsid w:val="003745A5"/>
    <w:rsid w:val="00375BC6"/>
    <w:rsid w:val="00376DD6"/>
    <w:rsid w:val="00380DB4"/>
    <w:rsid w:val="00381A67"/>
    <w:rsid w:val="003823A6"/>
    <w:rsid w:val="003838B9"/>
    <w:rsid w:val="00387E86"/>
    <w:rsid w:val="00391268"/>
    <w:rsid w:val="00391BBC"/>
    <w:rsid w:val="00392F32"/>
    <w:rsid w:val="0039407B"/>
    <w:rsid w:val="00395688"/>
    <w:rsid w:val="00396E72"/>
    <w:rsid w:val="003A430B"/>
    <w:rsid w:val="003B00EC"/>
    <w:rsid w:val="003B016B"/>
    <w:rsid w:val="003B06BE"/>
    <w:rsid w:val="003B1841"/>
    <w:rsid w:val="003B32A0"/>
    <w:rsid w:val="003B343A"/>
    <w:rsid w:val="003B600B"/>
    <w:rsid w:val="003B72A3"/>
    <w:rsid w:val="003C2C6C"/>
    <w:rsid w:val="003C2FD0"/>
    <w:rsid w:val="003C3499"/>
    <w:rsid w:val="003C4A62"/>
    <w:rsid w:val="003C4CEB"/>
    <w:rsid w:val="003C51FE"/>
    <w:rsid w:val="003C64E4"/>
    <w:rsid w:val="003C7EAF"/>
    <w:rsid w:val="003D26D0"/>
    <w:rsid w:val="003D5E11"/>
    <w:rsid w:val="003D5ED1"/>
    <w:rsid w:val="003D63E6"/>
    <w:rsid w:val="003E091C"/>
    <w:rsid w:val="003E1082"/>
    <w:rsid w:val="003E1094"/>
    <w:rsid w:val="003E1B2D"/>
    <w:rsid w:val="003E2F07"/>
    <w:rsid w:val="003E31A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27477"/>
    <w:rsid w:val="00430DF1"/>
    <w:rsid w:val="00433AA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72B"/>
    <w:rsid w:val="00462D9E"/>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8CB"/>
    <w:rsid w:val="00485D45"/>
    <w:rsid w:val="00486A6C"/>
    <w:rsid w:val="00487444"/>
    <w:rsid w:val="0049041F"/>
    <w:rsid w:val="00490E3D"/>
    <w:rsid w:val="004917FC"/>
    <w:rsid w:val="004922CC"/>
    <w:rsid w:val="004940D3"/>
    <w:rsid w:val="004960D3"/>
    <w:rsid w:val="004960F3"/>
    <w:rsid w:val="00497FEC"/>
    <w:rsid w:val="004A0C4A"/>
    <w:rsid w:val="004A0D93"/>
    <w:rsid w:val="004A12AC"/>
    <w:rsid w:val="004A2354"/>
    <w:rsid w:val="004A5AB0"/>
    <w:rsid w:val="004B0C90"/>
    <w:rsid w:val="004B0D40"/>
    <w:rsid w:val="004B1194"/>
    <w:rsid w:val="004B1599"/>
    <w:rsid w:val="004B3136"/>
    <w:rsid w:val="004B5526"/>
    <w:rsid w:val="004C036F"/>
    <w:rsid w:val="004C108A"/>
    <w:rsid w:val="004C1BF8"/>
    <w:rsid w:val="004C2000"/>
    <w:rsid w:val="004C4C0A"/>
    <w:rsid w:val="004C4C12"/>
    <w:rsid w:val="004C4E6C"/>
    <w:rsid w:val="004C75D9"/>
    <w:rsid w:val="004D0C41"/>
    <w:rsid w:val="004D1CFA"/>
    <w:rsid w:val="004D2141"/>
    <w:rsid w:val="004D3932"/>
    <w:rsid w:val="004D5055"/>
    <w:rsid w:val="004D5AAF"/>
    <w:rsid w:val="004D5BE2"/>
    <w:rsid w:val="004D5E18"/>
    <w:rsid w:val="004D6163"/>
    <w:rsid w:val="004D6C75"/>
    <w:rsid w:val="004D6D60"/>
    <w:rsid w:val="004E0419"/>
    <w:rsid w:val="004E17E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1C55"/>
    <w:rsid w:val="00512B61"/>
    <w:rsid w:val="00512E3B"/>
    <w:rsid w:val="00513143"/>
    <w:rsid w:val="005131E7"/>
    <w:rsid w:val="00517C1B"/>
    <w:rsid w:val="00520C80"/>
    <w:rsid w:val="00521905"/>
    <w:rsid w:val="00521A8A"/>
    <w:rsid w:val="0052537A"/>
    <w:rsid w:val="005261C6"/>
    <w:rsid w:val="00526A8B"/>
    <w:rsid w:val="005306F5"/>
    <w:rsid w:val="00530EFC"/>
    <w:rsid w:val="0053145D"/>
    <w:rsid w:val="0053265E"/>
    <w:rsid w:val="00534837"/>
    <w:rsid w:val="00534B71"/>
    <w:rsid w:val="00534ED6"/>
    <w:rsid w:val="005356DD"/>
    <w:rsid w:val="0054383E"/>
    <w:rsid w:val="00544067"/>
    <w:rsid w:val="00544689"/>
    <w:rsid w:val="005448AE"/>
    <w:rsid w:val="00544EBF"/>
    <w:rsid w:val="0054752F"/>
    <w:rsid w:val="005477FF"/>
    <w:rsid w:val="005514EA"/>
    <w:rsid w:val="00551E13"/>
    <w:rsid w:val="0055265D"/>
    <w:rsid w:val="00555FE5"/>
    <w:rsid w:val="005578FA"/>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3A2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48F3"/>
    <w:rsid w:val="005B6567"/>
    <w:rsid w:val="005C1011"/>
    <w:rsid w:val="005C10A7"/>
    <w:rsid w:val="005C1A4B"/>
    <w:rsid w:val="005C2C22"/>
    <w:rsid w:val="005C3108"/>
    <w:rsid w:val="005C3351"/>
    <w:rsid w:val="005C46BB"/>
    <w:rsid w:val="005C6C9D"/>
    <w:rsid w:val="005D0EC6"/>
    <w:rsid w:val="005D3EBA"/>
    <w:rsid w:val="005D3F7B"/>
    <w:rsid w:val="005D3F83"/>
    <w:rsid w:val="005D5021"/>
    <w:rsid w:val="005D6B6D"/>
    <w:rsid w:val="005E0304"/>
    <w:rsid w:val="005E1F5B"/>
    <w:rsid w:val="005E2522"/>
    <w:rsid w:val="005E2B80"/>
    <w:rsid w:val="005E34A7"/>
    <w:rsid w:val="005E3ECC"/>
    <w:rsid w:val="005E6FB7"/>
    <w:rsid w:val="005F0064"/>
    <w:rsid w:val="005F2F17"/>
    <w:rsid w:val="005F30D3"/>
    <w:rsid w:val="005F379A"/>
    <w:rsid w:val="005F4287"/>
    <w:rsid w:val="005F469C"/>
    <w:rsid w:val="005F7FD5"/>
    <w:rsid w:val="00600FE7"/>
    <w:rsid w:val="006016B4"/>
    <w:rsid w:val="006019D1"/>
    <w:rsid w:val="00601EBE"/>
    <w:rsid w:val="00605524"/>
    <w:rsid w:val="00605B31"/>
    <w:rsid w:val="00605C5D"/>
    <w:rsid w:val="006065FB"/>
    <w:rsid w:val="00607DDC"/>
    <w:rsid w:val="00611A33"/>
    <w:rsid w:val="00612869"/>
    <w:rsid w:val="006146BA"/>
    <w:rsid w:val="006172ED"/>
    <w:rsid w:val="00620063"/>
    <w:rsid w:val="00620D75"/>
    <w:rsid w:val="00621F2C"/>
    <w:rsid w:val="00624760"/>
    <w:rsid w:val="00624F2C"/>
    <w:rsid w:val="00626BC0"/>
    <w:rsid w:val="0063051C"/>
    <w:rsid w:val="00631736"/>
    <w:rsid w:val="00631A7F"/>
    <w:rsid w:val="006328AE"/>
    <w:rsid w:val="00633E96"/>
    <w:rsid w:val="0064020E"/>
    <w:rsid w:val="0064066A"/>
    <w:rsid w:val="0064076F"/>
    <w:rsid w:val="0064087A"/>
    <w:rsid w:val="006418F4"/>
    <w:rsid w:val="00642A61"/>
    <w:rsid w:val="00642B66"/>
    <w:rsid w:val="006451BF"/>
    <w:rsid w:val="006453CC"/>
    <w:rsid w:val="006468C6"/>
    <w:rsid w:val="00646E40"/>
    <w:rsid w:val="00647424"/>
    <w:rsid w:val="006476D3"/>
    <w:rsid w:val="006508E5"/>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3DE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1579"/>
    <w:rsid w:val="006A2FDF"/>
    <w:rsid w:val="006A3E5D"/>
    <w:rsid w:val="006A4A8A"/>
    <w:rsid w:val="006A4B96"/>
    <w:rsid w:val="006A505F"/>
    <w:rsid w:val="006A5309"/>
    <w:rsid w:val="006A5968"/>
    <w:rsid w:val="006A68DA"/>
    <w:rsid w:val="006A6C9E"/>
    <w:rsid w:val="006B3727"/>
    <w:rsid w:val="006B4BAA"/>
    <w:rsid w:val="006B5EEE"/>
    <w:rsid w:val="006B7BA8"/>
    <w:rsid w:val="006B7E76"/>
    <w:rsid w:val="006C011B"/>
    <w:rsid w:val="006C19CF"/>
    <w:rsid w:val="006C1B88"/>
    <w:rsid w:val="006C273A"/>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535B"/>
    <w:rsid w:val="006E5D67"/>
    <w:rsid w:val="006E6ED0"/>
    <w:rsid w:val="006E7124"/>
    <w:rsid w:val="006E7FC7"/>
    <w:rsid w:val="006F0EA3"/>
    <w:rsid w:val="006F200F"/>
    <w:rsid w:val="006F2488"/>
    <w:rsid w:val="006F3519"/>
    <w:rsid w:val="006F356A"/>
    <w:rsid w:val="006F4947"/>
    <w:rsid w:val="006F5923"/>
    <w:rsid w:val="006F6174"/>
    <w:rsid w:val="006F7A9E"/>
    <w:rsid w:val="006F7D4D"/>
    <w:rsid w:val="0070045F"/>
    <w:rsid w:val="007048B2"/>
    <w:rsid w:val="00704C9D"/>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27CB2"/>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77E6D"/>
    <w:rsid w:val="00780770"/>
    <w:rsid w:val="00782F8A"/>
    <w:rsid w:val="00783025"/>
    <w:rsid w:val="00783204"/>
    <w:rsid w:val="00784BFC"/>
    <w:rsid w:val="0078739B"/>
    <w:rsid w:val="00792B2B"/>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48E9"/>
    <w:rsid w:val="007B7E70"/>
    <w:rsid w:val="007C0495"/>
    <w:rsid w:val="007C4FED"/>
    <w:rsid w:val="007C67CB"/>
    <w:rsid w:val="007D115D"/>
    <w:rsid w:val="007D1185"/>
    <w:rsid w:val="007D37FB"/>
    <w:rsid w:val="007D3AB0"/>
    <w:rsid w:val="007D3C57"/>
    <w:rsid w:val="007D6324"/>
    <w:rsid w:val="007D68C9"/>
    <w:rsid w:val="007D6F94"/>
    <w:rsid w:val="007D7B84"/>
    <w:rsid w:val="007E1F76"/>
    <w:rsid w:val="007E3453"/>
    <w:rsid w:val="007E3857"/>
    <w:rsid w:val="007E4180"/>
    <w:rsid w:val="007E437A"/>
    <w:rsid w:val="007E4A3F"/>
    <w:rsid w:val="007E6808"/>
    <w:rsid w:val="007E6E94"/>
    <w:rsid w:val="007E770F"/>
    <w:rsid w:val="007E775F"/>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22F6"/>
    <w:rsid w:val="0081517F"/>
    <w:rsid w:val="0081549F"/>
    <w:rsid w:val="008176FD"/>
    <w:rsid w:val="00820221"/>
    <w:rsid w:val="00820966"/>
    <w:rsid w:val="008216F7"/>
    <w:rsid w:val="00822153"/>
    <w:rsid w:val="00822FBD"/>
    <w:rsid w:val="00823AB7"/>
    <w:rsid w:val="00825897"/>
    <w:rsid w:val="00827113"/>
    <w:rsid w:val="00827169"/>
    <w:rsid w:val="00827DAF"/>
    <w:rsid w:val="008306A2"/>
    <w:rsid w:val="00830FAF"/>
    <w:rsid w:val="00831F37"/>
    <w:rsid w:val="00831F70"/>
    <w:rsid w:val="00833134"/>
    <w:rsid w:val="00833713"/>
    <w:rsid w:val="00833D9B"/>
    <w:rsid w:val="008340FE"/>
    <w:rsid w:val="00835A40"/>
    <w:rsid w:val="00835AA0"/>
    <w:rsid w:val="00835DCD"/>
    <w:rsid w:val="00835FBF"/>
    <w:rsid w:val="00836DA8"/>
    <w:rsid w:val="00836ECE"/>
    <w:rsid w:val="008414B9"/>
    <w:rsid w:val="00842143"/>
    <w:rsid w:val="0084380A"/>
    <w:rsid w:val="00844E66"/>
    <w:rsid w:val="00847CD5"/>
    <w:rsid w:val="00850B2A"/>
    <w:rsid w:val="00850F7C"/>
    <w:rsid w:val="0085322F"/>
    <w:rsid w:val="0085408C"/>
    <w:rsid w:val="0085557B"/>
    <w:rsid w:val="00855672"/>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93A"/>
    <w:rsid w:val="00876C63"/>
    <w:rsid w:val="00876D94"/>
    <w:rsid w:val="008775BF"/>
    <w:rsid w:val="0089069E"/>
    <w:rsid w:val="008912D3"/>
    <w:rsid w:val="008914CB"/>
    <w:rsid w:val="008937B1"/>
    <w:rsid w:val="00894A43"/>
    <w:rsid w:val="00894C7E"/>
    <w:rsid w:val="00895477"/>
    <w:rsid w:val="00897736"/>
    <w:rsid w:val="008A15AE"/>
    <w:rsid w:val="008A1DBB"/>
    <w:rsid w:val="008A2A18"/>
    <w:rsid w:val="008A4832"/>
    <w:rsid w:val="008A640B"/>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5F91"/>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E71DA"/>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17AA5"/>
    <w:rsid w:val="00922E94"/>
    <w:rsid w:val="00924CB1"/>
    <w:rsid w:val="00925905"/>
    <w:rsid w:val="00925FC9"/>
    <w:rsid w:val="00926039"/>
    <w:rsid w:val="009275C5"/>
    <w:rsid w:val="00927772"/>
    <w:rsid w:val="00931E88"/>
    <w:rsid w:val="00933939"/>
    <w:rsid w:val="00934162"/>
    <w:rsid w:val="009342D4"/>
    <w:rsid w:val="00934BBA"/>
    <w:rsid w:val="00936147"/>
    <w:rsid w:val="00936818"/>
    <w:rsid w:val="009369EF"/>
    <w:rsid w:val="00936A52"/>
    <w:rsid w:val="00940B15"/>
    <w:rsid w:val="0094391C"/>
    <w:rsid w:val="00945661"/>
    <w:rsid w:val="00946996"/>
    <w:rsid w:val="0095322B"/>
    <w:rsid w:val="0095360A"/>
    <w:rsid w:val="0095409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5CA"/>
    <w:rsid w:val="00984A57"/>
    <w:rsid w:val="00984EF3"/>
    <w:rsid w:val="00986062"/>
    <w:rsid w:val="009911A1"/>
    <w:rsid w:val="0099175F"/>
    <w:rsid w:val="00992322"/>
    <w:rsid w:val="00992A3A"/>
    <w:rsid w:val="00993261"/>
    <w:rsid w:val="00993578"/>
    <w:rsid w:val="009973B8"/>
    <w:rsid w:val="00997E03"/>
    <w:rsid w:val="009A04C6"/>
    <w:rsid w:val="009A0770"/>
    <w:rsid w:val="009A0BA3"/>
    <w:rsid w:val="009A1A8B"/>
    <w:rsid w:val="009A2A56"/>
    <w:rsid w:val="009A418D"/>
    <w:rsid w:val="009A520C"/>
    <w:rsid w:val="009A64FF"/>
    <w:rsid w:val="009A75FE"/>
    <w:rsid w:val="009B137E"/>
    <w:rsid w:val="009B2144"/>
    <w:rsid w:val="009B2D08"/>
    <w:rsid w:val="009B6315"/>
    <w:rsid w:val="009B6C73"/>
    <w:rsid w:val="009C3904"/>
    <w:rsid w:val="009C4645"/>
    <w:rsid w:val="009C59F9"/>
    <w:rsid w:val="009C63B1"/>
    <w:rsid w:val="009C6C6F"/>
    <w:rsid w:val="009C7800"/>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020"/>
    <w:rsid w:val="009E5FD0"/>
    <w:rsid w:val="009E60EA"/>
    <w:rsid w:val="009E6590"/>
    <w:rsid w:val="009E7F8B"/>
    <w:rsid w:val="009F01CF"/>
    <w:rsid w:val="009F06C5"/>
    <w:rsid w:val="009F0B37"/>
    <w:rsid w:val="009F0C46"/>
    <w:rsid w:val="009F2505"/>
    <w:rsid w:val="009F2AEA"/>
    <w:rsid w:val="009F599E"/>
    <w:rsid w:val="009F5B9C"/>
    <w:rsid w:val="009F7C4C"/>
    <w:rsid w:val="009F7D3B"/>
    <w:rsid w:val="00A00126"/>
    <w:rsid w:val="00A003C1"/>
    <w:rsid w:val="00A00655"/>
    <w:rsid w:val="00A00C58"/>
    <w:rsid w:val="00A010F0"/>
    <w:rsid w:val="00A02290"/>
    <w:rsid w:val="00A04535"/>
    <w:rsid w:val="00A070EE"/>
    <w:rsid w:val="00A07363"/>
    <w:rsid w:val="00A0739C"/>
    <w:rsid w:val="00A07976"/>
    <w:rsid w:val="00A107C9"/>
    <w:rsid w:val="00A13043"/>
    <w:rsid w:val="00A13616"/>
    <w:rsid w:val="00A1363C"/>
    <w:rsid w:val="00A13BD0"/>
    <w:rsid w:val="00A14DE4"/>
    <w:rsid w:val="00A151FA"/>
    <w:rsid w:val="00A179D3"/>
    <w:rsid w:val="00A23587"/>
    <w:rsid w:val="00A23EE3"/>
    <w:rsid w:val="00A25C59"/>
    <w:rsid w:val="00A3012B"/>
    <w:rsid w:val="00A30F3D"/>
    <w:rsid w:val="00A31F82"/>
    <w:rsid w:val="00A337A3"/>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24AE"/>
    <w:rsid w:val="00A62548"/>
    <w:rsid w:val="00A63267"/>
    <w:rsid w:val="00A635F0"/>
    <w:rsid w:val="00A64046"/>
    <w:rsid w:val="00A64535"/>
    <w:rsid w:val="00A71411"/>
    <w:rsid w:val="00A71C30"/>
    <w:rsid w:val="00A71EF1"/>
    <w:rsid w:val="00A72235"/>
    <w:rsid w:val="00A72A25"/>
    <w:rsid w:val="00A740D7"/>
    <w:rsid w:val="00A75555"/>
    <w:rsid w:val="00A759CD"/>
    <w:rsid w:val="00A76316"/>
    <w:rsid w:val="00A7660D"/>
    <w:rsid w:val="00A767AC"/>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6D7"/>
    <w:rsid w:val="00AA6B2C"/>
    <w:rsid w:val="00AB15E6"/>
    <w:rsid w:val="00AB1EE0"/>
    <w:rsid w:val="00AB2014"/>
    <w:rsid w:val="00AB234B"/>
    <w:rsid w:val="00AB23FC"/>
    <w:rsid w:val="00AB2493"/>
    <w:rsid w:val="00AB34BD"/>
    <w:rsid w:val="00AB3C03"/>
    <w:rsid w:val="00AB50AF"/>
    <w:rsid w:val="00AB52EA"/>
    <w:rsid w:val="00AB5EF6"/>
    <w:rsid w:val="00AB682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171F"/>
    <w:rsid w:val="00AE36AF"/>
    <w:rsid w:val="00AE3F46"/>
    <w:rsid w:val="00AE4061"/>
    <w:rsid w:val="00AE68F6"/>
    <w:rsid w:val="00AF17F6"/>
    <w:rsid w:val="00AF1D0E"/>
    <w:rsid w:val="00AF2D24"/>
    <w:rsid w:val="00AF413F"/>
    <w:rsid w:val="00AF420A"/>
    <w:rsid w:val="00AF4465"/>
    <w:rsid w:val="00AF4901"/>
    <w:rsid w:val="00AF670F"/>
    <w:rsid w:val="00AF6E5B"/>
    <w:rsid w:val="00AF75AC"/>
    <w:rsid w:val="00AF766A"/>
    <w:rsid w:val="00B0073B"/>
    <w:rsid w:val="00B014BB"/>
    <w:rsid w:val="00B02826"/>
    <w:rsid w:val="00B045EC"/>
    <w:rsid w:val="00B058FF"/>
    <w:rsid w:val="00B07483"/>
    <w:rsid w:val="00B074D0"/>
    <w:rsid w:val="00B10CFD"/>
    <w:rsid w:val="00B158C3"/>
    <w:rsid w:val="00B201CE"/>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098"/>
    <w:rsid w:val="00B504BE"/>
    <w:rsid w:val="00B506B0"/>
    <w:rsid w:val="00B51E71"/>
    <w:rsid w:val="00B52A04"/>
    <w:rsid w:val="00B53238"/>
    <w:rsid w:val="00B5343C"/>
    <w:rsid w:val="00B53EA7"/>
    <w:rsid w:val="00B541FB"/>
    <w:rsid w:val="00B5580D"/>
    <w:rsid w:val="00B55E5A"/>
    <w:rsid w:val="00B561E7"/>
    <w:rsid w:val="00B56702"/>
    <w:rsid w:val="00B568BF"/>
    <w:rsid w:val="00B573CF"/>
    <w:rsid w:val="00B60383"/>
    <w:rsid w:val="00B664E9"/>
    <w:rsid w:val="00B67A2A"/>
    <w:rsid w:val="00B70610"/>
    <w:rsid w:val="00B72DDC"/>
    <w:rsid w:val="00B7347F"/>
    <w:rsid w:val="00B74AB7"/>
    <w:rsid w:val="00B75565"/>
    <w:rsid w:val="00B76017"/>
    <w:rsid w:val="00B7689E"/>
    <w:rsid w:val="00B81053"/>
    <w:rsid w:val="00B82164"/>
    <w:rsid w:val="00B839BC"/>
    <w:rsid w:val="00B870C8"/>
    <w:rsid w:val="00B8765C"/>
    <w:rsid w:val="00B87B00"/>
    <w:rsid w:val="00B90513"/>
    <w:rsid w:val="00B90A5B"/>
    <w:rsid w:val="00B90C2A"/>
    <w:rsid w:val="00B916FF"/>
    <w:rsid w:val="00B9217D"/>
    <w:rsid w:val="00B92345"/>
    <w:rsid w:val="00B92C4F"/>
    <w:rsid w:val="00B95196"/>
    <w:rsid w:val="00B9530E"/>
    <w:rsid w:val="00B956A1"/>
    <w:rsid w:val="00B95B12"/>
    <w:rsid w:val="00B974CB"/>
    <w:rsid w:val="00BA02A3"/>
    <w:rsid w:val="00BA14BA"/>
    <w:rsid w:val="00BA17A9"/>
    <w:rsid w:val="00BA30F2"/>
    <w:rsid w:val="00BA3736"/>
    <w:rsid w:val="00BA4EAC"/>
    <w:rsid w:val="00BA617C"/>
    <w:rsid w:val="00BA68B2"/>
    <w:rsid w:val="00BA6B18"/>
    <w:rsid w:val="00BA7C51"/>
    <w:rsid w:val="00BA7E1E"/>
    <w:rsid w:val="00BA7E21"/>
    <w:rsid w:val="00BB0986"/>
    <w:rsid w:val="00BB18C4"/>
    <w:rsid w:val="00BB3F51"/>
    <w:rsid w:val="00BB4BBA"/>
    <w:rsid w:val="00BB505E"/>
    <w:rsid w:val="00BB7324"/>
    <w:rsid w:val="00BB78A6"/>
    <w:rsid w:val="00BC0543"/>
    <w:rsid w:val="00BC11E8"/>
    <w:rsid w:val="00BC15FB"/>
    <w:rsid w:val="00BC16FF"/>
    <w:rsid w:val="00BC1721"/>
    <w:rsid w:val="00BC22CF"/>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3DB5"/>
    <w:rsid w:val="00BF4C3E"/>
    <w:rsid w:val="00BF757A"/>
    <w:rsid w:val="00C017FF"/>
    <w:rsid w:val="00C01FBD"/>
    <w:rsid w:val="00C02090"/>
    <w:rsid w:val="00C022E9"/>
    <w:rsid w:val="00C03970"/>
    <w:rsid w:val="00C04472"/>
    <w:rsid w:val="00C04AA0"/>
    <w:rsid w:val="00C060B9"/>
    <w:rsid w:val="00C06806"/>
    <w:rsid w:val="00C0746C"/>
    <w:rsid w:val="00C07ED9"/>
    <w:rsid w:val="00C11341"/>
    <w:rsid w:val="00C159FC"/>
    <w:rsid w:val="00C15A5E"/>
    <w:rsid w:val="00C17352"/>
    <w:rsid w:val="00C17507"/>
    <w:rsid w:val="00C17BFA"/>
    <w:rsid w:val="00C22767"/>
    <w:rsid w:val="00C22C2F"/>
    <w:rsid w:val="00C25992"/>
    <w:rsid w:val="00C26364"/>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152C"/>
    <w:rsid w:val="00C5311E"/>
    <w:rsid w:val="00C5343D"/>
    <w:rsid w:val="00C54A52"/>
    <w:rsid w:val="00C5641F"/>
    <w:rsid w:val="00C60A5E"/>
    <w:rsid w:val="00C61028"/>
    <w:rsid w:val="00C61954"/>
    <w:rsid w:val="00C62B36"/>
    <w:rsid w:val="00C63219"/>
    <w:rsid w:val="00C632D8"/>
    <w:rsid w:val="00C64182"/>
    <w:rsid w:val="00C66B60"/>
    <w:rsid w:val="00C66EA0"/>
    <w:rsid w:val="00C70604"/>
    <w:rsid w:val="00C7392F"/>
    <w:rsid w:val="00C74920"/>
    <w:rsid w:val="00C7610F"/>
    <w:rsid w:val="00C773F8"/>
    <w:rsid w:val="00C773F9"/>
    <w:rsid w:val="00C775A1"/>
    <w:rsid w:val="00C77B0A"/>
    <w:rsid w:val="00C8091E"/>
    <w:rsid w:val="00C80EE0"/>
    <w:rsid w:val="00C8162B"/>
    <w:rsid w:val="00C816BA"/>
    <w:rsid w:val="00C81CA2"/>
    <w:rsid w:val="00C8291D"/>
    <w:rsid w:val="00C833B1"/>
    <w:rsid w:val="00C862E0"/>
    <w:rsid w:val="00C90CD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11DF"/>
    <w:rsid w:val="00CB46E0"/>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3D46"/>
    <w:rsid w:val="00CD43FA"/>
    <w:rsid w:val="00CD608D"/>
    <w:rsid w:val="00CD7616"/>
    <w:rsid w:val="00CD795A"/>
    <w:rsid w:val="00CE11DD"/>
    <w:rsid w:val="00CE30E7"/>
    <w:rsid w:val="00CE3283"/>
    <w:rsid w:val="00CE35FD"/>
    <w:rsid w:val="00CE4D95"/>
    <w:rsid w:val="00CE629D"/>
    <w:rsid w:val="00CF07E6"/>
    <w:rsid w:val="00CF226E"/>
    <w:rsid w:val="00CF2562"/>
    <w:rsid w:val="00CF2DFF"/>
    <w:rsid w:val="00CF33B6"/>
    <w:rsid w:val="00CF406F"/>
    <w:rsid w:val="00CF5521"/>
    <w:rsid w:val="00CF5F78"/>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787"/>
    <w:rsid w:val="00D17B1C"/>
    <w:rsid w:val="00D20593"/>
    <w:rsid w:val="00D22406"/>
    <w:rsid w:val="00D2384D"/>
    <w:rsid w:val="00D23E3A"/>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574A0"/>
    <w:rsid w:val="00D60812"/>
    <w:rsid w:val="00D60A30"/>
    <w:rsid w:val="00D623DD"/>
    <w:rsid w:val="00D62D39"/>
    <w:rsid w:val="00D62FA0"/>
    <w:rsid w:val="00D632DB"/>
    <w:rsid w:val="00D63708"/>
    <w:rsid w:val="00D63B83"/>
    <w:rsid w:val="00D6481B"/>
    <w:rsid w:val="00D66900"/>
    <w:rsid w:val="00D67371"/>
    <w:rsid w:val="00D70935"/>
    <w:rsid w:val="00D724FE"/>
    <w:rsid w:val="00D73F4A"/>
    <w:rsid w:val="00D756E1"/>
    <w:rsid w:val="00D759E5"/>
    <w:rsid w:val="00D77706"/>
    <w:rsid w:val="00D77A2F"/>
    <w:rsid w:val="00D80219"/>
    <w:rsid w:val="00D8128F"/>
    <w:rsid w:val="00D81C4A"/>
    <w:rsid w:val="00D82717"/>
    <w:rsid w:val="00D82D31"/>
    <w:rsid w:val="00D82E17"/>
    <w:rsid w:val="00D83283"/>
    <w:rsid w:val="00D84645"/>
    <w:rsid w:val="00D859AC"/>
    <w:rsid w:val="00D86198"/>
    <w:rsid w:val="00D874EA"/>
    <w:rsid w:val="00D87704"/>
    <w:rsid w:val="00D878BD"/>
    <w:rsid w:val="00D90EDE"/>
    <w:rsid w:val="00D9165A"/>
    <w:rsid w:val="00D91EAA"/>
    <w:rsid w:val="00D92A6E"/>
    <w:rsid w:val="00D92AC0"/>
    <w:rsid w:val="00D94DD8"/>
    <w:rsid w:val="00D95DBD"/>
    <w:rsid w:val="00D96028"/>
    <w:rsid w:val="00DA1892"/>
    <w:rsid w:val="00DA204E"/>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C6B70"/>
    <w:rsid w:val="00DD130F"/>
    <w:rsid w:val="00DD30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21D2"/>
    <w:rsid w:val="00DF36FD"/>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5BD8"/>
    <w:rsid w:val="00E2059A"/>
    <w:rsid w:val="00E234C8"/>
    <w:rsid w:val="00E23FD9"/>
    <w:rsid w:val="00E241D9"/>
    <w:rsid w:val="00E24E21"/>
    <w:rsid w:val="00E26111"/>
    <w:rsid w:val="00E27F54"/>
    <w:rsid w:val="00E30277"/>
    <w:rsid w:val="00E308BB"/>
    <w:rsid w:val="00E30D3E"/>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3699"/>
    <w:rsid w:val="00E550CC"/>
    <w:rsid w:val="00E55672"/>
    <w:rsid w:val="00E5616A"/>
    <w:rsid w:val="00E56FEA"/>
    <w:rsid w:val="00E60196"/>
    <w:rsid w:val="00E613AD"/>
    <w:rsid w:val="00E61F8D"/>
    <w:rsid w:val="00E63C2D"/>
    <w:rsid w:val="00E67590"/>
    <w:rsid w:val="00E67F1D"/>
    <w:rsid w:val="00E703B0"/>
    <w:rsid w:val="00E709FC"/>
    <w:rsid w:val="00E71089"/>
    <w:rsid w:val="00E71ADD"/>
    <w:rsid w:val="00E73876"/>
    <w:rsid w:val="00E74575"/>
    <w:rsid w:val="00E74AD8"/>
    <w:rsid w:val="00E75A48"/>
    <w:rsid w:val="00E76CEE"/>
    <w:rsid w:val="00E77115"/>
    <w:rsid w:val="00E77286"/>
    <w:rsid w:val="00E77455"/>
    <w:rsid w:val="00E77A51"/>
    <w:rsid w:val="00E804D3"/>
    <w:rsid w:val="00E80AC4"/>
    <w:rsid w:val="00E816A6"/>
    <w:rsid w:val="00E81DB4"/>
    <w:rsid w:val="00E8252A"/>
    <w:rsid w:val="00E82C77"/>
    <w:rsid w:val="00E84A30"/>
    <w:rsid w:val="00E857F8"/>
    <w:rsid w:val="00E86ECC"/>
    <w:rsid w:val="00E87CB3"/>
    <w:rsid w:val="00E91027"/>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8C"/>
    <w:rsid w:val="00EB0FBB"/>
    <w:rsid w:val="00EB215C"/>
    <w:rsid w:val="00EB3768"/>
    <w:rsid w:val="00EB3A44"/>
    <w:rsid w:val="00EB5817"/>
    <w:rsid w:val="00EB5D26"/>
    <w:rsid w:val="00EB6CC1"/>
    <w:rsid w:val="00EB7522"/>
    <w:rsid w:val="00EB7D69"/>
    <w:rsid w:val="00EB7F1B"/>
    <w:rsid w:val="00EC0D92"/>
    <w:rsid w:val="00EC223C"/>
    <w:rsid w:val="00EC2870"/>
    <w:rsid w:val="00EC2AC1"/>
    <w:rsid w:val="00EC3704"/>
    <w:rsid w:val="00EC4184"/>
    <w:rsid w:val="00EC7BA7"/>
    <w:rsid w:val="00ED0CB1"/>
    <w:rsid w:val="00ED230B"/>
    <w:rsid w:val="00ED3570"/>
    <w:rsid w:val="00ED368F"/>
    <w:rsid w:val="00ED3B71"/>
    <w:rsid w:val="00ED4A3F"/>
    <w:rsid w:val="00ED4FDE"/>
    <w:rsid w:val="00ED519A"/>
    <w:rsid w:val="00ED5E48"/>
    <w:rsid w:val="00ED6D87"/>
    <w:rsid w:val="00EE1DB5"/>
    <w:rsid w:val="00EE3357"/>
    <w:rsid w:val="00EF00C9"/>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06C9C"/>
    <w:rsid w:val="00F10E47"/>
    <w:rsid w:val="00F12F6E"/>
    <w:rsid w:val="00F13CBC"/>
    <w:rsid w:val="00F14855"/>
    <w:rsid w:val="00F2003D"/>
    <w:rsid w:val="00F20238"/>
    <w:rsid w:val="00F21417"/>
    <w:rsid w:val="00F21E4B"/>
    <w:rsid w:val="00F22857"/>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36675"/>
    <w:rsid w:val="00F37376"/>
    <w:rsid w:val="00F40A28"/>
    <w:rsid w:val="00F41232"/>
    <w:rsid w:val="00F41319"/>
    <w:rsid w:val="00F421E6"/>
    <w:rsid w:val="00F4303A"/>
    <w:rsid w:val="00F44BC3"/>
    <w:rsid w:val="00F475D0"/>
    <w:rsid w:val="00F5118A"/>
    <w:rsid w:val="00F555B0"/>
    <w:rsid w:val="00F6162A"/>
    <w:rsid w:val="00F66759"/>
    <w:rsid w:val="00F67967"/>
    <w:rsid w:val="00F67CF6"/>
    <w:rsid w:val="00F72651"/>
    <w:rsid w:val="00F7301E"/>
    <w:rsid w:val="00F8175E"/>
    <w:rsid w:val="00F81B05"/>
    <w:rsid w:val="00F81F15"/>
    <w:rsid w:val="00F82049"/>
    <w:rsid w:val="00F82C9F"/>
    <w:rsid w:val="00F8388A"/>
    <w:rsid w:val="00F84E80"/>
    <w:rsid w:val="00F86D90"/>
    <w:rsid w:val="00F87537"/>
    <w:rsid w:val="00F947DC"/>
    <w:rsid w:val="00F9781A"/>
    <w:rsid w:val="00FA049B"/>
    <w:rsid w:val="00FA057C"/>
    <w:rsid w:val="00FA086F"/>
    <w:rsid w:val="00FA0D16"/>
    <w:rsid w:val="00FA185B"/>
    <w:rsid w:val="00FA60BF"/>
    <w:rsid w:val="00FA6883"/>
    <w:rsid w:val="00FA7405"/>
    <w:rsid w:val="00FB0D12"/>
    <w:rsid w:val="00FB1CB4"/>
    <w:rsid w:val="00FB23B5"/>
    <w:rsid w:val="00FB3D40"/>
    <w:rsid w:val="00FB44EB"/>
    <w:rsid w:val="00FB675F"/>
    <w:rsid w:val="00FB7853"/>
    <w:rsid w:val="00FC11A3"/>
    <w:rsid w:val="00FC1300"/>
    <w:rsid w:val="00FC1C93"/>
    <w:rsid w:val="00FC42A3"/>
    <w:rsid w:val="00FC5214"/>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0FF9"/>
    <w:rsid w:val="00FE1ADC"/>
    <w:rsid w:val="00FE225D"/>
    <w:rsid w:val="00FE4989"/>
    <w:rsid w:val="00FE5C3E"/>
    <w:rsid w:val="00FE63CE"/>
    <w:rsid w:val="00FE72FD"/>
    <w:rsid w:val="00FF0A2F"/>
    <w:rsid w:val="00FF1B04"/>
    <w:rsid w:val="00FF22F8"/>
    <w:rsid w:val="01654C82"/>
    <w:rsid w:val="020A6A96"/>
    <w:rsid w:val="031C5BCA"/>
    <w:rsid w:val="034F7E8B"/>
    <w:rsid w:val="0356786B"/>
    <w:rsid w:val="046E31C1"/>
    <w:rsid w:val="056C4F65"/>
    <w:rsid w:val="0583356E"/>
    <w:rsid w:val="05C23886"/>
    <w:rsid w:val="06F4696E"/>
    <w:rsid w:val="07245E56"/>
    <w:rsid w:val="07E73C15"/>
    <w:rsid w:val="07F57CDC"/>
    <w:rsid w:val="0B1C1FC9"/>
    <w:rsid w:val="0C023D8C"/>
    <w:rsid w:val="0C225D7B"/>
    <w:rsid w:val="0E94232E"/>
    <w:rsid w:val="0EE42F8C"/>
    <w:rsid w:val="0F1306D5"/>
    <w:rsid w:val="11295396"/>
    <w:rsid w:val="1142432C"/>
    <w:rsid w:val="1509103B"/>
    <w:rsid w:val="163E2FB7"/>
    <w:rsid w:val="17622796"/>
    <w:rsid w:val="196F2D10"/>
    <w:rsid w:val="19B02EB2"/>
    <w:rsid w:val="1A48157B"/>
    <w:rsid w:val="1AAA799F"/>
    <w:rsid w:val="1AD97D32"/>
    <w:rsid w:val="1BD70953"/>
    <w:rsid w:val="1BF87698"/>
    <w:rsid w:val="1E585AB7"/>
    <w:rsid w:val="1EB160C2"/>
    <w:rsid w:val="1FF145B9"/>
    <w:rsid w:val="2193546F"/>
    <w:rsid w:val="2359377C"/>
    <w:rsid w:val="24FE24F9"/>
    <w:rsid w:val="26F50BA9"/>
    <w:rsid w:val="272734AC"/>
    <w:rsid w:val="27835F8E"/>
    <w:rsid w:val="27AD3F31"/>
    <w:rsid w:val="27BD5E26"/>
    <w:rsid w:val="285B3308"/>
    <w:rsid w:val="285E4249"/>
    <w:rsid w:val="29026D00"/>
    <w:rsid w:val="2903159F"/>
    <w:rsid w:val="2C7E406A"/>
    <w:rsid w:val="2D5B50F8"/>
    <w:rsid w:val="2DFA46AF"/>
    <w:rsid w:val="2EA644DF"/>
    <w:rsid w:val="2EC87F64"/>
    <w:rsid w:val="2F5E69E7"/>
    <w:rsid w:val="2FB532A0"/>
    <w:rsid w:val="317F1B9B"/>
    <w:rsid w:val="319C4BEA"/>
    <w:rsid w:val="32CD6857"/>
    <w:rsid w:val="34C829B2"/>
    <w:rsid w:val="35381804"/>
    <w:rsid w:val="386A3F56"/>
    <w:rsid w:val="3A810EF7"/>
    <w:rsid w:val="3A842191"/>
    <w:rsid w:val="3ACF0F3F"/>
    <w:rsid w:val="3B337E2C"/>
    <w:rsid w:val="3B7626CB"/>
    <w:rsid w:val="3C3802E9"/>
    <w:rsid w:val="3E2254A0"/>
    <w:rsid w:val="3E586AB8"/>
    <w:rsid w:val="3E5C1B1D"/>
    <w:rsid w:val="3EAE14E9"/>
    <w:rsid w:val="3FD261A6"/>
    <w:rsid w:val="40BF0012"/>
    <w:rsid w:val="42EB2F9C"/>
    <w:rsid w:val="42FE7A06"/>
    <w:rsid w:val="433D4DC8"/>
    <w:rsid w:val="45226963"/>
    <w:rsid w:val="4D39606F"/>
    <w:rsid w:val="4E4F0A98"/>
    <w:rsid w:val="4F8E3D4D"/>
    <w:rsid w:val="4FA133B0"/>
    <w:rsid w:val="51810FD9"/>
    <w:rsid w:val="51AF6B1F"/>
    <w:rsid w:val="52F076EC"/>
    <w:rsid w:val="53063B85"/>
    <w:rsid w:val="533C1961"/>
    <w:rsid w:val="53B3493A"/>
    <w:rsid w:val="5537323C"/>
    <w:rsid w:val="55855837"/>
    <w:rsid w:val="55E83741"/>
    <w:rsid w:val="56503211"/>
    <w:rsid w:val="590D7580"/>
    <w:rsid w:val="598B567E"/>
    <w:rsid w:val="5B714368"/>
    <w:rsid w:val="5C624734"/>
    <w:rsid w:val="5C9812B6"/>
    <w:rsid w:val="5CC75FF2"/>
    <w:rsid w:val="5E252D8D"/>
    <w:rsid w:val="5E404F00"/>
    <w:rsid w:val="5FE91ABC"/>
    <w:rsid w:val="60A63BB4"/>
    <w:rsid w:val="625E5181"/>
    <w:rsid w:val="628E734C"/>
    <w:rsid w:val="6580603B"/>
    <w:rsid w:val="67102C62"/>
    <w:rsid w:val="682A44E1"/>
    <w:rsid w:val="68C7223A"/>
    <w:rsid w:val="68EF6886"/>
    <w:rsid w:val="6C013836"/>
    <w:rsid w:val="6C2B2E22"/>
    <w:rsid w:val="6E4357A7"/>
    <w:rsid w:val="6EAA7DFD"/>
    <w:rsid w:val="6FDD1093"/>
    <w:rsid w:val="709C0126"/>
    <w:rsid w:val="710C66F3"/>
    <w:rsid w:val="76022652"/>
    <w:rsid w:val="768501BE"/>
    <w:rsid w:val="76C8601E"/>
    <w:rsid w:val="77150144"/>
    <w:rsid w:val="776224EE"/>
    <w:rsid w:val="77D3031A"/>
    <w:rsid w:val="7BEA1CFE"/>
    <w:rsid w:val="7D803772"/>
    <w:rsid w:val="7D80556D"/>
    <w:rsid w:val="7DB8301C"/>
    <w:rsid w:val="7DF56D4F"/>
    <w:rsid w:val="7E3713F1"/>
    <w:rsid w:val="7E89358A"/>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99"/>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C3A8D-C5E4-45AF-8B48-C3BF528808AD}">
  <ds:schemaRefs/>
</ds:datastoreItem>
</file>

<file path=customXml/itemProps10.xml><?xml version="1.0" encoding="utf-8"?>
<ds:datastoreItem xmlns:ds="http://schemas.openxmlformats.org/officeDocument/2006/customXml" ds:itemID="{AC86F3EB-DB57-4B60-8A7E-BBB67A22EE0B}">
  <ds:schemaRefs/>
</ds:datastoreItem>
</file>

<file path=customXml/itemProps11.xml><?xml version="1.0" encoding="utf-8"?>
<ds:datastoreItem xmlns:ds="http://schemas.openxmlformats.org/officeDocument/2006/customXml" ds:itemID="{2108FF18-8EC8-4170-A536-1AA8E39CC797}">
  <ds:schemaRefs/>
</ds:datastoreItem>
</file>

<file path=customXml/itemProps12.xml><?xml version="1.0" encoding="utf-8"?>
<ds:datastoreItem xmlns:ds="http://schemas.openxmlformats.org/officeDocument/2006/customXml" ds:itemID="{79B37214-9E52-4241-8DD2-9E9CD9442006}">
  <ds:schemaRefs/>
</ds:datastoreItem>
</file>

<file path=customXml/itemProps13.xml><?xml version="1.0" encoding="utf-8"?>
<ds:datastoreItem xmlns:ds="http://schemas.openxmlformats.org/officeDocument/2006/customXml" ds:itemID="{7E5C9D84-6DB6-48FB-8632-D5279FC233C8}">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509BA638-9D3A-4AA3-A169-FF78BC0E4BE9}">
  <ds:schemaRefs/>
</ds:datastoreItem>
</file>

<file path=customXml/itemProps16.xml><?xml version="1.0" encoding="utf-8"?>
<ds:datastoreItem xmlns:ds="http://schemas.openxmlformats.org/officeDocument/2006/customXml" ds:itemID="{D902962D-C8CC-43BF-804A-CD60AE6D7475}">
  <ds:schemaRefs/>
</ds:datastoreItem>
</file>

<file path=customXml/itemProps17.xml><?xml version="1.0" encoding="utf-8"?>
<ds:datastoreItem xmlns:ds="http://schemas.openxmlformats.org/officeDocument/2006/customXml" ds:itemID="{1A3BDF38-4832-4575-A8AB-7A1679738229}">
  <ds:schemaRefs/>
</ds:datastoreItem>
</file>

<file path=customXml/itemProps2.xml><?xml version="1.0" encoding="utf-8"?>
<ds:datastoreItem xmlns:ds="http://schemas.openxmlformats.org/officeDocument/2006/customXml" ds:itemID="{BEEE0313-55EB-45FA-BBBD-C0232D367255}">
  <ds:schemaRefs/>
</ds:datastoreItem>
</file>

<file path=customXml/itemProps3.xml><?xml version="1.0" encoding="utf-8"?>
<ds:datastoreItem xmlns:ds="http://schemas.openxmlformats.org/officeDocument/2006/customXml" ds:itemID="{1990A2D8-324F-45D5-B9CD-07245ED2860B}">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0A7AA9EF-3B8C-4BAA-9155-A6E3E5337D3C}">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CF487381-D648-48A1-B1E4-A4540B0D3650}">
  <ds:schemaRefs/>
</ds:datastoreItem>
</file>

<file path=customXml/itemProps8.xml><?xml version="1.0" encoding="utf-8"?>
<ds:datastoreItem xmlns:ds="http://schemas.openxmlformats.org/officeDocument/2006/customXml" ds:itemID="{E6D3D55C-3DD8-4C31-8069-E5508DD844FB}">
  <ds:schemaRefs/>
</ds:datastoreItem>
</file>

<file path=customXml/itemProps9.xml><?xml version="1.0" encoding="utf-8"?>
<ds:datastoreItem xmlns:ds="http://schemas.openxmlformats.org/officeDocument/2006/customXml" ds:itemID="{C9A3125F-17AF-44BB-8975-2FB409CCBD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44</Pages>
  <Words>4601</Words>
  <Characters>26227</Characters>
  <Lines>218</Lines>
  <Paragraphs>61</Paragraphs>
  <TotalTime>1</TotalTime>
  <ScaleCrop>false</ScaleCrop>
  <LinksUpToDate>false</LinksUpToDate>
  <CharactersWithSpaces>30767</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2023-02-09T13:21:00Z</dcterms:created>
  <dc:creator>张淼雯</dc:creator>
  <cp:lastModifiedBy>cib</cp:lastModifiedBy>
  <cp:lastPrinted>2022-01-18T08:37:00Z</cp:lastPrinted>
  <dcterms:modified xsi:type="dcterms:W3CDTF">2026-02-02T10:20:23Z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5466F5ED04264CD88390FDC4DDCA6BAE</vt:lpwstr>
  </property>
</Properties>
</file>