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outlineLvl w:val="0"/>
        <w:rPr>
          <w:rFonts w:ascii="黑体" w:hAnsi="黑体" w:eastAsia="黑体"/>
          <w:b/>
          <w:bCs/>
          <w:sz w:val="28"/>
          <w:szCs w:val="28"/>
        </w:rPr>
      </w:pPr>
      <w:permStart w:id="0" w:edGrp="everyone"/>
      <w:r>
        <w:rPr>
          <w:rFonts w:hint="eastAsia" w:ascii="黑体" w:hAnsi="黑体" w:eastAsia="黑体"/>
          <w:b/>
          <w:bCs/>
          <w:sz w:val="28"/>
          <w:szCs w:val="28"/>
        </w:rPr>
        <w:t>兴银理财【</w:t>
      </w:r>
      <w:r>
        <w:rPr>
          <w:rFonts w:hint="eastAsia" w:ascii="黑体" w:hAnsi="黑体" w:eastAsia="黑体"/>
          <w:b/>
          <w:sz w:val="28"/>
          <w:szCs w:val="28"/>
        </w:rPr>
        <w:t>天天万利宝稳利净值型</w:t>
      </w:r>
      <w:r>
        <w:rPr>
          <w:rFonts w:hint="eastAsia" w:ascii="黑体" w:hAnsi="黑体" w:eastAsia="黑体"/>
          <w:b/>
          <w:bCs/>
          <w:sz w:val="28"/>
          <w:szCs w:val="28"/>
        </w:rPr>
        <w:t>】</w:t>
      </w:r>
      <w:r>
        <w:rPr>
          <w:rFonts w:ascii="黑体" w:hAnsi="黑体" w:eastAsia="黑体"/>
          <w:b/>
          <w:bCs/>
          <w:sz w:val="28"/>
          <w:szCs w:val="28"/>
        </w:rPr>
        <w:t>理财产品</w:t>
      </w:r>
    </w:p>
    <w:permEnd w:id="0"/>
    <w:p>
      <w:pPr>
        <w:adjustRightInd w:val="0"/>
        <w:spacing w:line="276" w:lineRule="auto"/>
        <w:ind w:firstLine="422"/>
        <w:jc w:val="center"/>
        <w:outlineLvl w:val="0"/>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outlineLvl w:val="0"/>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本产品基本信息</w:t>
      </w:r>
    </w:p>
    <w:p>
      <w:pPr>
        <w:ind w:firstLine="448" w:firstLineChars="249"/>
        <w:outlineLvl w:val="0"/>
        <w:rPr>
          <w:rFonts w:ascii="宋体" w:hAnsi="宋体" w:cs="仿宋_GB2312"/>
          <w:kern w:val="0"/>
          <w:sz w:val="18"/>
          <w:szCs w:val="18"/>
        </w:rPr>
      </w:pPr>
      <w:r>
        <w:rPr>
          <w:rFonts w:hint="eastAsia" w:ascii="宋体" w:hAnsi="宋体" w:cs="仿宋_GB2312"/>
          <w:kern w:val="0"/>
          <w:sz w:val="18"/>
          <w:szCs w:val="18"/>
        </w:rPr>
        <w:t>（一）产品名称、</w:t>
      </w:r>
      <w:r>
        <w:rPr>
          <w:rFonts w:ascii="宋体" w:hAnsi="宋体" w:cs="仿宋_GB2312"/>
          <w:kern w:val="0"/>
          <w:sz w:val="18"/>
          <w:szCs w:val="18"/>
        </w:rPr>
        <w:t>销售名称及产品登记编码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w:t>
      </w:r>
      <w:r>
        <w:rPr>
          <w:rFonts w:hint="eastAsia" w:ascii="宋体" w:hAnsi="宋体"/>
          <w:bCs/>
          <w:sz w:val="18"/>
          <w:szCs w:val="18"/>
        </w:rPr>
        <w:t>兴业银行天天万利宝稳利2号净值型理财产品A款</w:t>
      </w:r>
      <w:r>
        <w:rPr>
          <w:rFonts w:hint="eastAsia" w:ascii="宋体" w:hAnsi="宋体" w:cs="仿宋_GB2312"/>
          <w:kern w:val="0"/>
          <w:sz w:val="18"/>
          <w:szCs w:val="18"/>
        </w:rPr>
        <w:t>】</w:t>
      </w:r>
      <w:permEnd w:id="1"/>
    </w:p>
    <w:p>
      <w:pPr>
        <w:spacing w:line="360" w:lineRule="auto"/>
        <w:jc w:val="left"/>
        <w:rPr>
          <w:rFonts w:ascii="宋体" w:hAnsi="宋体"/>
          <w:bCs/>
          <w:sz w:val="18"/>
          <w:szCs w:val="18"/>
        </w:rPr>
      </w:pPr>
      <w:r>
        <w:rPr>
          <w:rFonts w:hint="eastAsia" w:ascii="宋体" w:hAnsi="宋体" w:cs="仿宋_GB2312"/>
          <w:kern w:val="0"/>
          <w:sz w:val="18"/>
          <w:szCs w:val="18"/>
        </w:rPr>
        <w:t>销售</w:t>
      </w:r>
      <w:r>
        <w:rPr>
          <w:rFonts w:ascii="宋体" w:hAnsi="宋体" w:cs="仿宋_GB2312"/>
          <w:kern w:val="0"/>
          <w:sz w:val="18"/>
          <w:szCs w:val="18"/>
        </w:rPr>
        <w:t>名称：</w:t>
      </w:r>
      <w:permStart w:id="2" w:edGrp="everyone"/>
      <w:r>
        <w:rPr>
          <w:rFonts w:hint="eastAsia" w:asciiTheme="majorEastAsia" w:hAnsiTheme="majorEastAsia" w:eastAsiaTheme="majorEastAsia"/>
          <w:bCs/>
          <w:kern w:val="0"/>
          <w:sz w:val="18"/>
          <w:szCs w:val="18"/>
        </w:rPr>
        <w:t>【</w:t>
      </w:r>
      <w:r>
        <w:rPr>
          <w:rFonts w:hint="eastAsia" w:ascii="宋体" w:hAnsi="宋体"/>
          <w:bCs/>
          <w:sz w:val="18"/>
          <w:szCs w:val="18"/>
          <w:lang w:eastAsia="zh-CN"/>
        </w:rPr>
        <w:t>稳利恒盈A 6个月</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（适用【A】类份额）</w:t>
      </w:r>
    </w:p>
    <w:p>
      <w:pPr>
        <w:spacing w:line="360" w:lineRule="auto"/>
        <w:jc w:val="left"/>
        <w:rPr>
          <w:rFonts w:ascii="宋体" w:hAnsi="宋体"/>
          <w:bCs/>
          <w:color w:val="000000" w:themeColor="text1"/>
          <w:sz w:val="18"/>
          <w:szCs w:val="18"/>
          <w14:textFill>
            <w14:solidFill>
              <w14:schemeClr w14:val="tx1"/>
            </w14:solidFill>
          </w14:textFill>
        </w:rPr>
      </w:pPr>
      <w:r>
        <w:rPr>
          <w:rFonts w:hint="eastAsia" w:ascii="宋体" w:hAnsi="宋体"/>
          <w:bCs/>
          <w:sz w:val="18"/>
          <w:szCs w:val="18"/>
        </w:rPr>
        <w:t>【</w:t>
      </w:r>
      <w:r>
        <w:rPr>
          <w:rFonts w:hint="eastAsia" w:ascii="宋体" w:hAnsi="宋体"/>
          <w:bCs/>
          <w:sz w:val="18"/>
          <w:szCs w:val="18"/>
          <w:lang w:eastAsia="zh-CN"/>
        </w:rPr>
        <w:t>稳利恒盈A 6个月B</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（适用【B】类份额）</w:t>
      </w:r>
    </w:p>
    <w:p>
      <w:pPr>
        <w:rPr>
          <w:rFonts w:ascii="宋体" w:hAnsi="宋体" w:cs="仿宋_GB2312"/>
          <w:kern w:val="0"/>
          <w:sz w:val="18"/>
          <w:szCs w:val="18"/>
        </w:rPr>
      </w:pPr>
      <w:r>
        <w:rPr>
          <w:rFonts w:hint="eastAsia" w:ascii="宋体" w:hAnsi="宋体"/>
          <w:bCs/>
          <w:sz w:val="18"/>
          <w:szCs w:val="18"/>
        </w:rPr>
        <w:t>【</w:t>
      </w:r>
      <w:r>
        <w:rPr>
          <w:rFonts w:hint="eastAsia" w:ascii="宋体" w:hAnsi="宋体"/>
          <w:bCs/>
          <w:sz w:val="18"/>
          <w:szCs w:val="18"/>
          <w:lang w:eastAsia="zh-CN"/>
        </w:rPr>
        <w:t>稳利恒盈A 6个月（惠享款）</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w:t>
      </w:r>
      <w:r>
        <w:rPr>
          <w:rFonts w:ascii="宋体" w:hAnsi="宋体"/>
          <w:bCs/>
          <w:color w:val="000000" w:themeColor="text1"/>
          <w:sz w:val="18"/>
          <w:szCs w:val="18"/>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w:t>
      </w:r>
      <w:r>
        <w:rPr>
          <w:rFonts w:hint="eastAsia" w:ascii="宋体" w:hAnsi="宋体" w:cs="仿宋_GB2312"/>
          <w:kern w:val="0"/>
          <w:sz w:val="18"/>
          <w:szCs w:val="18"/>
        </w:rPr>
        <w:t>额）</w:t>
      </w:r>
    </w:p>
    <w:permEnd w:id="2"/>
    <w:p>
      <w:pPr>
        <w:ind w:firstLine="448" w:firstLineChars="249"/>
        <w:rPr>
          <w:rFonts w:ascii="宋体" w:hAnsi="宋体" w:cs="仿宋_GB2312"/>
          <w:kern w:val="0"/>
          <w:sz w:val="18"/>
          <w:szCs w:val="18"/>
        </w:rPr>
      </w:pPr>
    </w:p>
    <w:p>
      <w:pPr>
        <w:ind w:firstLine="448" w:firstLineChars="249"/>
        <w:rPr>
          <w:rFonts w:ascii="宋体" w:hAnsi="宋体" w:cs="仿宋_GB2312"/>
          <w:kern w:val="0"/>
          <w:sz w:val="18"/>
          <w:szCs w:val="18"/>
        </w:rPr>
      </w:pPr>
      <w:r>
        <w:rPr>
          <w:rFonts w:ascii="宋体" w:hAnsi="宋体" w:cs="仿宋_GB2312"/>
          <w:kern w:val="0"/>
          <w:sz w:val="18"/>
          <w:szCs w:val="18"/>
        </w:rPr>
        <w:t>产品登记编码</w:t>
      </w:r>
      <w:r>
        <w:rPr>
          <w:rFonts w:hint="eastAsia" w:ascii="宋体" w:hAnsi="宋体" w:cs="仿宋_GB2312"/>
          <w:kern w:val="0"/>
          <w:sz w:val="18"/>
          <w:szCs w:val="18"/>
        </w:rPr>
        <w:t>：</w:t>
      </w:r>
      <w:permStart w:id="3" w:edGrp="everyone"/>
      <w:r>
        <w:rPr>
          <w:rFonts w:hint="eastAsia" w:ascii="宋体" w:hAnsi="宋体" w:cs="仿宋_GB2312"/>
          <w:kern w:val="0"/>
          <w:sz w:val="18"/>
          <w:szCs w:val="18"/>
        </w:rPr>
        <w:t>【</w:t>
      </w:r>
      <w:r>
        <w:rPr>
          <w:rFonts w:hint="eastAsia" w:ascii="宋体" w:hAnsi="宋体"/>
          <w:bCs/>
          <w:sz w:val="18"/>
          <w:szCs w:val="18"/>
        </w:rPr>
        <w:t>Z7002020000018</w:t>
      </w:r>
      <w:bookmarkStart w:id="0" w:name="_GoBack"/>
      <w:bookmarkEnd w:id="0"/>
      <w:r>
        <w:rPr>
          <w:rFonts w:hint="eastAsia" w:ascii="宋体" w:hAnsi="宋体" w:cs="仿宋_GB2312"/>
          <w:kern w:val="0"/>
          <w:sz w:val="18"/>
          <w:szCs w:val="18"/>
        </w:rPr>
        <w:t>】</w:t>
      </w:r>
      <w:permEnd w:id="3"/>
    </w:p>
    <w:p>
      <w:pPr>
        <w:ind w:firstLine="448" w:firstLineChars="249"/>
        <w:outlineLvl w:val="0"/>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538" w:firstLineChars="299"/>
        <w:rPr>
          <w:rFonts w:ascii="宋体" w:hAnsi="宋体" w:cs="仿宋_GB2312"/>
          <w:kern w:val="0"/>
          <w:sz w:val="18"/>
          <w:szCs w:val="18"/>
        </w:rPr>
      </w:pPr>
      <w:permStart w:id="4" w:edGrp="everyone"/>
      <w:r>
        <w:rPr>
          <w:rFonts w:hint="eastAsia" w:ascii="宋体" w:hAnsi="宋体" w:cs="仿宋_GB2312"/>
          <w:kern w:val="0"/>
          <w:sz w:val="18"/>
          <w:szCs w:val="18"/>
        </w:rPr>
        <w:t>【公募、开放式、固定收益类、非保本浮动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pPr>
        <w:ind w:firstLine="448" w:firstLineChars="249"/>
        <w:outlineLvl w:val="0"/>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ascii="宋体" w:hAnsi="宋体" w:cs="仿宋_GB2312"/>
          <w:kern w:val="0"/>
          <w:sz w:val="18"/>
          <w:szCs w:val="18"/>
        </w:rPr>
      </w:pPr>
      <w:permStart w:id="5" w:edGrp="everyone"/>
      <w:r>
        <w:rPr>
          <w:rFonts w:hint="eastAsia" w:ascii="宋体" w:hAnsi="宋体" w:cs="仿宋_GB2312"/>
          <w:kern w:val="0"/>
          <w:sz w:val="18"/>
          <w:szCs w:val="18"/>
        </w:rPr>
        <w:t>【无固定期限】</w:t>
      </w:r>
      <w:permEnd w:id="5"/>
      <w:r>
        <w:rPr>
          <w:rFonts w:ascii="宋体" w:hAnsi="宋体" w:cs="仿宋_GB2312"/>
          <w:kern w:val="0"/>
          <w:sz w:val="18"/>
          <w:szCs w:val="18"/>
        </w:rPr>
        <w:t>。</w:t>
      </w:r>
    </w:p>
    <w:p>
      <w:pPr>
        <w:ind w:firstLine="498" w:firstLineChars="249"/>
        <w:outlineLvl w:val="0"/>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outlineLvl w:val="0"/>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ascii="宋体" w:hAnsi="宋体" w:cs="仿宋_GB2312"/>
          <w:kern w:val="0"/>
          <w:sz w:val="18"/>
          <w:szCs w:val="18"/>
        </w:rPr>
      </w:pPr>
      <w:r>
        <w:rPr>
          <w:rFonts w:hint="eastAsia" w:ascii="黑体" w:hAnsi="黑体" w:eastAsia="黑体" w:cs="黑体"/>
          <w:kern w:val="0"/>
          <w:sz w:val="18"/>
          <w:szCs w:val="18"/>
        </w:rPr>
        <w:t>本理财产品风险评级最终定义为</w:t>
      </w:r>
      <w:permStart w:id="6" w:edGrp="everyone"/>
      <w:r>
        <w:rPr>
          <w:rFonts w:hint="eastAsia" w:ascii="黑体" w:hAnsi="黑体" w:eastAsia="黑体" w:cs="黑体"/>
          <w:kern w:val="0"/>
          <w:sz w:val="18"/>
          <w:szCs w:val="18"/>
        </w:rPr>
        <w:t>【</w:t>
      </w:r>
      <w:r>
        <w:rPr>
          <w:rFonts w:hint="eastAsia" w:ascii="宋体" w:hAnsi="宋体" w:cs="仿宋_GB2312"/>
          <w:kern w:val="0"/>
          <w:sz w:val="18"/>
          <w:szCs w:val="18"/>
        </w:rPr>
        <w:t>R2</w:t>
      </w:r>
      <w:r>
        <w:rPr>
          <w:rFonts w:hint="eastAsia" w:ascii="黑体" w:hAnsi="黑体" w:eastAsia="黑体" w:cs="黑体"/>
          <w:kern w:val="0"/>
          <w:sz w:val="18"/>
          <w:szCs w:val="18"/>
        </w:rPr>
        <w:t>】</w:t>
      </w:r>
      <w:permEnd w:id="6"/>
      <w:r>
        <w:rPr>
          <w:rFonts w:hint="eastAsia" w:ascii="黑体" w:hAnsi="黑体" w:eastAsia="黑体" w:cs="黑体"/>
          <w:kern w:val="0"/>
          <w:sz w:val="18"/>
          <w:szCs w:val="18"/>
        </w:rPr>
        <w:t>（产品管理人定义的产品风险评级为</w:t>
      </w:r>
      <w:permStart w:id="7" w:edGrp="everyone"/>
      <w:r>
        <w:rPr>
          <w:rFonts w:hint="eastAsia" w:ascii="黑体" w:hAnsi="黑体" w:eastAsia="黑体" w:cs="黑体"/>
          <w:kern w:val="0"/>
          <w:sz w:val="18"/>
          <w:szCs w:val="18"/>
        </w:rPr>
        <w:t>【</w:t>
      </w:r>
      <w:r>
        <w:rPr>
          <w:rFonts w:hint="eastAsia" w:ascii="宋体" w:hAnsi="宋体" w:cs="仿宋_GB2312"/>
          <w:kern w:val="0"/>
          <w:sz w:val="18"/>
          <w:szCs w:val="18"/>
        </w:rPr>
        <w:t>R2</w:t>
      </w:r>
      <w:r>
        <w:rPr>
          <w:rFonts w:hint="eastAsia" w:ascii="黑体" w:hAnsi="黑体" w:eastAsia="黑体" w:cs="黑体"/>
          <w:kern w:val="0"/>
          <w:sz w:val="18"/>
          <w:szCs w:val="18"/>
        </w:rPr>
        <w:t>】</w:t>
      </w:r>
      <w:permEnd w:id="7"/>
      <w:r>
        <w:rPr>
          <w:rFonts w:hint="eastAsia" w:ascii="黑体" w:hAnsi="黑体" w:eastAsia="黑体" w:cs="黑体"/>
          <w:kern w:val="0"/>
          <w:sz w:val="18"/>
          <w:szCs w:val="18"/>
        </w:rPr>
        <w:t>；代理销售机构定义的产品风险评级为</w:t>
      </w:r>
      <w:permStart w:id="8" w:edGrp="everyone"/>
      <w:r>
        <w:rPr>
          <w:rFonts w:hint="eastAsia" w:ascii="黑体" w:hAnsi="黑体" w:eastAsia="黑体" w:cs="黑体"/>
          <w:kern w:val="0"/>
          <w:sz w:val="18"/>
          <w:szCs w:val="18"/>
        </w:rPr>
        <w:t>【</w:t>
      </w:r>
      <w:r>
        <w:rPr>
          <w:rFonts w:hint="eastAsia" w:ascii="宋体" w:hAnsi="宋体" w:cs="仿宋_GB2312"/>
          <w:kern w:val="0"/>
          <w:sz w:val="18"/>
          <w:szCs w:val="18"/>
        </w:rPr>
        <w:t>R2</w:t>
      </w:r>
      <w:r>
        <w:rPr>
          <w:rFonts w:hint="eastAsia" w:ascii="黑体" w:hAnsi="黑体" w:eastAsia="黑体" w:cs="黑体"/>
          <w:kern w:val="0"/>
          <w:sz w:val="18"/>
          <w:szCs w:val="18"/>
        </w:rPr>
        <w:t>】</w:t>
      </w:r>
      <w:permEnd w:id="8"/>
      <w:r>
        <w:rPr>
          <w:rFonts w:hint="eastAsia" w:ascii="黑体" w:hAnsi="黑体" w:eastAsia="黑体" w:cs="黑体"/>
          <w:kern w:val="0"/>
          <w:sz w:val="18"/>
          <w:szCs w:val="18"/>
        </w:rPr>
        <w:t>）。</w:t>
      </w:r>
      <w:r>
        <w:rPr>
          <w:rFonts w:hint="eastAsia"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ind w:firstLine="448" w:firstLineChars="249"/>
        <w:outlineLvl w:val="0"/>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permStart w:id="9" w:edGrp="everyone"/>
      <w:r>
        <w:rPr>
          <w:rFonts w:hint="eastAsia" w:asciiTheme="majorEastAsia" w:hAnsiTheme="majorEastAsia" w:eastAsiaTheme="majorEastAsia"/>
          <w:bCs/>
          <w:color w:val="000000" w:themeColor="text1"/>
          <w:sz w:val="18"/>
          <w:szCs w:val="18"/>
          <w14:textFill>
            <w14:solidFill>
              <w14:schemeClr w14:val="tx1"/>
            </w14:solidFill>
          </w14:textFill>
        </w:rPr>
        <w:t>■个人投资者：【□ C1、■ C2、■ C3、■ C4、■ C5、■ C6】。</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□机构投资者：□一般</w:t>
      </w:r>
      <w:r>
        <w:rPr>
          <w:rFonts w:asciiTheme="majorEastAsia" w:hAnsiTheme="majorEastAsia" w:eastAsiaTheme="majorEastAsia"/>
          <w:bCs/>
          <w:color w:val="000000" w:themeColor="text1"/>
          <w:sz w:val="18"/>
          <w:szCs w:val="18"/>
          <w14:textFill>
            <w14:solidFill>
              <w14:schemeClr w14:val="tx1"/>
            </w14:solidFill>
          </w14:textFill>
        </w:rPr>
        <w:t>机构</w:t>
      </w:r>
      <w:r>
        <w:rPr>
          <w:rFonts w:hint="eastAsia" w:asciiTheme="majorEastAsia" w:hAnsiTheme="majorEastAsia" w:eastAsiaTheme="majorEastAsia"/>
          <w:bCs/>
          <w:color w:val="000000" w:themeColor="text1"/>
          <w:sz w:val="18"/>
          <w:szCs w:val="18"/>
          <w14:textFill>
            <w14:solidFill>
              <w14:schemeClr w14:val="tx1"/>
            </w14:solidFill>
          </w14:textFill>
        </w:rPr>
        <w:t>客户【□</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p>
    <w:permEnd w:id="9"/>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ind w:firstLine="360" w:firstLineChars="200"/>
        <w:rPr>
          <w:rFonts w:ascii="宋体" w:hAnsi="宋体"/>
          <w:sz w:val="18"/>
          <w:szCs w:val="18"/>
        </w:rPr>
      </w:pPr>
      <w:permStart w:id="10" w:edGrp="everyone"/>
      <w:r>
        <w:rPr>
          <w:rFonts w:hint="eastAsia" w:ascii="宋体" w:hAnsi="宋体"/>
          <w:sz w:val="18"/>
          <w:szCs w:val="18"/>
        </w:rPr>
        <w:t>【1.拟投资市场和资产的风险：</w:t>
      </w:r>
    </w:p>
    <w:p>
      <w:pPr>
        <w:ind w:firstLine="360" w:firstLineChars="200"/>
        <w:rPr>
          <w:rFonts w:ascii="宋体" w:hAnsi="宋体"/>
          <w:sz w:val="18"/>
          <w:szCs w:val="18"/>
        </w:rPr>
      </w:pPr>
      <w:r>
        <w:rPr>
          <w:rFonts w:hint="eastAsia" w:ascii="宋体" w:hAnsi="宋体"/>
          <w:sz w:val="18"/>
          <w:szCs w:val="18"/>
        </w:rPr>
        <w:t>（1）投资债权类资产的风险</w:t>
      </w:r>
    </w:p>
    <w:p>
      <w:pPr>
        <w:ind w:firstLine="360" w:firstLineChars="200"/>
        <w:rPr>
          <w:rFonts w:ascii="宋体" w:hAnsi="宋体"/>
          <w:sz w:val="18"/>
          <w:szCs w:val="18"/>
        </w:rPr>
      </w:pPr>
      <w:r>
        <w:rPr>
          <w:rFonts w:hint="eastAsia" w:ascii="宋体" w:hAnsi="宋体"/>
          <w:sz w:val="18"/>
          <w:szCs w:val="18"/>
        </w:rPr>
        <w:t>1）投资标准化债权类资产的风险</w:t>
      </w:r>
    </w:p>
    <w:p>
      <w:pPr>
        <w:ind w:firstLine="360" w:firstLineChars="200"/>
        <w:rPr>
          <w:rFonts w:ascii="宋体" w:hAnsi="宋体"/>
          <w:sz w:val="18"/>
          <w:szCs w:val="18"/>
        </w:rPr>
      </w:pPr>
      <w:r>
        <w:rPr>
          <w:rFonts w:hint="eastAsia" w:ascii="宋体" w:hAnsi="宋体"/>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ind w:firstLine="360" w:firstLineChars="200"/>
        <w:rPr>
          <w:rFonts w:ascii="宋体" w:hAnsi="宋体"/>
          <w:sz w:val="18"/>
          <w:szCs w:val="18"/>
        </w:rPr>
      </w:pPr>
      <w:r>
        <w:rPr>
          <w:rFonts w:hint="eastAsia" w:ascii="宋体" w:hAnsi="宋体"/>
          <w:sz w:val="18"/>
          <w:szCs w:val="18"/>
        </w:rPr>
        <w:t>2）投资非标准化债权类资产的风险</w:t>
      </w:r>
    </w:p>
    <w:p>
      <w:pPr>
        <w:ind w:firstLine="360" w:firstLineChars="20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ind w:firstLine="360" w:firstLineChars="200"/>
        <w:rPr>
          <w:rFonts w:ascii="宋体" w:hAnsi="宋体"/>
          <w:sz w:val="18"/>
          <w:szCs w:val="18"/>
        </w:rPr>
      </w:pPr>
      <w:r>
        <w:rPr>
          <w:rFonts w:hint="eastAsia" w:ascii="宋体" w:hAnsi="宋体"/>
          <w:sz w:val="18"/>
          <w:szCs w:val="18"/>
        </w:rPr>
        <w:t xml:space="preserve">（2）投资商品和金融衍生品类资产的风险 </w:t>
      </w:r>
    </w:p>
    <w:p>
      <w:pPr>
        <w:ind w:firstLine="360" w:firstLineChars="200"/>
        <w:rPr>
          <w:rFonts w:ascii="宋体" w:hAnsi="宋体"/>
          <w:sz w:val="18"/>
          <w:szCs w:val="18"/>
        </w:rPr>
      </w:pPr>
      <w:r>
        <w:rPr>
          <w:rFonts w:hint="eastAsia" w:ascii="宋体" w:hAnsi="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ermEnd w:id="10"/>
    <w:p>
      <w:pPr>
        <w:pStyle w:val="13"/>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pStyle w:val="13"/>
        <w:ind w:firstLine="426" w:firstLineChars="0"/>
        <w:rPr>
          <w:rFonts w:ascii="宋体" w:hAnsi="宋体"/>
          <w:b/>
          <w:bCs/>
          <w:sz w:val="18"/>
          <w:szCs w:val="18"/>
        </w:rPr>
      </w:pPr>
      <w:r>
        <w:rPr>
          <w:rFonts w:hint="eastAsia" w:ascii="宋体" w:hAnsi="宋体"/>
          <w:b/>
          <w:bCs/>
          <w:sz w:val="18"/>
          <w:szCs w:val="18"/>
        </w:rPr>
        <w:t xml:space="preserve">（二）投资者投资本产品可能面临的一般风险主要包括（但不限于）： </w:t>
      </w:r>
    </w:p>
    <w:p>
      <w:pPr>
        <w:pStyle w:val="13"/>
        <w:ind w:firstLine="426" w:firstLineChars="0"/>
        <w:outlineLvl w:val="1"/>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3"/>
        <w:ind w:firstLine="426" w:firstLineChars="0"/>
        <w:outlineLvl w:val="1"/>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3"/>
        <w:ind w:firstLine="426" w:firstLineChars="0"/>
        <w:outlineLvl w:val="1"/>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3"/>
        <w:ind w:firstLine="426" w:firstLineChars="0"/>
        <w:outlineLvl w:val="1"/>
        <w:rPr>
          <w:rFonts w:ascii="宋体" w:hAnsi="宋体" w:cs="仿宋_GB2312"/>
          <w:b/>
          <w:kern w:val="0"/>
          <w:sz w:val="18"/>
          <w:szCs w:val="18"/>
        </w:rPr>
      </w:pPr>
      <w:r>
        <w:rPr>
          <w:rFonts w:hint="eastAsia" w:ascii="宋体" w:hAnsi="宋体" w:cs="仿宋_GB2312"/>
          <w:b/>
          <w:kern w:val="0"/>
          <w:sz w:val="18"/>
          <w:szCs w:val="18"/>
        </w:rPr>
        <w:t>4.流动性风险</w:t>
      </w:r>
    </w:p>
    <w:p>
      <w:pPr>
        <w:pStyle w:val="13"/>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3"/>
        <w:ind w:firstLine="426" w:firstLineChars="0"/>
        <w:outlineLvl w:val="1"/>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3"/>
        <w:ind w:firstLine="426" w:firstLineChars="0"/>
        <w:outlineLvl w:val="1"/>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3"/>
        <w:ind w:firstLine="426" w:firstLineChars="0"/>
        <w:outlineLvl w:val="1"/>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pStyle w:val="13"/>
        <w:ind w:firstLine="426" w:firstLineChars="0"/>
        <w:outlineLvl w:val="1"/>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3"/>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outlineLvl w:val="1"/>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3"/>
        <w:ind w:firstLine="361"/>
        <w:outlineLvl w:val="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3"/>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3"/>
        <w:ind w:firstLine="361"/>
        <w:outlineLvl w:val="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3"/>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3"/>
        <w:ind w:firstLine="361"/>
        <w:outlineLvl w:val="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3"/>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3"/>
        <w:ind w:firstLine="361"/>
        <w:outlineLvl w:val="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3"/>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pPr>
        <w:pStyle w:val="13"/>
        <w:ind w:firstLine="361"/>
        <w:outlineLvl w:val="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3"/>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3"/>
        <w:ind w:firstLine="361"/>
        <w:outlineLvl w:val="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3"/>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outlineLvl w:val="1"/>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3"/>
        <w:ind w:firstLineChars="0"/>
        <w:outlineLvl w:val="1"/>
        <w:rPr>
          <w:rFonts w:hint="eastAsia" w:ascii="黑体" w:hAnsi="黑体" w:eastAsia="黑体" w:cs="黑体"/>
          <w:b/>
          <w:bCs/>
          <w:sz w:val="18"/>
          <w:szCs w:val="18"/>
        </w:rPr>
      </w:pPr>
      <w:r>
        <w:rPr>
          <w:rFonts w:hint="eastAsia" w:ascii="黑体" w:hAnsi="黑体" w:eastAsia="黑体" w:cs="黑体"/>
          <w:b/>
          <w:bCs/>
          <w:sz w:val="18"/>
          <w:szCs w:val="18"/>
        </w:rPr>
        <w:t>17.</w:t>
      </w:r>
      <w:r>
        <w:rPr>
          <w:rFonts w:hint="eastAsia" w:ascii="黑体" w:hAnsi="黑体" w:eastAsia="黑体" w:cs="黑体"/>
          <w:b/>
          <w:bCs/>
          <w:kern w:val="0"/>
          <w:sz w:val="18"/>
          <w:szCs w:val="18"/>
        </w:rPr>
        <w:t>★</w:t>
      </w:r>
      <w:r>
        <w:rPr>
          <w:rFonts w:hint="eastAsia" w:ascii="黑体" w:hAnsi="黑体" w:eastAsia="黑体" w:cs="黑体"/>
          <w:b/>
          <w:bCs/>
          <w:sz w:val="18"/>
          <w:szCs w:val="18"/>
        </w:rPr>
        <w:t>关联交易风险</w:t>
      </w:r>
    </w:p>
    <w:p>
      <w:pPr>
        <w:pStyle w:val="13"/>
        <w:ind w:firstLineChars="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ascii="黑体" w:hAnsi="黑体" w:eastAsia="黑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color w:val="000000"/>
          <w:kern w:val="0"/>
          <w:sz w:val="18"/>
          <w:szCs w:val="18"/>
        </w:rPr>
        <w:t>五、【非机构投资者适用】</w:t>
      </w:r>
      <w:r>
        <w:rPr>
          <w:rFonts w:hint="eastAsia" w:ascii="黑体" w:hAnsi="黑体" w:eastAsia="黑体" w:cs="仿宋_GB2312"/>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w:t>
      </w:r>
      <w:r>
        <w:rPr>
          <w:rFonts w:hint="eastAsia" w:ascii="黑体" w:hAnsi="黑体" w:eastAsia="黑体"/>
          <w:bCs/>
          <w:color w:val="000000"/>
          <w:kern w:val="0"/>
          <w:sz w:val="18"/>
          <w:szCs w:val="18"/>
        </w:rPr>
        <w:t>【非机构投资者适用】</w:t>
      </w:r>
      <w:r>
        <w:rPr>
          <w:rFonts w:hint="eastAsia" w:ascii="黑体" w:hAnsi="黑体" w:eastAsia="黑体"/>
          <w:bCs/>
          <w:sz w:val="18"/>
          <w:szCs w:val="18"/>
        </w:rPr>
        <w:t>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w:t>
      </w:r>
      <w:r>
        <w:rPr>
          <w:rFonts w:ascii="黑体" w:hAnsi="黑体" w:eastAsia="黑体" w:cs="仿宋_GB2312"/>
          <w:kern w:val="0"/>
          <w:sz w:val="18"/>
          <w:szCs w:val="18"/>
        </w:rPr>
        <w:t>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permStart w:id="11" w:edGrp="everyone"/>
      <w:r>
        <w:rPr>
          <w:rFonts w:hint="eastAsia" w:ascii="宋体" w:hAnsi="宋体"/>
          <w:sz w:val="18"/>
          <w:szCs w:val="18"/>
        </w:rPr>
        <w:t xml:space="preserve">销售机构（【  </w:t>
      </w:r>
      <w:r>
        <w:rPr>
          <w:rFonts w:ascii="宋体" w:hAnsi="宋体"/>
          <w:sz w:val="18"/>
          <w:szCs w:val="18"/>
        </w:rPr>
        <w:t xml:space="preserve">                 </w:t>
      </w:r>
      <w:r>
        <w:rPr>
          <w:rFonts w:hint="eastAsia" w:ascii="宋体" w:hAnsi="宋体"/>
          <w:sz w:val="18"/>
          <w:szCs w:val="18"/>
        </w:rPr>
        <w:t>】）</w:t>
      </w:r>
    </w:p>
    <w:permEnd w:id="11"/>
    <w:p>
      <w:pPr>
        <w:widowControl/>
        <w:jc w:val="left"/>
        <w:rPr>
          <w:rFonts w:ascii="宋体" w:hAnsi="宋体"/>
          <w:sz w:val="18"/>
          <w:szCs w:val="18"/>
        </w:rPr>
      </w:pPr>
      <w:r>
        <w:rPr>
          <w:rFonts w:ascii="宋体" w:hAnsi="宋体"/>
          <w:sz w:val="18"/>
          <w:szCs w:val="18"/>
        </w:rPr>
        <w:br w:type="page"/>
      </w: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w:t>
            </w:r>
            <w:r>
              <w:rPr>
                <w:rFonts w:ascii="宋体" w:hAnsi="宋体" w:cs="Arial"/>
                <w:kern w:val="0"/>
                <w:sz w:val="18"/>
                <w:szCs w:val="18"/>
              </w:rPr>
              <w:t>签名</w:t>
            </w:r>
            <w:r>
              <w:rPr>
                <w:rFonts w:hint="eastAsia" w:ascii="宋体" w:hAnsi="宋体" w:cs="Arial"/>
                <w:kern w:val="0"/>
                <w:sz w:val="18"/>
                <w:szCs w:val="18"/>
              </w:rPr>
              <w:t>/</w:t>
            </w:r>
            <w:r>
              <w:rPr>
                <w:rFonts w:ascii="宋体" w:hAnsi="宋体" w:cs="Arial"/>
                <w:kern w:val="0"/>
                <w:sz w:val="18"/>
                <w:szCs w:val="18"/>
              </w:rPr>
              <w:t>线上确认</w:t>
            </w:r>
            <w:r>
              <w:rPr>
                <w:rFonts w:hint="eastAsia" w:ascii="宋体" w:hAnsi="宋体" w:cs="Arial"/>
                <w:kern w:val="0"/>
                <w:sz w:val="18"/>
                <w:szCs w:val="18"/>
              </w:rPr>
              <w:t>：</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4" w:firstLineChars="600"/>
              <w:jc w:val="left"/>
              <w:rPr>
                <w:rFonts w:ascii="宋体" w:hAnsi="宋体" w:cs="Arial"/>
                <w:b/>
                <w:kern w:val="0"/>
                <w:sz w:val="18"/>
                <w:szCs w:val="18"/>
              </w:rPr>
            </w:pPr>
          </w:p>
          <w:p>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r>
              <w:rPr>
                <w:rFonts w:ascii="宋体" w:hAnsi="宋体" w:cs="Arial"/>
                <w:kern w:val="0"/>
                <w:sz w:val="18"/>
                <w:szCs w:val="18"/>
              </w:rPr>
              <w:t>线上确认</w:t>
            </w:r>
            <w:r>
              <w:rPr>
                <w:rFonts w:hint="eastAsia" w:ascii="宋体" w:hAnsi="宋体" w:cs="Arial"/>
                <w:kern w:val="0"/>
                <w:sz w:val="18"/>
                <w:szCs w:val="18"/>
              </w:rPr>
              <w:t>）：</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（签名/盖章/</w:t>
            </w:r>
            <w:r>
              <w:rPr>
                <w:rFonts w:ascii="宋体" w:hAnsi="宋体" w:cs="Arial"/>
                <w:kern w:val="0"/>
                <w:sz w:val="18"/>
                <w:szCs w:val="18"/>
              </w:rPr>
              <w:t>线上确认</w:t>
            </w:r>
            <w:r>
              <w:rPr>
                <w:rFonts w:hint="eastAsia" w:ascii="宋体" w:hAnsi="宋体" w:cs="Arial"/>
                <w:kern w:val="0"/>
                <w:sz w:val="18"/>
                <w:szCs w:val="18"/>
              </w:rPr>
              <w:t>）：</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pPr>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52492923"/>
    </w:sdtPr>
    <w:sdtContent>
      <w:p>
        <w:pPr>
          <w:pStyle w:val="4"/>
          <w:jc w:val="center"/>
        </w:pPr>
        <w:r>
          <w:fldChar w:fldCharType="begin"/>
        </w:r>
        <w:r>
          <w:instrText xml:space="preserve">PAGE   \* MERGEFORMAT</w:instrText>
        </w:r>
        <w:r>
          <w:fldChar w:fldCharType="separate"/>
        </w:r>
        <w:r>
          <w:rPr>
            <w:lang w:val="zh-CN"/>
          </w:rPr>
          <w:t>5</w:t>
        </w:r>
        <w:r>
          <w:fldChar w:fldCharType="end"/>
        </w:r>
      </w:p>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dit="readOnly" w:enforcement="1" w:cryptProviderType="rsaFull" w:cryptAlgorithmClass="hash" w:cryptAlgorithmType="typeAny" w:cryptAlgorithmSid="4" w:cryptSpinCount="0" w:hash="ZOjcPSqTWEGpzJ7GT3fX1lzNxP0=" w:salt="no1jIAKXpMqsCPT2J8o0bQ=="/>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060D1"/>
    <w:rsid w:val="0006211F"/>
    <w:rsid w:val="00096AC8"/>
    <w:rsid w:val="000A244A"/>
    <w:rsid w:val="000B16F1"/>
    <w:rsid w:val="000B357F"/>
    <w:rsid w:val="000B3F0D"/>
    <w:rsid w:val="000B7F9A"/>
    <w:rsid w:val="000F0566"/>
    <w:rsid w:val="000F1948"/>
    <w:rsid w:val="001104E8"/>
    <w:rsid w:val="001373CB"/>
    <w:rsid w:val="00152999"/>
    <w:rsid w:val="00190526"/>
    <w:rsid w:val="001C3531"/>
    <w:rsid w:val="001C5047"/>
    <w:rsid w:val="002354DB"/>
    <w:rsid w:val="00262560"/>
    <w:rsid w:val="002B18C4"/>
    <w:rsid w:val="002B4BDD"/>
    <w:rsid w:val="002B63FC"/>
    <w:rsid w:val="002C604E"/>
    <w:rsid w:val="002F0B15"/>
    <w:rsid w:val="00346ED2"/>
    <w:rsid w:val="00374070"/>
    <w:rsid w:val="00385741"/>
    <w:rsid w:val="003C4E55"/>
    <w:rsid w:val="003E1A68"/>
    <w:rsid w:val="003E3B9F"/>
    <w:rsid w:val="003F1C32"/>
    <w:rsid w:val="00403B0A"/>
    <w:rsid w:val="004167D1"/>
    <w:rsid w:val="00420D74"/>
    <w:rsid w:val="00432923"/>
    <w:rsid w:val="0045040F"/>
    <w:rsid w:val="00466605"/>
    <w:rsid w:val="004A236B"/>
    <w:rsid w:val="004A3081"/>
    <w:rsid w:val="004B4026"/>
    <w:rsid w:val="004C3608"/>
    <w:rsid w:val="004C7F5E"/>
    <w:rsid w:val="00510BA5"/>
    <w:rsid w:val="00527A03"/>
    <w:rsid w:val="00563E8F"/>
    <w:rsid w:val="005804B9"/>
    <w:rsid w:val="005A0DD9"/>
    <w:rsid w:val="005C6FCB"/>
    <w:rsid w:val="005C764B"/>
    <w:rsid w:val="005F1E85"/>
    <w:rsid w:val="005F48BE"/>
    <w:rsid w:val="00623CF8"/>
    <w:rsid w:val="00640FDE"/>
    <w:rsid w:val="006538E1"/>
    <w:rsid w:val="007143CD"/>
    <w:rsid w:val="007303F6"/>
    <w:rsid w:val="00732C8C"/>
    <w:rsid w:val="00733AC1"/>
    <w:rsid w:val="0076410E"/>
    <w:rsid w:val="00784609"/>
    <w:rsid w:val="00793876"/>
    <w:rsid w:val="007A3CC1"/>
    <w:rsid w:val="007A4C26"/>
    <w:rsid w:val="007B017F"/>
    <w:rsid w:val="007C7189"/>
    <w:rsid w:val="0080662E"/>
    <w:rsid w:val="00814C8E"/>
    <w:rsid w:val="00836C1F"/>
    <w:rsid w:val="008825E3"/>
    <w:rsid w:val="00894EE6"/>
    <w:rsid w:val="008A707D"/>
    <w:rsid w:val="008D3E86"/>
    <w:rsid w:val="008F2B54"/>
    <w:rsid w:val="00906E57"/>
    <w:rsid w:val="00916DD2"/>
    <w:rsid w:val="0093321F"/>
    <w:rsid w:val="00955293"/>
    <w:rsid w:val="00981E5B"/>
    <w:rsid w:val="009B13AF"/>
    <w:rsid w:val="00A30306"/>
    <w:rsid w:val="00A732B2"/>
    <w:rsid w:val="00A95D0C"/>
    <w:rsid w:val="00AE5AA3"/>
    <w:rsid w:val="00B06267"/>
    <w:rsid w:val="00B07DEF"/>
    <w:rsid w:val="00B35D81"/>
    <w:rsid w:val="00B3723D"/>
    <w:rsid w:val="00B515E6"/>
    <w:rsid w:val="00B53014"/>
    <w:rsid w:val="00BB513F"/>
    <w:rsid w:val="00BC1259"/>
    <w:rsid w:val="00BC2076"/>
    <w:rsid w:val="00BC26EA"/>
    <w:rsid w:val="00BC398E"/>
    <w:rsid w:val="00BD2495"/>
    <w:rsid w:val="00BE1A3A"/>
    <w:rsid w:val="00C01696"/>
    <w:rsid w:val="00C4233D"/>
    <w:rsid w:val="00CA5199"/>
    <w:rsid w:val="00CA53AC"/>
    <w:rsid w:val="00CC3B0A"/>
    <w:rsid w:val="00CF693D"/>
    <w:rsid w:val="00D03CCD"/>
    <w:rsid w:val="00D33509"/>
    <w:rsid w:val="00D33FC9"/>
    <w:rsid w:val="00D46533"/>
    <w:rsid w:val="00D61355"/>
    <w:rsid w:val="00D91389"/>
    <w:rsid w:val="00DA2C69"/>
    <w:rsid w:val="00DB7900"/>
    <w:rsid w:val="00DD246D"/>
    <w:rsid w:val="00DD5ABC"/>
    <w:rsid w:val="00DE3630"/>
    <w:rsid w:val="00E27A39"/>
    <w:rsid w:val="00E31C01"/>
    <w:rsid w:val="00E504DE"/>
    <w:rsid w:val="00E767F1"/>
    <w:rsid w:val="00E80603"/>
    <w:rsid w:val="00EA3FCD"/>
    <w:rsid w:val="00EB34F9"/>
    <w:rsid w:val="00F1747E"/>
    <w:rsid w:val="00F34E57"/>
    <w:rsid w:val="00F57B20"/>
    <w:rsid w:val="00F8077D"/>
    <w:rsid w:val="00FD7473"/>
    <w:rsid w:val="05DA1F45"/>
    <w:rsid w:val="0AB70634"/>
    <w:rsid w:val="0E615D48"/>
    <w:rsid w:val="1A9D3BBC"/>
    <w:rsid w:val="1D9858FD"/>
    <w:rsid w:val="1F7F2B46"/>
    <w:rsid w:val="20A20705"/>
    <w:rsid w:val="23024B39"/>
    <w:rsid w:val="25F143AC"/>
    <w:rsid w:val="2BE46B5F"/>
    <w:rsid w:val="48045529"/>
    <w:rsid w:val="5021214C"/>
    <w:rsid w:val="601969DF"/>
    <w:rsid w:val="61255456"/>
    <w:rsid w:val="6B807059"/>
    <w:rsid w:val="6E5B3EF5"/>
    <w:rsid w:val="6F453830"/>
    <w:rsid w:val="70330189"/>
    <w:rsid w:val="71861024"/>
    <w:rsid w:val="74AB2123"/>
    <w:rsid w:val="74E464FD"/>
    <w:rsid w:val="784D64FF"/>
    <w:rsid w:val="7EA354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0"/>
    <w:pPr>
      <w:ind w:firstLine="420" w:firstLineChars="200"/>
    </w:pPr>
  </w:style>
  <w:style w:type="character" w:customStyle="1" w:styleId="14">
    <w:name w:val="批注文字 Char"/>
    <w:basedOn w:val="9"/>
    <w:link w:val="2"/>
    <w:qFormat/>
    <w:uiPriority w:val="99"/>
    <w:rPr>
      <w:rFonts w:ascii="Calibri" w:hAnsi="Calibri" w:eastAsia="宋体" w:cs="宋体"/>
    </w:rPr>
  </w:style>
  <w:style w:type="character" w:customStyle="1" w:styleId="15">
    <w:name w:val="批注主题 Char"/>
    <w:basedOn w:val="14"/>
    <w:link w:val="6"/>
    <w:semiHidden/>
    <w:qFormat/>
    <w:uiPriority w:val="99"/>
    <w:rPr>
      <w:rFonts w:ascii="Calibri" w:hAnsi="Calibri" w:eastAsia="宋体" w:cs="宋体"/>
      <w:b/>
      <w:bCs/>
    </w:rPr>
  </w:style>
  <w:style w:type="character" w:customStyle="1" w:styleId="16">
    <w:name w:val="批注框文本 Char"/>
    <w:basedOn w:val="9"/>
    <w:link w:val="3"/>
    <w:semiHidden/>
    <w:qFormat/>
    <w:uiPriority w:val="99"/>
    <w:rPr>
      <w:rFonts w:ascii="Calibri" w:hAnsi="Calibri" w:eastAsia="宋体" w:cs="宋体"/>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41A78-DC35-4E46-9A62-34C016E148BB}">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684</Words>
  <Characters>3905</Characters>
  <Lines>32</Lines>
  <Paragraphs>9</Paragraphs>
  <TotalTime>0</TotalTime>
  <ScaleCrop>false</ScaleCrop>
  <LinksUpToDate>false</LinksUpToDate>
  <CharactersWithSpaces>4580</CharactersWithSpaces>
  <Application>WPS Office_11.8.2.12309_F1E327BC-269C-435d-A152-05C5408002CA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2022-10-18T03:49:00Z</dcterms:created>
  <dc:creator>胡骁潇</dc:creator>
  <cp:lastModifiedBy>cib</cp:lastModifiedBy>
  <dcterms:modified xsi:type="dcterms:W3CDTF">2026-02-02T10:17:50Z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8C3451F4A9D547188BD69B541900499D</vt:lpwstr>
  </property>
</Properties>
</file>